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Merrell Brendan W.</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20"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jc w:val="right"/>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0"/>
                <w:szCs w:val="10"/>
                <w:color w:val="auto"/>
              </w:rPr>
            </w:pPr>
          </w:p>
        </w:tc>
        <w:tc>
          <w:tcPr>
            <w:tcW w:w="3560" w:type="dxa"/>
            <w:vAlign w:val="bottom"/>
            <w:gridSpan w:val="9"/>
          </w:tcPr>
          <w:p>
            <w:pPr>
              <w:ind w:left="2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02453</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12/11/2025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line="320" w:lineRule="exact"/>
              <w:rPr>
                <w:sz w:val="20"/>
                <w:szCs w:val="20"/>
                <w:color w:val="auto"/>
              </w:rPr>
            </w:pPr>
            <w:r>
              <w:rPr>
                <w:rFonts w:ascii="Times New Roman" w:cs="Times New Roman" w:eastAsia="Times New Roman" w:hAnsi="Times New Roman"/>
                <w:sz w:val="34"/>
                <w:szCs w:val="34"/>
                <w:color w:val="0000FF"/>
                <w:vertAlign w:val="subscript"/>
              </w:rPr>
              <w:t>712</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14.03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26,496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upon the vesting of restricted stock units to satisfy the Reporting Person's tax withholding obligations. Such withholding is treated as a disposition of securities under Section 16 of the Securities Exchange Act of 1934, as amended.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12/16/2025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90383"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2025-12-15T18:49:44Z</dcterms:created>
  <dcterms:modified xsi:type="dcterms:W3CDTF">2025-12-15T18:49:44Z</dcterms:modified>
</cp:coreProperties>
</file>