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25,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36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2100" w:type="dxa"/>
            <w:vAlign w:val="bottom"/>
            <w:gridSpan w:val="2"/>
          </w:tcPr>
          <w:p>
            <w:pPr>
              <w:jc w:val="right"/>
              <w:ind w:right="1320"/>
              <w:spacing w:after="0"/>
              <w:rPr>
                <w:sz w:val="20"/>
                <w:szCs w:val="20"/>
                <w:color w:val="auto"/>
              </w:rPr>
            </w:pPr>
            <w:r>
              <w:rPr>
                <w:rFonts w:ascii="Arial" w:cs="Arial" w:eastAsia="Arial" w:hAnsi="Arial"/>
                <w:sz w:val="18"/>
                <w:szCs w:val="18"/>
                <w:color w:val="auto"/>
                <w:w w:val="88"/>
              </w:rPr>
              <w:t>001-38543</w:t>
            </w:r>
          </w:p>
        </w:tc>
        <w:tc>
          <w:tcPr>
            <w:tcW w:w="3360" w:type="dxa"/>
            <w:vAlign w:val="bottom"/>
            <w:gridSpan w:val="5"/>
          </w:tcPr>
          <w:p>
            <w:pPr>
              <w:jc w:val="right"/>
              <w:ind w:right="880"/>
              <w:spacing w:after="0"/>
              <w:rPr>
                <w:sz w:val="20"/>
                <w:szCs w:val="20"/>
                <w:color w:val="auto"/>
              </w:rPr>
            </w:pPr>
            <w:r>
              <w:rPr>
                <w:rFonts w:ascii="Arial" w:cs="Arial" w:eastAsia="Arial" w:hAnsi="Arial"/>
                <w:sz w:val="18"/>
                <w:szCs w:val="18"/>
                <w:color w:val="auto"/>
              </w:rPr>
              <w:t>26-1265381</w:t>
            </w:r>
          </w:p>
        </w:tc>
      </w:tr>
      <w:tr>
        <w:trPr>
          <w:trHeight w:val="20"/>
        </w:trPr>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220" w:type="dxa"/>
            <w:vAlign w:val="bottom"/>
            <w:gridSpan w:val="5"/>
          </w:tcPr>
          <w:p>
            <w:pPr>
              <w:jc w:val="center"/>
              <w:ind w:right="1060"/>
              <w:spacing w:after="0"/>
              <w:rPr>
                <w:sz w:val="20"/>
                <w:szCs w:val="20"/>
                <w:color w:val="auto"/>
              </w:rPr>
            </w:pPr>
            <w:r>
              <w:rPr>
                <w:rFonts w:ascii="Arial" w:cs="Arial" w:eastAsia="Arial" w:hAnsi="Arial"/>
                <w:sz w:val="18"/>
                <w:szCs w:val="18"/>
                <w:color w:val="auto"/>
                <w:w w:val="92"/>
              </w:rPr>
              <w:t>(State or other jurisdiction of incorporation)</w:t>
            </w:r>
          </w:p>
        </w:tc>
        <w:tc>
          <w:tcPr>
            <w:tcW w:w="2840" w:type="dxa"/>
            <w:vAlign w:val="bottom"/>
            <w:gridSpan w:val="3"/>
          </w:tcPr>
          <w:p>
            <w:pPr>
              <w:jc w:val="center"/>
              <w:ind w:right="580"/>
              <w:spacing w:after="0"/>
              <w:rPr>
                <w:sz w:val="20"/>
                <w:szCs w:val="20"/>
                <w:color w:val="auto"/>
              </w:rPr>
            </w:pPr>
            <w:r>
              <w:rPr>
                <w:rFonts w:ascii="Arial" w:cs="Arial" w:eastAsia="Arial" w:hAnsi="Arial"/>
                <w:sz w:val="18"/>
                <w:szCs w:val="18"/>
                <w:color w:val="auto"/>
                <w:w w:val="92"/>
              </w:rPr>
              <w:t>(Commission File Number)</w:t>
            </w:r>
          </w:p>
        </w:tc>
        <w:tc>
          <w:tcPr>
            <w:tcW w:w="3360" w:type="dxa"/>
            <w:vAlign w:val="bottom"/>
            <w:gridSpan w:val="5"/>
          </w:tcPr>
          <w:p>
            <w:pPr>
              <w:jc w:val="center"/>
              <w:ind w:left="65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220" w:type="dxa"/>
            <w:vAlign w:val="bottom"/>
            <w:gridSpan w:val="5"/>
          </w:tcPr>
          <w:p>
            <w:pPr>
              <w:jc w:val="center"/>
              <w:ind w:left="770"/>
              <w:spacing w:after="0"/>
              <w:rPr>
                <w:sz w:val="20"/>
                <w:szCs w:val="20"/>
                <w:color w:val="auto"/>
              </w:rPr>
            </w:pPr>
            <w:r>
              <w:rPr>
                <w:rFonts w:ascii="Arial" w:cs="Arial" w:eastAsia="Arial" w:hAnsi="Arial"/>
                <w:sz w:val="18"/>
                <w:szCs w:val="18"/>
                <w:color w:val="auto"/>
                <w:w w:val="89"/>
              </w:rPr>
              <w:t>400 Water Street, Suite 200, Rochester, MI</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30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308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360" w:type="dxa"/>
            <w:vAlign w:val="bottom"/>
            <w:gridSpan w:val="5"/>
          </w:tcPr>
          <w:p>
            <w:pPr>
              <w:jc w:val="center"/>
              <w:ind w:right="118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323215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4"/>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39"/>
        </w:trPr>
        <w:tc>
          <w:tcPr>
            <w:tcW w:w="460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7"/>
              </w:rPr>
              <w:t>Title of each class</w:t>
            </w:r>
          </w:p>
        </w:tc>
        <w:tc>
          <w:tcPr>
            <w:tcW w:w="260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Trading symbol</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3"/>
              </w:rPr>
              <w:t>OPRX</w:t>
            </w:r>
          </w:p>
        </w:tc>
        <w:tc>
          <w:tcPr>
            <w:tcW w:w="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56"/>
        </w:trPr>
        <w:tc>
          <w:tcPr>
            <w:tcW w:w="3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spacing w:after="0"/>
              <w:rPr>
                <w:sz w:val="22"/>
                <w:szCs w:val="22"/>
                <w:color w:val="auto"/>
              </w:rPr>
            </w:pPr>
          </w:p>
        </w:tc>
      </w:tr>
      <w:tr>
        <w:trPr>
          <w:trHeight w:val="28"/>
        </w:trPr>
        <w:tc>
          <w:tcPr>
            <w:tcW w:w="3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466"/>
        </w:trPr>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May 25, 2021, we issued a press release announcing that our CEO, Will Febbo, will participate in a fireside chat at the William Blair 41st Annual Growth Stock Conference.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tabs>
          <w:tab w:leader="none" w:pos="9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25, 2021</w:t>
        </w:r>
      </w:hyperlink>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25, 2021</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11430</wp:posOffset>
            </wp:positionV>
            <wp:extent cx="2005965"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0596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Participate in the William Blair 41st Annual Growth Stock Conference</w:t>
      </w:r>
    </w:p>
    <w:p>
      <w:pPr>
        <w:spacing w:after="0" w:line="225"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b w:val="1"/>
          <w:bCs w:val="1"/>
          <w:color w:val="auto"/>
        </w:rPr>
        <w:t xml:space="preserve">ROCHESTER, Mich. – May 25, 2021 – </w:t>
      </w:r>
      <w:r>
        <w:rPr>
          <w:rFonts w:ascii="Arial" w:cs="Arial" w:eastAsia="Arial" w:hAnsi="Arial"/>
          <w:sz w:val="18"/>
          <w:szCs w:val="18"/>
          <w:color w:val="auto"/>
        </w:rPr>
        <w:t>OptimizeRx Corp. (the “Company”) (Nasdaq: OPRX), a leading provider of digital health solutions for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companies, physicians and patients, announced today that Will Febbo, OptimizeRx’s, CEO will participate in a fireside chat at the William Blair 41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Annual Growth Stock Conference.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The live webcast and replay of the presentation will be made available on the day of the event at investors.optimizerx.com/events-and-presentations.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Details: William Blair' s 41st Annual Growth Stock Conference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323130"/>
        </w:rPr>
        <w:t xml:space="preserve">Location: </w:t>
      </w:r>
      <w:r>
        <w:rPr>
          <w:rFonts w:ascii="Arial" w:cs="Arial" w:eastAsia="Arial" w:hAnsi="Arial"/>
          <w:sz w:val="18"/>
          <w:szCs w:val="18"/>
          <w:color w:val="323130"/>
        </w:rPr>
        <w:t>Virtual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323130"/>
        </w:rPr>
        <w:t xml:space="preserve">Date: </w:t>
      </w:r>
      <w:r>
        <w:rPr>
          <w:rFonts w:ascii="Arial" w:cs="Arial" w:eastAsia="Arial" w:hAnsi="Arial"/>
          <w:sz w:val="18"/>
          <w:szCs w:val="18"/>
          <w:color w:val="323130"/>
        </w:rPr>
        <w:t>Wednesday, June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323130"/>
        </w:rPr>
        <w:t xml:space="preserve">Time: </w:t>
      </w:r>
      <w:r>
        <w:rPr>
          <w:rFonts w:ascii="Arial" w:cs="Arial" w:eastAsia="Arial" w:hAnsi="Arial"/>
          <w:sz w:val="18"/>
          <w:szCs w:val="18"/>
          <w:color w:val="323130"/>
        </w:rPr>
        <w:t>9:20-9:50 AM CT / 10:20-10:50 AM 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in section 21E of the Securities and Exchange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2021-05-25T11:16:20Z</dcterms:created>
  <dcterms:modified xsi:type="dcterms:W3CDTF">2021-05-25T11:16:20Z</dcterms:modified>
</cp:coreProperties>
</file>