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OptimizeRx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OPRX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11/08/2023</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General Counsel and CCO</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11/08/2023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1,785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15,638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11/08/2023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3"/>
              </w:rPr>
              <w:t>524</w:t>
            </w:r>
            <w:r>
              <w:rPr>
                <w:rFonts w:ascii="Arial" w:cs="Arial" w:eastAsia="Arial" w:hAnsi="Arial"/>
                <w:sz w:val="21"/>
                <w:szCs w:val="21"/>
                <w:color w:val="008000"/>
                <w:w w:val="83"/>
                <w:vertAlign w:val="superscript"/>
              </w:rPr>
              <w:t>(2)</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15,114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1,785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11/08/2023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1,785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1,785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8, 2021, the reporting person was granted 5,355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Marion K. Odence-Ford</w:t>
            </w:r>
          </w:p>
        </w:tc>
        <w:tc>
          <w:tcPr>
            <w:tcW w:w="3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11/13/2023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2023-11-13T13:35:08Z</dcterms:created>
  <dcterms:modified xsi:type="dcterms:W3CDTF">2023-11-13T13:35:08Z</dcterms:modified>
</cp:coreProperties>
</file>