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 /A</w:t>
      </w:r>
    </w:p>
    <w:p>
      <w:pPr>
        <w:spacing w:after="0" w:line="216" w:lineRule="exact"/>
        <w:rPr>
          <w:sz w:val="24"/>
          <w:szCs w:val="24"/>
          <w:color w:val="auto"/>
        </w:rPr>
      </w:pPr>
    </w:p>
    <w:p>
      <w:pPr>
        <w:ind w:left="460" w:hanging="458"/>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b w:val="1"/>
          <w:bCs w:val="1"/>
          <w:u w:val="single" w:color="auto"/>
          <w:color w:val="auto"/>
        </w:rPr>
        <w:t>September 30, 2011</w:t>
      </w:r>
    </w:p>
    <w:p>
      <w:pPr>
        <w:spacing w:after="0" w:line="216" w:lineRule="exact"/>
        <w:rPr>
          <w:sz w:val="24"/>
          <w:szCs w:val="24"/>
          <w:color w:val="auto"/>
        </w:rPr>
      </w:pPr>
    </w:p>
    <w:p>
      <w:pPr>
        <w:spacing w:after="0"/>
        <w:tabs>
          <w:tab w:leader="none" w:pos="4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Transition Report pursuant to 13 or 15(d) of the Securities Exchange Act of 1934</w:t>
      </w:r>
    </w:p>
    <w:p>
      <w:pPr>
        <w:spacing w:after="0" w:line="212" w:lineRule="exact"/>
        <w:rPr>
          <w:sz w:val="24"/>
          <w:szCs w:val="24"/>
          <w:color w:val="auto"/>
        </w:rPr>
      </w:pPr>
    </w:p>
    <w:p>
      <w:pPr>
        <w:ind w:left="7420"/>
        <w:spacing w:after="0"/>
        <w:rPr>
          <w:sz w:val="20"/>
          <w:szCs w:val="20"/>
          <w:color w:val="auto"/>
        </w:rPr>
      </w:pPr>
      <w:r>
        <w:rPr>
          <w:rFonts w:ascii="Arial" w:cs="Arial" w:eastAsia="Arial" w:hAnsi="Arial"/>
          <w:sz w:val="15"/>
          <w:szCs w:val="15"/>
          <w:color w:val="auto"/>
        </w:rPr>
        <w:t>For the transition period from __________ to __________</w:t>
      </w:r>
    </w:p>
    <w:p>
      <w:pPr>
        <w:spacing w:after="0" w:line="231" w:lineRule="exact"/>
        <w:rPr>
          <w:sz w:val="24"/>
          <w:szCs w:val="24"/>
          <w:color w:val="auto"/>
        </w:rPr>
      </w:pPr>
    </w:p>
    <w:p>
      <w:pPr>
        <w:ind w:left="8800"/>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u w:val="single" w:color="auto"/>
          <w:color w:val="auto"/>
        </w:rPr>
        <w:t>000-53605</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OptimizeRx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82" w:lineRule="exact"/>
        <w:rPr>
          <w:sz w:val="24"/>
          <w:szCs w:val="24"/>
          <w:color w:val="auto"/>
        </w:rPr>
      </w:pPr>
    </w:p>
    <w:tbl>
      <w:tblPr>
        <w:tblLayout w:type="fixed"/>
        <w:tblInd w:w="84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Nevada</w:t>
            </w:r>
          </w:p>
        </w:tc>
        <w:tc>
          <w:tcPr>
            <w:tcW w:w="410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26-1265381</w:t>
            </w:r>
          </w:p>
        </w:tc>
        <w:tc>
          <w:tcPr>
            <w:tcW w:w="760" w:type="dxa"/>
            <w:vAlign w:val="bottom"/>
          </w:tcPr>
          <w:p>
            <w:pPr>
              <w:spacing w:after="0"/>
              <w:rPr>
                <w:sz w:val="16"/>
                <w:szCs w:val="16"/>
                <w:color w:val="auto"/>
              </w:rPr>
            </w:pPr>
          </w:p>
        </w:tc>
      </w:tr>
      <w:tr>
        <w:trPr>
          <w:trHeight w:val="221"/>
        </w:trPr>
        <w:tc>
          <w:tcPr>
            <w:tcW w:w="6400" w:type="dxa"/>
            <w:vAlign w:val="bottom"/>
            <w:gridSpan w:val="7"/>
          </w:tcPr>
          <w:p>
            <w:pPr>
              <w:jc w:val="center"/>
              <w:ind w:right="2360"/>
              <w:spacing w:after="0"/>
              <w:rPr>
                <w:sz w:val="20"/>
                <w:szCs w:val="20"/>
                <w:color w:val="auto"/>
              </w:rPr>
            </w:pPr>
            <w:r>
              <w:rPr>
                <w:rFonts w:ascii="Arial" w:cs="Arial" w:eastAsia="Arial" w:hAnsi="Arial"/>
                <w:sz w:val="17"/>
                <w:szCs w:val="17"/>
                <w:color w:val="auto"/>
                <w:w w:val="92"/>
              </w:rPr>
              <w:t>(State or other jurisdiction of incorporation or organization)</w:t>
            </w:r>
          </w:p>
        </w:tc>
        <w:tc>
          <w:tcPr>
            <w:tcW w:w="2500" w:type="dxa"/>
            <w:vAlign w:val="bottom"/>
            <w:gridSpan w:val="3"/>
          </w:tcPr>
          <w:p>
            <w:pPr>
              <w:jc w:val="center"/>
              <w:ind w:left="75"/>
              <w:spacing w:after="0"/>
              <w:rPr>
                <w:sz w:val="20"/>
                <w:szCs w:val="20"/>
                <w:color w:val="auto"/>
              </w:rPr>
            </w:pPr>
            <w:r>
              <w:rPr>
                <w:rFonts w:ascii="Arial" w:cs="Arial" w:eastAsia="Arial" w:hAnsi="Arial"/>
                <w:sz w:val="17"/>
                <w:szCs w:val="17"/>
                <w:color w:val="auto"/>
                <w:w w:val="94"/>
              </w:rPr>
              <w:t>(IRS Employer Identification No.)</w:t>
            </w:r>
          </w:p>
        </w:tc>
      </w:tr>
      <w:tr>
        <w:trPr>
          <w:trHeight w:val="392"/>
        </w:trPr>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00" w:type="dxa"/>
            <w:vAlign w:val="bottom"/>
            <w:gridSpan w:val="4"/>
          </w:tcPr>
          <w:p>
            <w:pPr>
              <w:jc w:val="center"/>
              <w:ind w:right="740"/>
              <w:spacing w:after="0"/>
              <w:rPr>
                <w:sz w:val="20"/>
                <w:szCs w:val="20"/>
                <w:color w:val="auto"/>
              </w:rPr>
            </w:pPr>
            <w:r>
              <w:rPr>
                <w:rFonts w:ascii="Arial" w:cs="Arial" w:eastAsia="Arial" w:hAnsi="Arial"/>
                <w:sz w:val="17"/>
                <w:szCs w:val="17"/>
                <w:b w:val="1"/>
                <w:bCs w:val="1"/>
                <w:color w:val="auto"/>
                <w:w w:val="89"/>
              </w:rPr>
              <w:t>407 6th Street</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1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7"/>
                <w:szCs w:val="17"/>
                <w:b w:val="1"/>
                <w:bCs w:val="1"/>
                <w:color w:val="auto"/>
                <w:w w:val="91"/>
              </w:rPr>
              <w:t>Rochester, MI, 48307</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left="955"/>
              <w:spacing w:after="0"/>
              <w:rPr>
                <w:sz w:val="20"/>
                <w:szCs w:val="20"/>
                <w:color w:val="auto"/>
              </w:rPr>
            </w:pPr>
            <w:r>
              <w:rPr>
                <w:rFonts w:ascii="Arial" w:cs="Arial" w:eastAsia="Arial" w:hAnsi="Arial"/>
                <w:sz w:val="17"/>
                <w:szCs w:val="17"/>
                <w:color w:val="auto"/>
                <w:w w:val="92"/>
              </w:rPr>
              <w:t>(Address of principal executive offices)</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70"/>
        </w:trPr>
        <w:tc>
          <w:tcPr>
            <w:tcW w:w="5360" w:type="dxa"/>
            <w:vAlign w:val="bottom"/>
            <w:gridSpan w:val="5"/>
          </w:tcPr>
          <w:p>
            <w:pPr>
              <w:jc w:val="center"/>
              <w:ind w:left="4315"/>
              <w:spacing w:after="0"/>
              <w:rPr>
                <w:sz w:val="20"/>
                <w:szCs w:val="20"/>
                <w:color w:val="auto"/>
              </w:rPr>
            </w:pPr>
            <w:r>
              <w:rPr>
                <w:rFonts w:ascii="Arial" w:cs="Arial" w:eastAsia="Arial" w:hAnsi="Arial"/>
                <w:sz w:val="17"/>
                <w:szCs w:val="17"/>
                <w:b w:val="1"/>
                <w:bCs w:val="1"/>
                <w:color w:val="auto"/>
                <w:w w:val="90"/>
              </w:rPr>
              <w:t>248-651-6568</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1"/>
        </w:trPr>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left="955"/>
              <w:spacing w:after="0"/>
              <w:rPr>
                <w:sz w:val="20"/>
                <w:szCs w:val="20"/>
                <w:color w:val="auto"/>
              </w:rPr>
            </w:pPr>
            <w:r>
              <w:rPr>
                <w:rFonts w:ascii="Arial" w:cs="Arial" w:eastAsia="Arial" w:hAnsi="Arial"/>
                <w:sz w:val="17"/>
                <w:szCs w:val="17"/>
                <w:color w:val="auto"/>
                <w:w w:val="89"/>
              </w:rPr>
              <w:t>(Registrant's telephone number)</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92"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0" w:lineRule="exact"/>
        <w:rPr>
          <w:sz w:val="24"/>
          <w:szCs w:val="24"/>
          <w:color w:val="auto"/>
        </w:rPr>
      </w:pPr>
    </w:p>
    <w:p>
      <w:pPr>
        <w:ind w:right="60"/>
        <w:spacing w:after="0" w:line="25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[X] Yes  [ ] No</w:t>
      </w:r>
    </w:p>
    <w:p>
      <w:pPr>
        <w:spacing w:after="0" w:line="200" w:lineRule="exact"/>
        <w:rPr>
          <w:sz w:val="24"/>
          <w:szCs w:val="24"/>
          <w:color w:val="auto"/>
        </w:rPr>
      </w:pPr>
    </w:p>
    <w:p>
      <w:pPr>
        <w:ind w:right="80"/>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9" w:right="239" w:bottom="1440" w:gutter="0" w:footer="0" w:header="0"/>
        </w:sectPr>
      </w:pPr>
    </w:p>
    <w:p>
      <w:pPr>
        <w:spacing w:after="0" w:line="212" w:lineRule="exact"/>
        <w:rPr>
          <w:sz w:val="24"/>
          <w:szCs w:val="24"/>
          <w:color w:val="auto"/>
        </w:rPr>
      </w:pPr>
    </w:p>
    <w:p>
      <w:pPr>
        <w:ind w:right="2100"/>
        <w:spacing w:after="0" w:line="274" w:lineRule="auto"/>
        <w:rPr>
          <w:sz w:val="20"/>
          <w:szCs w:val="20"/>
          <w:color w:val="auto"/>
        </w:rPr>
      </w:pPr>
      <w:r>
        <w:rPr>
          <w:rFonts w:ascii="Arial" w:cs="Arial" w:eastAsia="Arial" w:hAnsi="Arial"/>
          <w:sz w:val="17"/>
          <w:szCs w:val="17"/>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color w:val="auto"/>
        </w:rPr>
        <w:t>[ ] Non-accelerated filer</w:t>
      </w:r>
    </w:p>
    <w:p>
      <w:pPr>
        <w:spacing w:after="0" w:line="437" w:lineRule="exact"/>
        <w:rPr>
          <w:sz w:val="24"/>
          <w:szCs w:val="24"/>
          <w:color w:val="auto"/>
        </w:rPr>
      </w:pPr>
    </w:p>
    <w:p>
      <w:pPr>
        <w:sectPr>
          <w:pgSz w:w="11900" w:h="16838" w:orient="portrait"/>
          <w:cols w:equalWidth="0" w:num="2">
            <w:col w:w="5000" w:space="720"/>
            <w:col w:w="570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State the number of shares outstanding of each of the issuer’s classes of common stock, as of the latest practicable date: 14,192,496 shares as of November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286385</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EXPLANATORY NOTE</w:t>
      </w:r>
    </w:p>
    <w:p>
      <w:pPr>
        <w:spacing w:after="0" w:line="2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This Amendment No. 1 to the Quarterly Report on Form 10-Q/A (the “Amendment”) amends the Quarterly Report on Form 10-Q of OptimizeRx Corporation (the “Company”) for the quarter ended September 30, 2011 (the “Original Filing”), that was originally filed with the U.S. Securities and Exchange Commission on November 14, 2011. The Amendment is being filed to correct a disclosure made in Note 19 to the financial statements about not having proceeds as of November 7, 2011 in the Beringea arbitration. The Amendment revises that disclosure incorrect to state that proceeds were in fact received as of October 7, 2011.</w:t>
      </w:r>
    </w:p>
    <w:p>
      <w:pPr>
        <w:spacing w:after="0" w:line="15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Except as described above, the Amendment does not modify or update the disclosures presented in, or exhibits to, the Original Filing in any way. The Amendment continues to speak as of the date of the Original Filing. Furthermore, the Amendment does not reflect events occurring after the filing of the Original Filing. Accordingly, the Amendment should be read in conjunction with the Original Filing, as well as the Company’s other filings made with the SEC pursuant to Section 13(a) or 15(d) of the Exchange Act subsequent to the filing of the Original Filing.</w:t>
      </w:r>
    </w:p>
    <w:p>
      <w:pPr>
        <w:spacing w:after="0" w:line="18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140"/>
          </w:cols>
          <w:pgMar w:left="240" w:top="229" w:right="5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144780</wp:posOffset>
            </wp:positionV>
            <wp:extent cx="1906270" cy="42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270"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Page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8"/>
          </w:tcPr>
          <w:p>
            <w:pPr>
              <w:jc w:val="center"/>
              <w:ind w:right="1900"/>
              <w:spacing w:after="0"/>
              <w:rPr>
                <w:sz w:val="20"/>
                <w:szCs w:val="20"/>
                <w:color w:val="auto"/>
              </w:rPr>
            </w:pPr>
            <w:r>
              <w:rPr>
                <w:rFonts w:ascii="Arial" w:cs="Arial" w:eastAsia="Arial" w:hAnsi="Arial"/>
                <w:sz w:val="17"/>
                <w:szCs w:val="17"/>
                <w:b w:val="1"/>
                <w:bCs w:val="1"/>
                <w:color w:val="auto"/>
              </w:rPr>
              <w:t>PART I – FINANCIAL INFORMATION</w:t>
            </w: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20" w:type="dxa"/>
            <w:vAlign w:val="bottom"/>
            <w:vMerge w:val="continue"/>
          </w:tcPr>
          <w:p>
            <w:pPr>
              <w:spacing w:after="0"/>
              <w:rPr>
                <w:sz w:val="15"/>
                <w:szCs w:val="15"/>
                <w:color w:val="auto"/>
              </w:rPr>
            </w:pPr>
          </w:p>
        </w:tc>
        <w:tc>
          <w:tcPr>
            <w:tcW w:w="800" w:type="dxa"/>
            <w:vAlign w:val="bottom"/>
            <w:tcBorders>
              <w:bottom w:val="single" w:sz="8" w:color="CCEECC"/>
            </w:tcBorders>
            <w:shd w:val="clear" w:color="auto" w:fill="CCEECC"/>
          </w:tcPr>
          <w:p>
            <w:pPr>
              <w:spacing w:after="0" w:line="166" w:lineRule="exact"/>
              <w:rPr>
                <w:sz w:val="20"/>
                <w:szCs w:val="20"/>
                <w:color w:val="auto"/>
              </w:rPr>
            </w:pPr>
            <w:r>
              <w:rPr>
                <w:rFonts w:ascii="Arial" w:cs="Arial" w:eastAsia="Arial" w:hAnsi="Arial"/>
                <w:sz w:val="17"/>
                <w:szCs w:val="17"/>
                <w:color w:val="auto"/>
              </w:rPr>
              <w:t>Item 1:</w:t>
            </w:r>
          </w:p>
        </w:tc>
        <w:tc>
          <w:tcPr>
            <w:tcW w:w="1420" w:type="dxa"/>
            <w:vAlign w:val="bottom"/>
            <w:tcBorders>
              <w:bottom w:val="single" w:sz="8" w:color="0000EE"/>
            </w:tcBorders>
            <w:gridSpan w:val="5"/>
            <w:shd w:val="clear" w:color="auto" w:fill="CCEECC"/>
          </w:tcPr>
          <w:p>
            <w:pPr>
              <w:spacing w:after="0" w:line="166" w:lineRule="exact"/>
              <w:rPr>
                <w:rFonts w:ascii="Arial" w:cs="Arial" w:eastAsia="Arial" w:hAnsi="Arial"/>
                <w:sz w:val="17"/>
                <w:szCs w:val="17"/>
                <w:color w:val="0000EE"/>
                <w:w w:val="88"/>
              </w:rPr>
            </w:pPr>
            <w:hyperlink w:anchor="page4">
              <w:r>
                <w:rPr>
                  <w:rFonts w:ascii="Arial" w:cs="Arial" w:eastAsia="Arial" w:hAnsi="Arial"/>
                  <w:sz w:val="17"/>
                  <w:szCs w:val="17"/>
                  <w:color w:val="0000EE"/>
                  <w:w w:val="88"/>
                </w:rPr>
                <w:t>Financial Statements</w:t>
              </w:r>
            </w:hyperlink>
          </w:p>
        </w:tc>
        <w:tc>
          <w:tcPr>
            <w:tcW w:w="5200" w:type="dxa"/>
            <w:vAlign w:val="bottom"/>
            <w:tcBorders>
              <w:bottom w:val="single" w:sz="8" w:color="CCEECC"/>
            </w:tcBorders>
            <w:gridSpan w:val="10"/>
            <w:shd w:val="clear" w:color="auto" w:fill="CCEECC"/>
          </w:tcPr>
          <w:p>
            <w:pPr>
              <w:spacing w:after="0"/>
              <w:rPr>
                <w:sz w:val="15"/>
                <w:szCs w:val="15"/>
                <w:color w:val="auto"/>
              </w:rPr>
            </w:pPr>
          </w:p>
        </w:tc>
        <w:tc>
          <w:tcPr>
            <w:tcW w:w="340" w:type="dxa"/>
            <w:vAlign w:val="bottom"/>
            <w:tcBorders>
              <w:bottom w:val="single" w:sz="8" w:color="CCEECC"/>
            </w:tcBorders>
            <w:shd w:val="clear" w:color="auto" w:fill="CCEECC"/>
          </w:tcPr>
          <w:p>
            <w:pPr>
              <w:jc w:val="right"/>
              <w:ind w:right="15"/>
              <w:spacing w:after="0" w:line="166" w:lineRule="exact"/>
              <w:rPr>
                <w:sz w:val="20"/>
                <w:szCs w:val="20"/>
                <w:color w:val="auto"/>
              </w:rPr>
            </w:pPr>
            <w:r>
              <w:rPr>
                <w:rFonts w:ascii="Arial" w:cs="Arial" w:eastAsia="Arial" w:hAnsi="Arial"/>
                <w:sz w:val="17"/>
                <w:szCs w:val="17"/>
                <w:color w:val="auto"/>
              </w:rPr>
              <w:t>3</w:t>
            </w:r>
          </w:p>
        </w:tc>
        <w:tc>
          <w:tcPr>
            <w:tcW w:w="2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2:</w:t>
            </w:r>
          </w:p>
        </w:tc>
        <w:tc>
          <w:tcPr>
            <w:tcW w:w="6620" w:type="dxa"/>
            <w:vAlign w:val="bottom"/>
            <w:gridSpan w:val="15"/>
          </w:tcPr>
          <w:p>
            <w:pPr>
              <w:spacing w:after="0" w:line="166" w:lineRule="exact"/>
              <w:rPr>
                <w:rFonts w:ascii="Arial" w:cs="Arial" w:eastAsia="Arial" w:hAnsi="Arial"/>
                <w:sz w:val="17"/>
                <w:szCs w:val="17"/>
                <w:color w:val="0000EE"/>
                <w:w w:val="98"/>
              </w:rPr>
            </w:pPr>
            <w:hyperlink w:anchor="page21">
              <w:r>
                <w:rPr>
                  <w:rFonts w:ascii="Arial" w:cs="Arial" w:eastAsia="Arial" w:hAnsi="Arial"/>
                  <w:sz w:val="17"/>
                  <w:szCs w:val="17"/>
                  <w:color w:val="0000EE"/>
                  <w:w w:val="98"/>
                </w:rPr>
                <w:t>Management’s Discussion and Analysis of Financial Condition and Results of Operations</w:t>
              </w:r>
            </w:hyperlink>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5</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shd w:val="clear" w:color="auto" w:fill="CCEECC"/>
          </w:tcPr>
          <w:p>
            <w:pPr>
              <w:spacing w:after="0" w:line="184" w:lineRule="exact"/>
              <w:rPr>
                <w:sz w:val="20"/>
                <w:szCs w:val="20"/>
                <w:color w:val="auto"/>
              </w:rPr>
            </w:pPr>
            <w:r>
              <w:rPr>
                <w:rFonts w:ascii="Arial" w:cs="Arial" w:eastAsia="Arial" w:hAnsi="Arial"/>
                <w:sz w:val="17"/>
                <w:szCs w:val="17"/>
                <w:color w:val="auto"/>
              </w:rPr>
              <w:t>Item 3:</w:t>
            </w:r>
          </w:p>
        </w:tc>
        <w:tc>
          <w:tcPr>
            <w:tcW w:w="6080" w:type="dxa"/>
            <w:vAlign w:val="bottom"/>
            <w:tcBorders>
              <w:top w:val="single" w:sz="8" w:color="0000EE"/>
            </w:tcBorders>
            <w:gridSpan w:val="14"/>
            <w:shd w:val="clear" w:color="auto" w:fill="CCEECC"/>
          </w:tcPr>
          <w:p>
            <w:pPr>
              <w:spacing w:after="0" w:line="184" w:lineRule="exact"/>
              <w:rPr>
                <w:rFonts w:ascii="Arial" w:cs="Arial" w:eastAsia="Arial" w:hAnsi="Arial"/>
                <w:sz w:val="17"/>
                <w:szCs w:val="17"/>
                <w:color w:val="0000EE"/>
              </w:rPr>
            </w:pPr>
            <w:hyperlink w:anchor="page24">
              <w:r>
                <w:rPr>
                  <w:rFonts w:ascii="Arial" w:cs="Arial" w:eastAsia="Arial" w:hAnsi="Arial"/>
                  <w:sz w:val="17"/>
                  <w:szCs w:val="17"/>
                  <w:color w:val="0000EE"/>
                </w:rPr>
                <w:t>Quantitative and Qualitative Disclosures About Market Risk</w:t>
              </w:r>
            </w:hyperlink>
          </w:p>
        </w:tc>
        <w:tc>
          <w:tcPr>
            <w:tcW w:w="540" w:type="dxa"/>
            <w:vAlign w:val="bottom"/>
            <w:shd w:val="clear" w:color="auto" w:fill="CCEECC"/>
          </w:tcPr>
          <w:p>
            <w:pPr>
              <w:spacing w:after="0"/>
              <w:rPr>
                <w:sz w:val="17"/>
                <w:szCs w:val="17"/>
                <w:color w:val="auto"/>
              </w:rPr>
            </w:pPr>
          </w:p>
        </w:tc>
        <w:tc>
          <w:tcPr>
            <w:tcW w:w="340" w:type="dxa"/>
            <w:vAlign w:val="bottom"/>
            <w:shd w:val="clear" w:color="auto" w:fill="CCEECC"/>
          </w:tcPr>
          <w:p>
            <w:pPr>
              <w:jc w:val="right"/>
              <w:spacing w:after="0" w:line="184" w:lineRule="exact"/>
              <w:rPr>
                <w:sz w:val="20"/>
                <w:szCs w:val="20"/>
                <w:color w:val="auto"/>
              </w:rPr>
            </w:pPr>
            <w:r>
              <w:rPr>
                <w:rFonts w:ascii="Arial" w:cs="Arial" w:eastAsia="Arial" w:hAnsi="Arial"/>
                <w:sz w:val="17"/>
                <w:szCs w:val="17"/>
                <w:color w:val="auto"/>
              </w:rPr>
              <w:t>8</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800" w:type="dxa"/>
            <w:vAlign w:val="bottom"/>
            <w:tcBorders>
              <w:top w:val="single" w:sz="8" w:color="CCEECC"/>
            </w:tcBorders>
          </w:tcPr>
          <w:p>
            <w:pPr>
              <w:spacing w:after="0" w:line="166" w:lineRule="exact"/>
              <w:rPr>
                <w:sz w:val="20"/>
                <w:szCs w:val="20"/>
                <w:color w:val="auto"/>
              </w:rPr>
            </w:pPr>
            <w:r>
              <w:rPr>
                <w:rFonts w:ascii="Arial" w:cs="Arial" w:eastAsia="Arial" w:hAnsi="Arial"/>
                <w:sz w:val="17"/>
                <w:szCs w:val="17"/>
                <w:color w:val="auto"/>
              </w:rPr>
              <w:t>Item 4:</w:t>
            </w:r>
          </w:p>
        </w:tc>
        <w:tc>
          <w:tcPr>
            <w:tcW w:w="4100" w:type="dxa"/>
            <w:vAlign w:val="bottom"/>
            <w:tcBorders>
              <w:top w:val="single" w:sz="8" w:color="0000EE"/>
            </w:tcBorders>
            <w:gridSpan w:val="11"/>
          </w:tcPr>
          <w:p>
            <w:pPr>
              <w:spacing w:after="0" w:line="166" w:lineRule="exact"/>
              <w:rPr>
                <w:rFonts w:ascii="Arial" w:cs="Arial" w:eastAsia="Arial" w:hAnsi="Arial"/>
                <w:sz w:val="17"/>
                <w:szCs w:val="17"/>
                <w:color w:val="0000EE"/>
              </w:rPr>
            </w:pPr>
            <w:hyperlink w:anchor="page24">
              <w:r>
                <w:rPr>
                  <w:rFonts w:ascii="Arial" w:cs="Arial" w:eastAsia="Arial" w:hAnsi="Arial"/>
                  <w:sz w:val="17"/>
                  <w:szCs w:val="17"/>
                  <w:color w:val="0000EE"/>
                </w:rPr>
                <w:t>Controls and Procedures</w:t>
              </w:r>
            </w:hyperlink>
          </w:p>
        </w:tc>
        <w:tc>
          <w:tcPr>
            <w:tcW w:w="2520" w:type="dxa"/>
            <w:vAlign w:val="bottom"/>
            <w:tcBorders>
              <w:top w:val="single" w:sz="8" w:color="CCEECC"/>
            </w:tcBorders>
            <w:gridSpan w:val="4"/>
          </w:tcPr>
          <w:p>
            <w:pPr>
              <w:spacing w:after="0"/>
              <w:rPr>
                <w:sz w:val="15"/>
                <w:szCs w:val="15"/>
                <w:color w:val="auto"/>
              </w:rPr>
            </w:pPr>
          </w:p>
        </w:tc>
        <w:tc>
          <w:tcPr>
            <w:tcW w:w="340" w:type="dxa"/>
            <w:vAlign w:val="bottom"/>
            <w:tcBorders>
              <w:top w:val="single" w:sz="8" w:color="CCEECC"/>
            </w:tcBorders>
          </w:tcPr>
          <w:p>
            <w:pPr>
              <w:jc w:val="right"/>
              <w:spacing w:after="0" w:line="166" w:lineRule="exact"/>
              <w:rPr>
                <w:sz w:val="20"/>
                <w:szCs w:val="20"/>
                <w:color w:val="auto"/>
              </w:rPr>
            </w:pPr>
            <w:r>
              <w:rPr>
                <w:rFonts w:ascii="Arial" w:cs="Arial" w:eastAsia="Arial" w:hAnsi="Arial"/>
                <w:sz w:val="17"/>
                <w:szCs w:val="17"/>
                <w:color w:val="auto"/>
              </w:rPr>
              <w:t>8</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800" w:type="dxa"/>
            <w:vAlign w:val="bottom"/>
            <w:shd w:val="clear" w:color="auto" w:fill="CCEECC"/>
          </w:tcPr>
          <w:p>
            <w:pPr>
              <w:spacing w:after="0"/>
              <w:rPr>
                <w:sz w:val="24"/>
                <w:szCs w:val="24"/>
                <w:color w:val="auto"/>
              </w:rPr>
            </w:pPr>
          </w:p>
        </w:tc>
        <w:tc>
          <w:tcPr>
            <w:tcW w:w="560" w:type="dxa"/>
            <w:vAlign w:val="bottom"/>
            <w:tcBorders>
              <w:top w:val="single" w:sz="8" w:color="0000EE"/>
            </w:tcBorders>
            <w:shd w:val="clear" w:color="auto" w:fill="CCEECC"/>
          </w:tcPr>
          <w:p>
            <w:pPr>
              <w:spacing w:after="0"/>
              <w:rPr>
                <w:sz w:val="24"/>
                <w:szCs w:val="24"/>
                <w:color w:val="auto"/>
              </w:rPr>
            </w:pPr>
          </w:p>
        </w:tc>
        <w:tc>
          <w:tcPr>
            <w:tcW w:w="300" w:type="dxa"/>
            <w:vAlign w:val="bottom"/>
            <w:tcBorders>
              <w:top w:val="single" w:sz="8" w:color="0000EE"/>
            </w:tcBorders>
            <w:shd w:val="clear" w:color="auto" w:fill="CCEECC"/>
          </w:tcPr>
          <w:p>
            <w:pPr>
              <w:spacing w:after="0"/>
              <w:rPr>
                <w:sz w:val="24"/>
                <w:szCs w:val="24"/>
                <w:color w:val="auto"/>
              </w:rPr>
            </w:pPr>
          </w:p>
        </w:tc>
        <w:tc>
          <w:tcPr>
            <w:tcW w:w="380" w:type="dxa"/>
            <w:vAlign w:val="bottom"/>
            <w:tcBorders>
              <w:top w:val="single" w:sz="8" w:color="0000EE"/>
            </w:tcBorders>
            <w:shd w:val="clear" w:color="auto" w:fill="CCEECC"/>
          </w:tcPr>
          <w:p>
            <w:pPr>
              <w:spacing w:after="0"/>
              <w:rPr>
                <w:sz w:val="24"/>
                <w:szCs w:val="24"/>
                <w:color w:val="auto"/>
              </w:rPr>
            </w:pPr>
          </w:p>
        </w:tc>
        <w:tc>
          <w:tcPr>
            <w:tcW w:w="20" w:type="dxa"/>
            <w:vAlign w:val="bottom"/>
            <w:tcBorders>
              <w:top w:val="single" w:sz="8" w:color="0000EE"/>
            </w:tcBorders>
            <w:shd w:val="clear" w:color="auto" w:fill="CCEECC"/>
          </w:tcPr>
          <w:p>
            <w:pPr>
              <w:spacing w:after="0"/>
              <w:rPr>
                <w:sz w:val="24"/>
                <w:szCs w:val="24"/>
                <w:color w:val="auto"/>
              </w:rPr>
            </w:pPr>
          </w:p>
        </w:tc>
        <w:tc>
          <w:tcPr>
            <w:tcW w:w="160" w:type="dxa"/>
            <w:vAlign w:val="bottom"/>
            <w:tcBorders>
              <w:top w:val="single" w:sz="8" w:color="0000EE"/>
            </w:tcBorders>
            <w:shd w:val="clear" w:color="auto" w:fill="CCEECC"/>
          </w:tcPr>
          <w:p>
            <w:pPr>
              <w:spacing w:after="0"/>
              <w:rPr>
                <w:sz w:val="24"/>
                <w:szCs w:val="24"/>
                <w:color w:val="auto"/>
              </w:rPr>
            </w:pPr>
          </w:p>
        </w:tc>
        <w:tc>
          <w:tcPr>
            <w:tcW w:w="200" w:type="dxa"/>
            <w:vAlign w:val="bottom"/>
            <w:tcBorders>
              <w:top w:val="single" w:sz="8" w:color="0000EE"/>
            </w:tcBorders>
            <w:shd w:val="clear" w:color="auto" w:fill="CCEECC"/>
          </w:tcPr>
          <w:p>
            <w:pPr>
              <w:spacing w:after="0"/>
              <w:rPr>
                <w:sz w:val="24"/>
                <w:szCs w:val="24"/>
                <w:color w:val="auto"/>
              </w:rPr>
            </w:pPr>
          </w:p>
        </w:tc>
        <w:tc>
          <w:tcPr>
            <w:tcW w:w="40" w:type="dxa"/>
            <w:vAlign w:val="bottom"/>
            <w:tcBorders>
              <w:top w:val="single" w:sz="8" w:color="0000EE"/>
            </w:tcBorders>
            <w:shd w:val="clear" w:color="auto" w:fill="CCEECC"/>
          </w:tcPr>
          <w:p>
            <w:pPr>
              <w:spacing w:after="0"/>
              <w:rPr>
                <w:sz w:val="24"/>
                <w:szCs w:val="24"/>
                <w:color w:val="auto"/>
              </w:rPr>
            </w:pPr>
          </w:p>
        </w:tc>
        <w:tc>
          <w:tcPr>
            <w:tcW w:w="40" w:type="dxa"/>
            <w:vAlign w:val="bottom"/>
            <w:shd w:val="clear" w:color="auto" w:fill="CCEECC"/>
          </w:tcPr>
          <w:p>
            <w:pPr>
              <w:spacing w:after="0"/>
              <w:rPr>
                <w:sz w:val="24"/>
                <w:szCs w:val="24"/>
                <w:color w:val="auto"/>
              </w:rPr>
            </w:pPr>
          </w:p>
        </w:tc>
        <w:tc>
          <w:tcPr>
            <w:tcW w:w="4920" w:type="dxa"/>
            <w:vAlign w:val="bottom"/>
            <w:gridSpan w:val="7"/>
            <w:shd w:val="clear" w:color="auto" w:fill="CCEECC"/>
          </w:tcPr>
          <w:p>
            <w:pPr>
              <w:jc w:val="center"/>
              <w:ind w:right="1940"/>
              <w:spacing w:after="0"/>
              <w:rPr>
                <w:sz w:val="20"/>
                <w:szCs w:val="20"/>
                <w:color w:val="auto"/>
              </w:rPr>
            </w:pPr>
            <w:r>
              <w:rPr>
                <w:rFonts w:ascii="Arial" w:cs="Arial" w:eastAsia="Arial" w:hAnsi="Arial"/>
                <w:sz w:val="17"/>
                <w:szCs w:val="17"/>
                <w:b w:val="1"/>
                <w:bCs w:val="1"/>
                <w:color w:val="auto"/>
              </w:rPr>
              <w:t>PART II – OTHER INFORMATION</w:t>
            </w:r>
          </w:p>
        </w:tc>
        <w:tc>
          <w:tcPr>
            <w:tcW w:w="340" w:type="dxa"/>
            <w:vAlign w:val="bottom"/>
            <w:shd w:val="clear" w:color="auto" w:fill="CCEECC"/>
          </w:tcPr>
          <w:p>
            <w:pPr>
              <w:spacing w:after="0"/>
              <w:rPr>
                <w:sz w:val="24"/>
                <w:szCs w:val="24"/>
                <w:color w:val="auto"/>
              </w:rPr>
            </w:pPr>
          </w:p>
        </w:tc>
        <w:tc>
          <w:tcPr>
            <w:tcW w:w="220" w:type="dxa"/>
            <w:vAlign w:val="bottom"/>
            <w:shd w:val="clear" w:color="auto" w:fill="CCEECC"/>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tcPr>
          <w:p>
            <w:pPr>
              <w:spacing w:after="0"/>
              <w:rPr>
                <w:sz w:val="19"/>
                <w:szCs w:val="19"/>
                <w:color w:val="auto"/>
              </w:rPr>
            </w:pPr>
          </w:p>
        </w:tc>
        <w:tc>
          <w:tcPr>
            <w:tcW w:w="800" w:type="dxa"/>
            <w:vAlign w:val="bottom"/>
            <w:tcBorders>
              <w:top w:val="single" w:sz="8" w:color="CCEECC"/>
            </w:tcBorders>
            <w:shd w:val="clear" w:color="auto" w:fill="CCEECC"/>
          </w:tcPr>
          <w:p>
            <w:pPr>
              <w:spacing w:after="0"/>
              <w:rPr>
                <w:sz w:val="19"/>
                <w:szCs w:val="19"/>
                <w:color w:val="auto"/>
              </w:rPr>
            </w:pPr>
          </w:p>
        </w:tc>
        <w:tc>
          <w:tcPr>
            <w:tcW w:w="560" w:type="dxa"/>
            <w:vAlign w:val="bottom"/>
            <w:tcBorders>
              <w:top w:val="single" w:sz="8" w:color="CCEECC"/>
            </w:tcBorders>
            <w:shd w:val="clear" w:color="auto" w:fill="CCEECC"/>
          </w:tcPr>
          <w:p>
            <w:pPr>
              <w:spacing w:after="0"/>
              <w:rPr>
                <w:sz w:val="19"/>
                <w:szCs w:val="19"/>
                <w:color w:val="auto"/>
              </w:rPr>
            </w:pPr>
          </w:p>
        </w:tc>
        <w:tc>
          <w:tcPr>
            <w:tcW w:w="300" w:type="dxa"/>
            <w:vAlign w:val="bottom"/>
            <w:tcBorders>
              <w:top w:val="single" w:sz="8" w:color="CCEECC"/>
            </w:tcBorders>
            <w:shd w:val="clear" w:color="auto" w:fill="CCEECC"/>
          </w:tcPr>
          <w:p>
            <w:pPr>
              <w:spacing w:after="0"/>
              <w:rPr>
                <w:sz w:val="19"/>
                <w:szCs w:val="19"/>
                <w:color w:val="auto"/>
              </w:rPr>
            </w:pPr>
          </w:p>
        </w:tc>
        <w:tc>
          <w:tcPr>
            <w:tcW w:w="380" w:type="dxa"/>
            <w:vAlign w:val="bottom"/>
            <w:tcBorders>
              <w:top w:val="single" w:sz="8" w:color="CCEECC"/>
            </w:tcBorders>
            <w:shd w:val="clear" w:color="auto" w:fill="CCEECC"/>
          </w:tcPr>
          <w:p>
            <w:pPr>
              <w:spacing w:after="0"/>
              <w:rPr>
                <w:sz w:val="19"/>
                <w:szCs w:val="19"/>
                <w:color w:val="auto"/>
              </w:rPr>
            </w:pPr>
          </w:p>
        </w:tc>
        <w:tc>
          <w:tcPr>
            <w:tcW w:w="20" w:type="dxa"/>
            <w:vAlign w:val="bottom"/>
            <w:tcBorders>
              <w:top w:val="single" w:sz="8" w:color="CCEECC"/>
            </w:tcBorders>
            <w:shd w:val="clear" w:color="auto" w:fill="CCEECC"/>
          </w:tcPr>
          <w:p>
            <w:pPr>
              <w:spacing w:after="0"/>
              <w:rPr>
                <w:sz w:val="19"/>
                <w:szCs w:val="19"/>
                <w:color w:val="auto"/>
              </w:rPr>
            </w:pPr>
          </w:p>
        </w:tc>
        <w:tc>
          <w:tcPr>
            <w:tcW w:w="160" w:type="dxa"/>
            <w:vAlign w:val="bottom"/>
            <w:tcBorders>
              <w:top w:val="single" w:sz="8" w:color="CCEECC"/>
            </w:tcBorders>
            <w:shd w:val="clear" w:color="auto" w:fill="CCEECC"/>
          </w:tcPr>
          <w:p>
            <w:pPr>
              <w:spacing w:after="0"/>
              <w:rPr>
                <w:sz w:val="19"/>
                <w:szCs w:val="19"/>
                <w:color w:val="auto"/>
              </w:rPr>
            </w:pPr>
          </w:p>
        </w:tc>
        <w:tc>
          <w:tcPr>
            <w:tcW w:w="200" w:type="dxa"/>
            <w:vAlign w:val="bottom"/>
            <w:tcBorders>
              <w:top w:val="single" w:sz="8" w:color="CCEECC"/>
            </w:tcBorders>
            <w:shd w:val="clear" w:color="auto" w:fill="CCEECC"/>
          </w:tcPr>
          <w:p>
            <w:pPr>
              <w:spacing w:after="0"/>
              <w:rPr>
                <w:sz w:val="19"/>
                <w:szCs w:val="19"/>
                <w:color w:val="auto"/>
              </w:rPr>
            </w:pPr>
          </w:p>
        </w:tc>
        <w:tc>
          <w:tcPr>
            <w:tcW w:w="40" w:type="dxa"/>
            <w:vAlign w:val="bottom"/>
            <w:tcBorders>
              <w:top w:val="single" w:sz="8" w:color="CCEECC"/>
            </w:tcBorders>
            <w:shd w:val="clear" w:color="auto" w:fill="CCEECC"/>
          </w:tcPr>
          <w:p>
            <w:pPr>
              <w:spacing w:after="0"/>
              <w:rPr>
                <w:sz w:val="19"/>
                <w:szCs w:val="19"/>
                <w:color w:val="auto"/>
              </w:rPr>
            </w:pPr>
          </w:p>
        </w:tc>
        <w:tc>
          <w:tcPr>
            <w:tcW w:w="40" w:type="dxa"/>
            <w:vAlign w:val="bottom"/>
            <w:tcBorders>
              <w:top w:val="single" w:sz="8" w:color="CCEECC"/>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360" w:type="dxa"/>
            <w:vAlign w:val="bottom"/>
            <w:tcBorders>
              <w:top w:val="single" w:sz="8" w:color="auto"/>
            </w:tcBorders>
            <w:shd w:val="clear" w:color="auto" w:fill="CCEECC"/>
          </w:tcPr>
          <w:p>
            <w:pPr>
              <w:spacing w:after="0"/>
              <w:rPr>
                <w:sz w:val="19"/>
                <w:szCs w:val="19"/>
                <w:color w:val="auto"/>
              </w:rPr>
            </w:pPr>
          </w:p>
        </w:tc>
        <w:tc>
          <w:tcPr>
            <w:tcW w:w="1900" w:type="dxa"/>
            <w:vAlign w:val="bottom"/>
            <w:tcBorders>
              <w:top w:val="single" w:sz="8" w:color="auto"/>
            </w:tcBorders>
            <w:shd w:val="clear" w:color="auto" w:fill="CCEECC"/>
          </w:tcPr>
          <w:p>
            <w:pPr>
              <w:spacing w:after="0"/>
              <w:rPr>
                <w:sz w:val="19"/>
                <w:szCs w:val="19"/>
                <w:color w:val="auto"/>
              </w:rPr>
            </w:pPr>
          </w:p>
        </w:tc>
        <w:tc>
          <w:tcPr>
            <w:tcW w:w="440" w:type="dxa"/>
            <w:vAlign w:val="bottom"/>
            <w:tcBorders>
              <w:top w:val="single" w:sz="8" w:color="auto"/>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1400" w:type="dxa"/>
            <w:vAlign w:val="bottom"/>
            <w:tcBorders>
              <w:top w:val="single" w:sz="8" w:color="CCEECC"/>
            </w:tcBorders>
            <w:shd w:val="clear" w:color="auto" w:fill="CCEECC"/>
          </w:tcPr>
          <w:p>
            <w:pPr>
              <w:spacing w:after="0"/>
              <w:rPr>
                <w:sz w:val="19"/>
                <w:szCs w:val="19"/>
                <w:color w:val="auto"/>
              </w:rPr>
            </w:pPr>
          </w:p>
        </w:tc>
        <w:tc>
          <w:tcPr>
            <w:tcW w:w="540" w:type="dxa"/>
            <w:vAlign w:val="bottom"/>
            <w:tcBorders>
              <w:top w:val="single" w:sz="8" w:color="CCEECC"/>
            </w:tcBorders>
            <w:shd w:val="clear" w:color="auto" w:fill="CCEECC"/>
          </w:tcPr>
          <w:p>
            <w:pPr>
              <w:spacing w:after="0"/>
              <w:rPr>
                <w:sz w:val="19"/>
                <w:szCs w:val="19"/>
                <w:color w:val="auto"/>
              </w:rPr>
            </w:pPr>
          </w:p>
        </w:tc>
        <w:tc>
          <w:tcPr>
            <w:tcW w:w="340" w:type="dxa"/>
            <w:vAlign w:val="bottom"/>
            <w:tcBorders>
              <w:top w:val="single" w:sz="8" w:color="CCEECC"/>
            </w:tcBorders>
            <w:shd w:val="clear" w:color="auto" w:fill="CCEECC"/>
          </w:tcPr>
          <w:p>
            <w:pPr>
              <w:spacing w:after="0"/>
              <w:rPr>
                <w:sz w:val="19"/>
                <w:szCs w:val="19"/>
                <w:color w:val="auto"/>
              </w:rPr>
            </w:pPr>
          </w:p>
        </w:tc>
        <w:tc>
          <w:tcPr>
            <w:tcW w:w="220" w:type="dxa"/>
            <w:vAlign w:val="bottom"/>
            <w:tcBorders>
              <w:top w:val="single" w:sz="8" w:color="CCEECC"/>
            </w:tcBorders>
            <w:shd w:val="clear" w:color="auto" w:fill="CCEE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720" w:type="dxa"/>
            <w:vAlign w:val="bottom"/>
            <w:vMerge w:val="continue"/>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1:</w:t>
            </w:r>
          </w:p>
        </w:tc>
        <w:tc>
          <w:tcPr>
            <w:tcW w:w="1260" w:type="dxa"/>
            <w:vAlign w:val="bottom"/>
            <w:tcBorders>
              <w:bottom w:val="single" w:sz="8" w:color="0000EE"/>
            </w:tcBorders>
            <w:gridSpan w:val="4"/>
          </w:tcPr>
          <w:p>
            <w:pPr>
              <w:spacing w:after="0" w:line="166" w:lineRule="exact"/>
              <w:rPr>
                <w:rFonts w:ascii="Arial" w:cs="Arial" w:eastAsia="Arial" w:hAnsi="Arial"/>
                <w:sz w:val="17"/>
                <w:szCs w:val="17"/>
                <w:color w:val="0000EE"/>
                <w:w w:val="88"/>
              </w:rPr>
            </w:pPr>
            <w:hyperlink w:anchor="page25">
              <w:r>
                <w:rPr>
                  <w:rFonts w:ascii="Arial" w:cs="Arial" w:eastAsia="Arial" w:hAnsi="Arial"/>
                  <w:sz w:val="17"/>
                  <w:szCs w:val="17"/>
                  <w:color w:val="0000EE"/>
                  <w:w w:val="88"/>
                </w:rPr>
                <w:t>Legal Proceedings</w:t>
              </w:r>
            </w:hyperlink>
          </w:p>
        </w:tc>
        <w:tc>
          <w:tcPr>
            <w:tcW w:w="5360" w:type="dxa"/>
            <w:vAlign w:val="bottom"/>
            <w:gridSpan w:val="11"/>
          </w:tcPr>
          <w:p>
            <w:pPr>
              <w:spacing w:after="0"/>
              <w:rPr>
                <w:sz w:val="14"/>
                <w:szCs w:val="14"/>
                <w:color w:val="auto"/>
              </w:rPr>
            </w:pPr>
          </w:p>
        </w:tc>
        <w:tc>
          <w:tcPr>
            <w:tcW w:w="340" w:type="dxa"/>
            <w:vAlign w:val="bottom"/>
          </w:tcPr>
          <w:p>
            <w:pPr>
              <w:jc w:val="right"/>
              <w:ind w:right="35"/>
              <w:spacing w:after="0" w:line="166" w:lineRule="exact"/>
              <w:rPr>
                <w:sz w:val="20"/>
                <w:szCs w:val="20"/>
                <w:color w:val="auto"/>
              </w:rPr>
            </w:pPr>
            <w:r>
              <w:rPr>
                <w:rFonts w:ascii="Arial" w:cs="Arial" w:eastAsia="Arial" w:hAnsi="Arial"/>
                <w:sz w:val="17"/>
                <w:szCs w:val="17"/>
                <w:color w:val="auto"/>
              </w:rPr>
              <w:t>9</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2"/>
            <w:shd w:val="clear" w:color="auto" w:fill="CCEECC"/>
          </w:tcPr>
          <w:p>
            <w:pPr>
              <w:spacing w:after="0" w:line="184" w:lineRule="exact"/>
              <w:rPr>
                <w:rFonts w:ascii="Arial" w:cs="Arial" w:eastAsia="Arial" w:hAnsi="Arial"/>
                <w:sz w:val="17"/>
                <w:szCs w:val="17"/>
                <w:color w:val="0000EE"/>
                <w:w w:val="88"/>
              </w:rPr>
            </w:pPr>
            <w:hyperlink w:anchor="page25">
              <w:r>
                <w:rPr>
                  <w:rFonts w:ascii="Arial" w:cs="Arial" w:eastAsia="Arial" w:hAnsi="Arial"/>
                  <w:sz w:val="17"/>
                  <w:szCs w:val="17"/>
                  <w:color w:val="0000EE"/>
                  <w:w w:val="88"/>
                </w:rPr>
                <w:t>Risk Factors</w:t>
              </w:r>
            </w:hyperlink>
          </w:p>
        </w:tc>
        <w:tc>
          <w:tcPr>
            <w:tcW w:w="5760" w:type="dxa"/>
            <w:vAlign w:val="bottom"/>
            <w:tcBorders>
              <w:bottom w:val="single" w:sz="8" w:color="CCEECC"/>
            </w:tcBorders>
            <w:gridSpan w:val="13"/>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right"/>
              <w:ind w:right="35"/>
              <w:spacing w:after="0" w:line="184" w:lineRule="exact"/>
              <w:rPr>
                <w:sz w:val="20"/>
                <w:szCs w:val="20"/>
                <w:color w:val="auto"/>
              </w:rPr>
            </w:pPr>
            <w:r>
              <w:rPr>
                <w:rFonts w:ascii="Arial" w:cs="Arial" w:eastAsia="Arial" w:hAnsi="Arial"/>
                <w:sz w:val="17"/>
                <w:szCs w:val="17"/>
                <w:color w:val="auto"/>
              </w:rPr>
              <w:t>9</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2:</w:t>
            </w:r>
          </w:p>
        </w:tc>
        <w:tc>
          <w:tcPr>
            <w:tcW w:w="4100" w:type="dxa"/>
            <w:vAlign w:val="bottom"/>
            <w:tcBorders>
              <w:bottom w:val="single" w:sz="8" w:color="0000EE"/>
            </w:tcBorders>
            <w:gridSpan w:val="11"/>
          </w:tcPr>
          <w:p>
            <w:pPr>
              <w:spacing w:after="0" w:line="166" w:lineRule="exact"/>
              <w:rPr>
                <w:rFonts w:ascii="Arial" w:cs="Arial" w:eastAsia="Arial" w:hAnsi="Arial"/>
                <w:sz w:val="17"/>
                <w:szCs w:val="17"/>
                <w:color w:val="0000EE"/>
                <w:w w:val="89"/>
              </w:rPr>
            </w:pPr>
            <w:hyperlink w:anchor="page25">
              <w:r>
                <w:rPr>
                  <w:rFonts w:ascii="Arial" w:cs="Arial" w:eastAsia="Arial" w:hAnsi="Arial"/>
                  <w:sz w:val="17"/>
                  <w:szCs w:val="17"/>
                  <w:color w:val="0000EE"/>
                  <w:w w:val="89"/>
                </w:rPr>
                <w:t>Unregistered Sales of Equity Securities and Use of Proceeds</w:t>
              </w:r>
            </w:hyperlink>
          </w:p>
        </w:tc>
        <w:tc>
          <w:tcPr>
            <w:tcW w:w="2520" w:type="dxa"/>
            <w:vAlign w:val="bottom"/>
            <w:gridSpan w:val="4"/>
          </w:tcPr>
          <w:p>
            <w:pPr>
              <w:spacing w:after="0"/>
              <w:rPr>
                <w:sz w:val="14"/>
                <w:szCs w:val="14"/>
                <w:color w:val="auto"/>
              </w:rPr>
            </w:pPr>
          </w:p>
        </w:tc>
        <w:tc>
          <w:tcPr>
            <w:tcW w:w="340" w:type="dxa"/>
            <w:vAlign w:val="bottom"/>
          </w:tcPr>
          <w:p>
            <w:pPr>
              <w:jc w:val="right"/>
              <w:ind w:right="35"/>
              <w:spacing w:after="0" w:line="166" w:lineRule="exact"/>
              <w:rPr>
                <w:sz w:val="20"/>
                <w:szCs w:val="20"/>
                <w:color w:val="auto"/>
              </w:rPr>
            </w:pPr>
            <w:r>
              <w:rPr>
                <w:rFonts w:ascii="Arial" w:cs="Arial" w:eastAsia="Arial" w:hAnsi="Arial"/>
                <w:sz w:val="17"/>
                <w:szCs w:val="17"/>
                <w:color w:val="auto"/>
              </w:rPr>
              <w:t>9</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3:</w:t>
            </w:r>
          </w:p>
        </w:tc>
        <w:tc>
          <w:tcPr>
            <w:tcW w:w="2200" w:type="dxa"/>
            <w:vAlign w:val="bottom"/>
            <w:tcBorders>
              <w:bottom w:val="single" w:sz="8" w:color="0000EE"/>
            </w:tcBorders>
            <w:gridSpan w:val="10"/>
            <w:shd w:val="clear" w:color="auto" w:fill="CCEECC"/>
          </w:tcPr>
          <w:p>
            <w:pPr>
              <w:spacing w:after="0" w:line="184" w:lineRule="exact"/>
              <w:rPr>
                <w:rFonts w:ascii="Arial" w:cs="Arial" w:eastAsia="Arial" w:hAnsi="Arial"/>
                <w:sz w:val="17"/>
                <w:szCs w:val="17"/>
                <w:color w:val="0000EE"/>
                <w:w w:val="90"/>
              </w:rPr>
            </w:pPr>
            <w:hyperlink w:anchor="page26">
              <w:r>
                <w:rPr>
                  <w:rFonts w:ascii="Arial" w:cs="Arial" w:eastAsia="Arial" w:hAnsi="Arial"/>
                  <w:sz w:val="17"/>
                  <w:szCs w:val="17"/>
                  <w:color w:val="0000EE"/>
                  <w:w w:val="90"/>
                </w:rPr>
                <w:t>Defaults Upon Senior Securities</w:t>
              </w:r>
            </w:hyperlink>
          </w:p>
        </w:tc>
        <w:tc>
          <w:tcPr>
            <w:tcW w:w="4420" w:type="dxa"/>
            <w:vAlign w:val="bottom"/>
            <w:tcBorders>
              <w:bottom w:val="single" w:sz="8" w:color="CCEECC"/>
            </w:tcBorders>
            <w:gridSpan w:val="5"/>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right"/>
              <w:spacing w:after="0" w:line="184" w:lineRule="exact"/>
              <w:rPr>
                <w:sz w:val="20"/>
                <w:szCs w:val="20"/>
                <w:color w:val="auto"/>
              </w:rPr>
            </w:pPr>
            <w:r>
              <w:rPr>
                <w:rFonts w:ascii="Arial" w:cs="Arial" w:eastAsia="Arial" w:hAnsi="Arial"/>
                <w:sz w:val="17"/>
                <w:szCs w:val="17"/>
                <w:color w:val="auto"/>
              </w:rPr>
              <w:t>10</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4:</w:t>
            </w:r>
          </w:p>
        </w:tc>
        <w:tc>
          <w:tcPr>
            <w:tcW w:w="1620" w:type="dxa"/>
            <w:vAlign w:val="bottom"/>
            <w:tcBorders>
              <w:bottom w:val="single" w:sz="8" w:color="0000EE"/>
            </w:tcBorders>
            <w:gridSpan w:val="6"/>
          </w:tcPr>
          <w:p>
            <w:pPr>
              <w:spacing w:after="0" w:line="166" w:lineRule="exact"/>
              <w:rPr>
                <w:rFonts w:ascii="Arial" w:cs="Arial" w:eastAsia="Arial" w:hAnsi="Arial"/>
                <w:sz w:val="17"/>
                <w:szCs w:val="17"/>
                <w:color w:val="0000EE"/>
                <w:w w:val="87"/>
              </w:rPr>
            </w:pPr>
            <w:hyperlink w:anchor="page26">
              <w:r>
                <w:rPr>
                  <w:rFonts w:ascii="Arial" w:cs="Arial" w:eastAsia="Arial" w:hAnsi="Arial"/>
                  <w:sz w:val="17"/>
                  <w:szCs w:val="17"/>
                  <w:color w:val="0000EE"/>
                  <w:w w:val="87"/>
                </w:rPr>
                <w:t>Removed and Reserved</w:t>
              </w:r>
            </w:hyperlink>
          </w:p>
        </w:tc>
        <w:tc>
          <w:tcPr>
            <w:tcW w:w="5000" w:type="dxa"/>
            <w:vAlign w:val="bottom"/>
            <w:gridSpan w:val="9"/>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10</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5:</w:t>
            </w:r>
          </w:p>
        </w:tc>
        <w:tc>
          <w:tcPr>
            <w:tcW w:w="1240" w:type="dxa"/>
            <w:vAlign w:val="bottom"/>
            <w:tcBorders>
              <w:bottom w:val="single" w:sz="8" w:color="0000EE"/>
            </w:tcBorders>
            <w:gridSpan w:val="3"/>
            <w:shd w:val="clear" w:color="auto" w:fill="CCEECC"/>
          </w:tcPr>
          <w:p>
            <w:pPr>
              <w:spacing w:after="0" w:line="184" w:lineRule="exact"/>
              <w:rPr>
                <w:rFonts w:ascii="Arial" w:cs="Arial" w:eastAsia="Arial" w:hAnsi="Arial"/>
                <w:sz w:val="17"/>
                <w:szCs w:val="17"/>
                <w:color w:val="0000EE"/>
                <w:w w:val="92"/>
              </w:rPr>
            </w:pPr>
            <w:hyperlink w:anchor="page26">
              <w:r>
                <w:rPr>
                  <w:rFonts w:ascii="Arial" w:cs="Arial" w:eastAsia="Arial" w:hAnsi="Arial"/>
                  <w:sz w:val="17"/>
                  <w:szCs w:val="17"/>
                  <w:color w:val="0000EE"/>
                  <w:w w:val="92"/>
                </w:rPr>
                <w:t>Other Information</w:t>
              </w:r>
            </w:hyperlink>
          </w:p>
        </w:tc>
        <w:tc>
          <w:tcPr>
            <w:tcW w:w="5380" w:type="dxa"/>
            <w:vAlign w:val="bottom"/>
            <w:tcBorders>
              <w:bottom w:val="single" w:sz="8" w:color="CCEECC"/>
            </w:tcBorders>
            <w:gridSpan w:val="12"/>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right"/>
              <w:spacing w:after="0" w:line="184" w:lineRule="exact"/>
              <w:rPr>
                <w:sz w:val="20"/>
                <w:szCs w:val="20"/>
                <w:color w:val="auto"/>
              </w:rPr>
            </w:pPr>
            <w:r>
              <w:rPr>
                <w:rFonts w:ascii="Arial" w:cs="Arial" w:eastAsia="Arial" w:hAnsi="Arial"/>
                <w:sz w:val="17"/>
                <w:szCs w:val="17"/>
                <w:color w:val="auto"/>
              </w:rPr>
              <w:t>10</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800" w:type="dxa"/>
            <w:vAlign w:val="bottom"/>
          </w:tcPr>
          <w:p>
            <w:pPr>
              <w:spacing w:after="0" w:line="166" w:lineRule="exact"/>
              <w:rPr>
                <w:sz w:val="20"/>
                <w:szCs w:val="20"/>
                <w:color w:val="auto"/>
              </w:rPr>
            </w:pPr>
            <w:r>
              <w:rPr>
                <w:rFonts w:ascii="Arial" w:cs="Arial" w:eastAsia="Arial" w:hAnsi="Arial"/>
                <w:sz w:val="17"/>
                <w:szCs w:val="17"/>
                <w:color w:val="auto"/>
              </w:rPr>
              <w:t>Item 6:</w:t>
            </w:r>
          </w:p>
        </w:tc>
        <w:tc>
          <w:tcPr>
            <w:tcW w:w="6620" w:type="dxa"/>
            <w:vAlign w:val="bottom"/>
            <w:gridSpan w:val="15"/>
          </w:tcPr>
          <w:p>
            <w:pPr>
              <w:spacing w:after="0" w:line="166" w:lineRule="exact"/>
              <w:rPr>
                <w:rFonts w:ascii="Arial" w:cs="Arial" w:eastAsia="Arial" w:hAnsi="Arial"/>
                <w:sz w:val="17"/>
                <w:szCs w:val="17"/>
                <w:color w:val="0000EE"/>
              </w:rPr>
            </w:pPr>
            <w:hyperlink w:anchor="page26">
              <w:r>
                <w:rPr>
                  <w:rFonts w:ascii="Arial" w:cs="Arial" w:eastAsia="Arial" w:hAnsi="Arial"/>
                  <w:sz w:val="17"/>
                  <w:szCs w:val="17"/>
                  <w:color w:val="0000EE"/>
                </w:rPr>
                <w:t>Exhibits</w:t>
              </w:r>
            </w:hyperlink>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10</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1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center"/>
              <w:ind w:left="1655"/>
              <w:spacing w:after="0"/>
              <w:rPr>
                <w:sz w:val="20"/>
                <w:szCs w:val="20"/>
                <w:color w:val="auto"/>
              </w:rPr>
            </w:pPr>
            <w:r>
              <w:rPr>
                <w:rFonts w:ascii="Arial" w:cs="Arial" w:eastAsia="Arial" w:hAnsi="Arial"/>
                <w:sz w:val="17"/>
                <w:szCs w:val="17"/>
                <w:color w:val="auto"/>
                <w:w w:val="84"/>
              </w:rPr>
              <w:t>3</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-1816735</wp:posOffset>
            </wp:positionV>
            <wp:extent cx="5073015"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3015" cy="64643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included in this Form 10-Q are as follows:</w:t>
      </w:r>
    </w:p>
    <w:p>
      <w:pPr>
        <w:spacing w:after="0" w:line="212" w:lineRule="exact"/>
        <w:rPr>
          <w:sz w:val="20"/>
          <w:szCs w:val="20"/>
          <w:color w:val="auto"/>
        </w:rPr>
      </w:pPr>
    </w:p>
    <w:p>
      <w:pPr>
        <w:ind w:right="3700"/>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F-1 </w:t>
      </w:r>
      <w:hyperlink w:anchor="page5">
        <w:r>
          <w:rPr>
            <w:rFonts w:ascii="Arial" w:cs="Arial" w:eastAsia="Arial" w:hAnsi="Arial"/>
            <w:sz w:val="17"/>
            <w:szCs w:val="17"/>
            <w:u w:val="single" w:color="auto"/>
            <w:color w:val="0000EE"/>
          </w:rPr>
          <w:t>Consolidated Balance Sheets as of September 30, 2011 and December 31, 2010 (unaudited);</w:t>
        </w:r>
      </w:hyperlink>
      <w:r>
        <w:rPr>
          <w:rFonts w:ascii="Arial" w:cs="Arial" w:eastAsia="Arial" w:hAnsi="Arial"/>
          <w:sz w:val="17"/>
          <w:szCs w:val="17"/>
          <w:color w:val="auto"/>
        </w:rPr>
        <w:t xml:space="preserve"> F-2 </w:t>
      </w:r>
      <w:hyperlink w:anchor="page6">
        <w:r>
          <w:rPr>
            <w:rFonts w:ascii="Arial" w:cs="Arial" w:eastAsia="Arial" w:hAnsi="Arial"/>
            <w:sz w:val="17"/>
            <w:szCs w:val="17"/>
            <w:u w:val="single" w:color="auto"/>
            <w:color w:val="0000EE"/>
          </w:rPr>
          <w:t>Consolidated Statements of Operations for the three months ended September 30, 2011 and 2010 (unaudited);</w:t>
        </w:r>
      </w:hyperlink>
      <w:r>
        <w:rPr>
          <w:rFonts w:ascii="Arial" w:cs="Arial" w:eastAsia="Arial" w:hAnsi="Arial"/>
          <w:sz w:val="17"/>
          <w:szCs w:val="17"/>
          <w:color w:val="auto"/>
        </w:rPr>
        <w:t xml:space="preserve"> F-3 </w:t>
      </w:r>
      <w:hyperlink w:anchor="page7">
        <w:r>
          <w:rPr>
            <w:rFonts w:ascii="Arial" w:cs="Arial" w:eastAsia="Arial" w:hAnsi="Arial"/>
            <w:sz w:val="17"/>
            <w:szCs w:val="17"/>
            <w:u w:val="single" w:color="auto"/>
            <w:color w:val="0000EE"/>
          </w:rPr>
          <w:t>Consolidated Statements of Operations for the nine months ended September 30, 2011 and 2010 (unaudited);</w:t>
        </w:r>
      </w:hyperlink>
      <w:r>
        <w:rPr>
          <w:rFonts w:ascii="Arial" w:cs="Arial" w:eastAsia="Arial" w:hAnsi="Arial"/>
          <w:sz w:val="17"/>
          <w:szCs w:val="17"/>
          <w:color w:val="auto"/>
        </w:rPr>
        <w:t xml:space="preserve"> F-4 </w:t>
      </w:r>
      <w:hyperlink w:anchor="page8">
        <w:r>
          <w:rPr>
            <w:rFonts w:ascii="Arial" w:cs="Arial" w:eastAsia="Arial" w:hAnsi="Arial"/>
            <w:sz w:val="17"/>
            <w:szCs w:val="17"/>
            <w:u w:val="single" w:color="auto"/>
            <w:color w:val="0000EE"/>
          </w:rPr>
          <w:t>Consolidated Statements of Cash Flow for the nine months ended September 30, 2011 and 2010 (unaudited);</w:t>
        </w:r>
      </w:hyperlink>
      <w:r>
        <w:rPr>
          <w:rFonts w:ascii="Arial" w:cs="Arial" w:eastAsia="Arial" w:hAnsi="Arial"/>
          <w:sz w:val="17"/>
          <w:szCs w:val="17"/>
          <w:color w:val="auto"/>
        </w:rPr>
        <w:t xml:space="preserve"> F-5 </w:t>
      </w:r>
      <w:hyperlink w:anchor="page9">
        <w:r>
          <w:rPr>
            <w:rFonts w:ascii="Arial" w:cs="Arial" w:eastAsia="Arial" w:hAnsi="Arial"/>
            <w:sz w:val="17"/>
            <w:szCs w:val="17"/>
            <w:u w:val="single" w:color="auto"/>
            <w:color w:val="0000EE"/>
          </w:rPr>
          <w:t>Notes to Consolidated Financial Statements.</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1270</wp:posOffset>
            </wp:positionH>
            <wp:positionV relativeFrom="paragraph">
              <wp:posOffset>-650875</wp:posOffset>
            </wp:positionV>
            <wp:extent cx="5073015" cy="129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3015"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-392430</wp:posOffset>
            </wp:positionV>
            <wp:extent cx="5073015" cy="129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3015"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-133985</wp:posOffset>
            </wp:positionV>
            <wp:extent cx="5073015" cy="129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73015" cy="129540"/>
                    </a:xfrm>
                    <a:prstGeom prst="rect">
                      <a:avLst/>
                    </a:prstGeom>
                    <a:noFill/>
                  </pic:spPr>
                </pic:pic>
              </a:graphicData>
            </a:graphic>
          </wp:anchor>
        </w:drawing>
      </w:r>
    </w:p>
    <w:p>
      <w:pPr>
        <w:spacing w:after="0" w:line="163" w:lineRule="exact"/>
        <w:rPr>
          <w:rFonts w:ascii="Arial" w:cs="Arial" w:eastAsia="Arial" w:hAnsi="Arial"/>
          <w:sz w:val="17"/>
          <w:szCs w:val="17"/>
          <w:color w:val="auto"/>
        </w:rPr>
      </w:pPr>
    </w:p>
    <w:p>
      <w:pPr>
        <w:jc w:val="both"/>
        <w:spacing w:after="0" w:line="312" w:lineRule="auto"/>
        <w:rPr>
          <w:sz w:val="20"/>
          <w:szCs w:val="20"/>
          <w:color w:val="auto"/>
        </w:rPr>
      </w:pPr>
      <w:r>
        <w:rPr>
          <w:rFonts w:ascii="Arial" w:cs="Arial" w:eastAsia="Arial" w:hAnsi="Arial"/>
          <w:sz w:val="15"/>
          <w:szCs w:val="15"/>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2011 are not necessarily indicative of the results that can be expected for the full year.</w:t>
      </w:r>
    </w:p>
    <w:p>
      <w:pPr>
        <w:spacing w:after="0" w:line="34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SEPTEMBER 30, 2011 AND DECEMBER 31, 2010</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4400" w:type="dxa"/>
            <w:vAlign w:val="bottom"/>
          </w:tcPr>
          <w:p>
            <w:pPr>
              <w:ind w:left="1840"/>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9"/>
                <w:szCs w:val="19"/>
                <w:color w:val="auto"/>
              </w:rPr>
            </w:pPr>
          </w:p>
        </w:tc>
        <w:tc>
          <w:tcPr>
            <w:tcW w:w="152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w w:val="98"/>
              </w:rPr>
              <w:t>September 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vMerge w:val="restart"/>
          </w:tcPr>
          <w:p>
            <w:pPr>
              <w:jc w:val="right"/>
              <w:ind w:right="315"/>
              <w:spacing w:after="0"/>
              <w:rPr>
                <w:sz w:val="20"/>
                <w:szCs w:val="20"/>
                <w:color w:val="auto"/>
              </w:rPr>
            </w:pPr>
            <w:r>
              <w:rPr>
                <w:rFonts w:ascii="Arial" w:cs="Arial" w:eastAsia="Arial" w:hAnsi="Arial"/>
                <w:sz w:val="17"/>
                <w:szCs w:val="17"/>
                <w:color w:val="auto"/>
                <w:w w:val="91"/>
              </w:rPr>
              <w:t>December 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20" w:type="dxa"/>
            <w:vAlign w:val="bottom"/>
            <w:gridSpan w:val="2"/>
          </w:tcPr>
          <w:p>
            <w:pPr>
              <w:ind w:left="17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1,019,315</w:t>
            </w:r>
          </w:p>
        </w:tc>
        <w:tc>
          <w:tcPr>
            <w:tcW w:w="80" w:type="dxa"/>
            <w:vAlign w:val="bottom"/>
            <w:shd w:val="clear" w:color="auto" w:fill="CCEECC"/>
          </w:tcPr>
          <w:p>
            <w:pPr>
              <w:spacing w:after="0"/>
              <w:rPr>
                <w:sz w:val="17"/>
                <w:szCs w:val="17"/>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1,278,094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121,745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226,000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Prepaid expenses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196,456</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80,051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Debt discount-current portion</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bottom w:val="single" w:sz="8" w:color="auto"/>
            </w:tcBorders>
            <w:shd w:val="clear" w:color="auto" w:fill="CCEECC"/>
          </w:tcPr>
          <w:p>
            <w:pPr>
              <w:spacing w:after="0"/>
              <w:rPr>
                <w:sz w:val="17"/>
                <w:szCs w:val="17"/>
                <w:color w:val="auto"/>
              </w:rPr>
            </w:pPr>
          </w:p>
        </w:tc>
        <w:tc>
          <w:tcPr>
            <w:tcW w:w="14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1,337,516</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top w:val="single" w:sz="8" w:color="auto"/>
              <w:bottom w:val="single" w:sz="8" w:color="auto"/>
            </w:tcBorders>
            <w:shd w:val="clear" w:color="auto" w:fill="CCEECC"/>
          </w:tcPr>
          <w:p>
            <w:pPr>
              <w:spacing w:after="0"/>
              <w:rPr>
                <w:sz w:val="17"/>
                <w:szCs w:val="17"/>
                <w:color w:val="auto"/>
              </w:rPr>
            </w:pPr>
          </w:p>
        </w:tc>
        <w:tc>
          <w:tcPr>
            <w:tcW w:w="140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2,084,145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11,702</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13,061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Other Assets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Patent rights,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861,618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902,647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Website development costs, net</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438,761</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332,107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Debt discount-net of current portion</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416,667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Total Other Assets</w:t>
            </w:r>
          </w:p>
        </w:tc>
        <w:tc>
          <w:tcPr>
            <w:tcW w:w="240" w:type="dxa"/>
            <w:vAlign w:val="bottom"/>
            <w:tcBorders>
              <w:top w:val="single" w:sz="8" w:color="auto"/>
              <w:bottom w:val="single" w:sz="8" w:color="auto"/>
            </w:tcBorders>
            <w:shd w:val="clear" w:color="auto" w:fill="CCEECC"/>
          </w:tcPr>
          <w:p>
            <w:pPr>
              <w:spacing w:after="0"/>
              <w:rPr>
                <w:sz w:val="17"/>
                <w:szCs w:val="17"/>
                <w:color w:val="auto"/>
              </w:rPr>
            </w:pPr>
          </w:p>
        </w:tc>
        <w:tc>
          <w:tcPr>
            <w:tcW w:w="14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1,300,379</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top w:val="single" w:sz="8" w:color="auto"/>
              <w:bottom w:val="single" w:sz="8" w:color="auto"/>
            </w:tcBorders>
            <w:shd w:val="clear" w:color="auto" w:fill="CCEECC"/>
          </w:tcPr>
          <w:p>
            <w:pPr>
              <w:spacing w:after="0"/>
              <w:rPr>
                <w:sz w:val="17"/>
                <w:szCs w:val="17"/>
                <w:color w:val="auto"/>
              </w:rPr>
            </w:pPr>
          </w:p>
        </w:tc>
        <w:tc>
          <w:tcPr>
            <w:tcW w:w="140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1,651,421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vMerge w:val="continue"/>
          </w:tcPr>
          <w:p>
            <w:pPr>
              <w:spacing w:after="0"/>
              <w:rPr>
                <w:sz w:val="21"/>
                <w:szCs w:val="21"/>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TOTAL ASSETS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2,649,597</w:t>
            </w:r>
          </w:p>
        </w:tc>
        <w:tc>
          <w:tcPr>
            <w:tcW w:w="80" w:type="dxa"/>
            <w:vAlign w:val="bottom"/>
            <w:shd w:val="clear" w:color="auto" w:fill="CCEECC"/>
          </w:tcPr>
          <w:p>
            <w:pPr>
              <w:spacing w:after="0"/>
              <w:rPr>
                <w:sz w:val="21"/>
                <w:szCs w:val="21"/>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3,748,627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440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2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Accounts payable - trade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29,140</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38,409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Accounts payable - related party</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570,000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570,000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5,700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Accrued interest</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shd w:val="clear" w:color="auto" w:fill="CCEECC"/>
          </w:tcPr>
          <w:p>
            <w:pPr>
              <w:spacing w:after="0"/>
              <w:rPr>
                <w:sz w:val="17"/>
                <w:szCs w:val="17"/>
                <w:color w:val="auto"/>
              </w:rPr>
            </w:pPr>
          </w:p>
        </w:tc>
        <w:tc>
          <w:tcPr>
            <w:tcW w:w="14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739,440</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auto"/>
            </w:tcBorders>
            <w:shd w:val="clear" w:color="auto" w:fill="CCEECC"/>
          </w:tcPr>
          <w:p>
            <w:pPr>
              <w:spacing w:after="0"/>
              <w:rPr>
                <w:sz w:val="17"/>
                <w:szCs w:val="17"/>
                <w:color w:val="auto"/>
              </w:rPr>
            </w:pPr>
          </w:p>
        </w:tc>
        <w:tc>
          <w:tcPr>
            <w:tcW w:w="140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854,829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Long-Term Liabilities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Notes payable - investor</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739,440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1,854,829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4400" w:type="dxa"/>
            <w:vAlign w:val="bottom"/>
            <w:shd w:val="clear" w:color="auto" w:fill="CCEECC"/>
          </w:tcPr>
          <w:p>
            <w:pPr>
              <w:ind w:left="300"/>
              <w:spacing w:after="0" w:line="191" w:lineRule="exact"/>
              <w:rPr>
                <w:sz w:val="20"/>
                <w:szCs w:val="20"/>
                <w:color w:val="auto"/>
              </w:rPr>
            </w:pPr>
            <w:r>
              <w:rPr>
                <w:rFonts w:ascii="Arial" w:cs="Arial" w:eastAsia="Arial" w:hAnsi="Arial"/>
                <w:sz w:val="17"/>
                <w:szCs w:val="17"/>
                <w:color w:val="auto"/>
              </w:rPr>
              <w:t>Common stock, $.001 par value, 500,000,000 shares</w:t>
            </w:r>
          </w:p>
        </w:tc>
        <w:tc>
          <w:tcPr>
            <w:tcW w:w="240" w:type="dxa"/>
            <w:vAlign w:val="bottom"/>
            <w:shd w:val="clear" w:color="auto" w:fill="CCEECC"/>
          </w:tcPr>
          <w:p>
            <w:pPr>
              <w:spacing w:after="0"/>
              <w:rPr>
                <w:sz w:val="16"/>
                <w:szCs w:val="16"/>
                <w:color w:val="auto"/>
              </w:rPr>
            </w:pPr>
          </w:p>
        </w:tc>
        <w:tc>
          <w:tcPr>
            <w:tcW w:w="14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340" w:type="dxa"/>
            <w:vAlign w:val="bottom"/>
            <w:shd w:val="clear" w:color="auto" w:fill="CCEECC"/>
          </w:tcPr>
          <w:p>
            <w:pPr>
              <w:spacing w:after="0"/>
              <w:rPr>
                <w:sz w:val="16"/>
                <w:szCs w:val="16"/>
                <w:color w:val="auto"/>
              </w:rPr>
            </w:pPr>
          </w:p>
        </w:tc>
        <w:tc>
          <w:tcPr>
            <w:tcW w:w="1400" w:type="dxa"/>
            <w:vAlign w:val="bottom"/>
            <w:tcBorders>
              <w:right w:val="single" w:sz="8" w:color="CCEECC"/>
            </w:tcBorders>
            <w:shd w:val="clear" w:color="auto" w:fill="CCEEC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w w:val="99"/>
              </w:rPr>
              <w:t>authorized, 14,192,496 shares issued and outstanding</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(13,606,676 - 2010)</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14,192</w:t>
            </w:r>
          </w:p>
        </w:tc>
        <w:tc>
          <w:tcPr>
            <w:tcW w:w="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13,607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4400" w:type="dxa"/>
            <w:vAlign w:val="bottom"/>
          </w:tcPr>
          <w:p>
            <w:pPr>
              <w:ind w:left="300"/>
              <w:spacing w:after="0" w:line="191" w:lineRule="exact"/>
              <w:rPr>
                <w:sz w:val="20"/>
                <w:szCs w:val="20"/>
                <w:color w:val="auto"/>
              </w:rPr>
            </w:pPr>
            <w:r>
              <w:rPr>
                <w:rFonts w:ascii="Arial" w:cs="Arial" w:eastAsia="Arial" w:hAnsi="Arial"/>
                <w:sz w:val="17"/>
                <w:szCs w:val="17"/>
                <w:color w:val="auto"/>
              </w:rPr>
              <w:t>Preferred stock, $.001 par value, 10,000,000 shares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w w:val="94"/>
              </w:rPr>
              <w:t>authorized, 65 shares issued and outstanding (50 - 2010)</w:t>
            </w:r>
          </w:p>
        </w:tc>
        <w:tc>
          <w:tcPr>
            <w:tcW w:w="2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Stock warrants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20,826,934</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20,281,328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Additional paid-in-capital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4,942,777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3,355,615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(23,873,746)</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(21,756,752)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1,910,157</w:t>
            </w: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1,893,798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2,649,597</w:t>
            </w:r>
          </w:p>
        </w:tc>
        <w:tc>
          <w:tcPr>
            <w:tcW w:w="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3,748,627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80" w:type="dxa"/>
            <w:vAlign w:val="bottom"/>
            <w:gridSpan w:val="6"/>
          </w:tcPr>
          <w:p>
            <w:pPr>
              <w:ind w:left="150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3880"/>
              <w:spacing w:after="0"/>
              <w:rPr>
                <w:sz w:val="20"/>
                <w:szCs w:val="20"/>
                <w:color w:val="auto"/>
              </w:rPr>
            </w:pPr>
            <w:r>
              <w:rPr>
                <w:rFonts w:ascii="Arial" w:cs="Arial" w:eastAsia="Arial" w:hAnsi="Arial"/>
                <w:sz w:val="17"/>
                <w:szCs w:val="17"/>
                <w:color w:val="auto"/>
              </w:rPr>
              <w:t>F-1</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2011 AND 2010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92"/>
              </w:rPr>
              <w:t>For the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three months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35"/>
              <w:spacing w:after="0"/>
              <w:rPr>
                <w:sz w:val="20"/>
                <w:szCs w:val="20"/>
                <w:color w:val="auto"/>
              </w:rPr>
            </w:pPr>
            <w:r>
              <w:rPr>
                <w:rFonts w:ascii="Arial" w:cs="Arial" w:eastAsia="Arial" w:hAnsi="Arial"/>
                <w:sz w:val="17"/>
                <w:szCs w:val="17"/>
                <w:color w:val="auto"/>
                <w:w w:val="88"/>
              </w:rPr>
              <w:t>three months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8"/>
              </w:rPr>
              <w:t>ended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7"/>
              </w:rPr>
              <w:t>September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color w:val="auto"/>
                <w:w w:val="89"/>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REVENUE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Sales</w:t>
            </w:r>
          </w:p>
        </w:tc>
        <w:tc>
          <w:tcPr>
            <w:tcW w:w="840" w:type="dxa"/>
            <w:vAlign w:val="bottom"/>
            <w:gridSpan w:val="2"/>
            <w:shd w:val="clear" w:color="auto" w:fill="CCEECC"/>
          </w:tcPr>
          <w:p>
            <w:pPr>
              <w:jc w:val="right"/>
              <w:ind w:right="86"/>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191,593</w:t>
            </w:r>
          </w:p>
        </w:tc>
        <w:tc>
          <w:tcPr>
            <w:tcW w:w="80" w:type="dxa"/>
            <w:vAlign w:val="bottom"/>
            <w:shd w:val="clear" w:color="auto" w:fill="CCEECC"/>
          </w:tcPr>
          <w:p>
            <w:pPr>
              <w:spacing w:after="0"/>
              <w:rPr>
                <w:sz w:val="17"/>
                <w:szCs w:val="17"/>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40,676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TOTAL REVENUE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191,593</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40,676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EXPENSES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482,635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545,889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TOTAL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482,635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545,889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OPERATING LOSS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(291,042)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(505,213)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635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(678,543)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w w:val="99"/>
              </w:rPr>
              <w:t>TOTAL OTHER INCOME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(678,337)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w w:val="96"/>
              </w:rPr>
              <w:t>LOSS BEFORE PROVISION FOR INCOME TAXES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(969,379)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(504,578)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CC"/>
          </w:tcPr>
          <w:p>
            <w:pPr>
              <w:jc w:val="right"/>
              <w:ind w:right="86"/>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(969,379)</w:t>
            </w: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(504,578)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tcBorders>
              <w:top w:val="single" w:sz="8" w:color="CCEECC"/>
            </w:tcBorders>
          </w:tcPr>
          <w:p>
            <w:pPr>
              <w:spacing w:after="0"/>
              <w:rPr>
                <w:sz w:val="15"/>
                <w:szCs w:val="15"/>
                <w:color w:val="auto"/>
              </w:rPr>
            </w:pPr>
          </w:p>
        </w:tc>
        <w:tc>
          <w:tcPr>
            <w:tcW w:w="60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WEIGHTED AVERAGE NUMBER OF SHARES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OUTSTANDING: BASIC AND DILUTED</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13,989,959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13,233,754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240" w:type="dxa"/>
            <w:vAlign w:val="bottom"/>
            <w:shd w:val="clear" w:color="auto" w:fill="CCEECC"/>
          </w:tcPr>
          <w:p>
            <w:pPr>
              <w:spacing w:after="0"/>
              <w:rPr>
                <w:sz w:val="15"/>
                <w:szCs w:val="15"/>
                <w:color w:val="auto"/>
              </w:rPr>
            </w:pPr>
          </w:p>
        </w:tc>
        <w:tc>
          <w:tcPr>
            <w:tcW w:w="14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40" w:type="dxa"/>
            <w:vAlign w:val="bottom"/>
            <w:shd w:val="clear" w:color="auto" w:fill="CCEECC"/>
          </w:tcPr>
          <w:p>
            <w:pPr>
              <w:spacing w:after="0"/>
              <w:rPr>
                <w:sz w:val="15"/>
                <w:szCs w:val="15"/>
                <w:color w:val="auto"/>
              </w:rPr>
            </w:pPr>
          </w:p>
        </w:tc>
        <w:tc>
          <w:tcPr>
            <w:tcW w:w="140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NET LOSS PER SHARE: BASIC AND DILUTED</w:t>
            </w:r>
          </w:p>
        </w:tc>
        <w:tc>
          <w:tcPr>
            <w:tcW w:w="60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(0.07)</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(0.04)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80" w:type="dxa"/>
            <w:vAlign w:val="bottom"/>
            <w:gridSpan w:val="7"/>
          </w:tcPr>
          <w:p>
            <w:pPr>
              <w:ind w:left="150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7"/>
                <w:szCs w:val="17"/>
                <w:color w:val="auto"/>
              </w:rPr>
              <w:t>F-2</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NINE MONTHS ENDED SEPTEMBER 30, 2011 AND 2010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92"/>
              </w:rPr>
              <w:t>For the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nine months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8"/>
              </w:rPr>
              <w:t>nine months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8"/>
              </w:rPr>
              <w:t>ended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ind w:right="255"/>
              <w:spacing w:after="0"/>
              <w:rPr>
                <w:sz w:val="20"/>
                <w:szCs w:val="20"/>
                <w:color w:val="auto"/>
              </w:rPr>
            </w:pPr>
            <w:r>
              <w:rPr>
                <w:rFonts w:ascii="Arial" w:cs="Arial" w:eastAsia="Arial" w:hAnsi="Arial"/>
                <w:sz w:val="17"/>
                <w:szCs w:val="17"/>
                <w:color w:val="auto"/>
                <w:w w:val="87"/>
              </w:rPr>
              <w:t>September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color w:val="auto"/>
                <w:w w:val="89"/>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REVENUE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Sales</w:t>
            </w:r>
          </w:p>
        </w:tc>
        <w:tc>
          <w:tcPr>
            <w:tcW w:w="840" w:type="dxa"/>
            <w:vAlign w:val="bottom"/>
            <w:gridSpan w:val="2"/>
            <w:shd w:val="clear" w:color="auto" w:fill="CCEECC"/>
          </w:tcPr>
          <w:p>
            <w:pPr>
              <w:jc w:val="right"/>
              <w:ind w:right="86"/>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785,610</w:t>
            </w:r>
          </w:p>
        </w:tc>
        <w:tc>
          <w:tcPr>
            <w:tcW w:w="80" w:type="dxa"/>
            <w:vAlign w:val="bottom"/>
            <w:shd w:val="clear" w:color="auto" w:fill="CCEECC"/>
          </w:tcPr>
          <w:p>
            <w:pPr>
              <w:spacing w:after="0"/>
              <w:rPr>
                <w:sz w:val="17"/>
                <w:szCs w:val="17"/>
                <w:color w:val="auto"/>
              </w:rPr>
            </w:pP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58,679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TOTAL REVENUE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785,610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58,679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EXPENSES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1,701,067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TOTAL EXPENSES</w:t>
            </w: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1,701,067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NET OPERATING LOSS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(659,460)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(1,642,388)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tcBorders>
              <w:top w:val="single" w:sz="8" w:color="auto"/>
            </w:tcBorders>
            <w:shd w:val="clear" w:color="auto" w:fill="CCEECC"/>
          </w:tcPr>
          <w:p>
            <w:pPr>
              <w:spacing w:after="0"/>
              <w:rPr>
                <w:sz w:val="17"/>
                <w:szCs w:val="17"/>
                <w:color w:val="auto"/>
              </w:rPr>
            </w:pPr>
          </w:p>
        </w:tc>
        <w:tc>
          <w:tcPr>
            <w:tcW w:w="14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1,041</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2,165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Other income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expense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(958,641)</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(226)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w w:val="99"/>
              </w:rPr>
              <w:t>TOTAL OTHER INCOME (EXPENSE)</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(957,534)</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1,939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w w:val="96"/>
              </w:rPr>
              <w:t>LOSS BEFORE PROVISION FOR INCOME TAXES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(1,616,994)</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(1,640,449)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40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NET LOSS</w:t>
            </w:r>
          </w:p>
        </w:tc>
        <w:tc>
          <w:tcPr>
            <w:tcW w:w="8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(1,616,994)</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(1,640,449)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240" w:type="dxa"/>
            <w:vAlign w:val="bottom"/>
            <w:shd w:val="clear" w:color="auto" w:fill="CCEECC"/>
          </w:tcPr>
          <w:p>
            <w:pPr>
              <w:spacing w:after="0"/>
              <w:rPr>
                <w:sz w:val="15"/>
                <w:szCs w:val="15"/>
                <w:color w:val="auto"/>
              </w:rPr>
            </w:pPr>
          </w:p>
        </w:tc>
        <w:tc>
          <w:tcPr>
            <w:tcW w:w="14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40" w:type="dxa"/>
            <w:vAlign w:val="bottom"/>
            <w:shd w:val="clear" w:color="auto" w:fill="CCEECC"/>
          </w:tcPr>
          <w:p>
            <w:pPr>
              <w:spacing w:after="0"/>
              <w:rPr>
                <w:sz w:val="15"/>
                <w:szCs w:val="15"/>
                <w:color w:val="auto"/>
              </w:rPr>
            </w:pPr>
          </w:p>
        </w:tc>
        <w:tc>
          <w:tcPr>
            <w:tcW w:w="140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WEIGHTED AVERAGE NUMBER OF SHARES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OUTSTANDING: BASIC AND DILUTED</w:t>
            </w:r>
          </w:p>
        </w:tc>
        <w:tc>
          <w:tcPr>
            <w:tcW w:w="600" w:type="dxa"/>
            <w:vAlign w:val="bottom"/>
            <w:shd w:val="clear" w:color="auto" w:fill="CCEECC"/>
          </w:tcPr>
          <w:p>
            <w:pPr>
              <w:spacing w:after="0"/>
              <w:rPr>
                <w:sz w:val="21"/>
                <w:szCs w:val="21"/>
                <w:color w:val="auto"/>
              </w:rPr>
            </w:pPr>
          </w:p>
        </w:tc>
        <w:tc>
          <w:tcPr>
            <w:tcW w:w="240" w:type="dxa"/>
            <w:vAlign w:val="bottom"/>
            <w:shd w:val="clear" w:color="auto" w:fill="CCEECC"/>
          </w:tcPr>
          <w:p>
            <w:pPr>
              <w:spacing w:after="0"/>
              <w:rPr>
                <w:sz w:val="21"/>
                <w:szCs w:val="21"/>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13,830,401</w:t>
            </w:r>
          </w:p>
        </w:tc>
        <w:tc>
          <w:tcPr>
            <w:tcW w:w="80" w:type="dxa"/>
            <w:vAlign w:val="bottom"/>
            <w:shd w:val="clear" w:color="auto" w:fill="CCEECC"/>
          </w:tcPr>
          <w:p>
            <w:pPr>
              <w:spacing w:after="0"/>
              <w:rPr>
                <w:sz w:val="21"/>
                <w:szCs w:val="21"/>
                <w:color w:val="auto"/>
              </w:rPr>
            </w:pPr>
          </w:p>
        </w:tc>
        <w:tc>
          <w:tcPr>
            <w:tcW w:w="340" w:type="dxa"/>
            <w:vAlign w:val="bottom"/>
            <w:shd w:val="clear" w:color="auto" w:fill="CCEECC"/>
          </w:tcPr>
          <w:p>
            <w:pPr>
              <w:spacing w:after="0"/>
              <w:rPr>
                <w:sz w:val="21"/>
                <w:szCs w:val="21"/>
                <w:color w:val="auto"/>
              </w:rPr>
            </w:pP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13,057,058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tcBorders>
              <w:top w:val="single" w:sz="8" w:color="CCEECC"/>
            </w:tcBorders>
          </w:tcPr>
          <w:p>
            <w:pPr>
              <w:spacing w:after="0"/>
              <w:rPr>
                <w:sz w:val="15"/>
                <w:szCs w:val="15"/>
                <w:color w:val="auto"/>
              </w:rPr>
            </w:pPr>
          </w:p>
        </w:tc>
        <w:tc>
          <w:tcPr>
            <w:tcW w:w="60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NET LOSS PER SHARE: BASIC AND DILUTED</w:t>
            </w:r>
          </w:p>
        </w:tc>
        <w:tc>
          <w:tcPr>
            <w:tcW w:w="600" w:type="dxa"/>
            <w:vAlign w:val="bottom"/>
            <w:shd w:val="clear" w:color="auto" w:fill="CCEECC"/>
          </w:tcPr>
          <w:p>
            <w:pPr>
              <w:spacing w:after="0"/>
              <w:rPr>
                <w:sz w:val="19"/>
                <w:szCs w:val="19"/>
                <w:color w:val="auto"/>
              </w:rPr>
            </w:pP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(0.12)</w:t>
            </w:r>
          </w:p>
        </w:tc>
        <w:tc>
          <w:tcPr>
            <w:tcW w:w="420" w:type="dxa"/>
            <w:vAlign w:val="bottom"/>
            <w:gridSpan w:val="2"/>
            <w:shd w:val="clear" w:color="auto" w:fill="CCEECC"/>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(0.13)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80" w:type="dxa"/>
            <w:vAlign w:val="bottom"/>
            <w:gridSpan w:val="7"/>
          </w:tcPr>
          <w:p>
            <w:pPr>
              <w:ind w:left="150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7"/>
                <w:szCs w:val="17"/>
                <w:color w:val="auto"/>
              </w:rPr>
              <w:t>F-3</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FOR THE NINE MONTHS ENDED SEPTEMBER 30, 2011 AND 2010</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For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nine months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nine 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September 30,</w:t>
            </w:r>
          </w:p>
        </w:tc>
        <w:tc>
          <w:tcPr>
            <w:tcW w:w="0" w:type="dxa"/>
            <w:vAlign w:val="bottom"/>
          </w:tcPr>
          <w:p>
            <w:pPr>
              <w:spacing w:after="0"/>
              <w:rPr>
                <w:sz w:val="1"/>
                <w:szCs w:val="1"/>
                <w:color w:val="auto"/>
              </w:rPr>
            </w:pPr>
          </w:p>
        </w:tc>
      </w:tr>
      <w:tr>
        <w:trPr>
          <w:trHeight w:val="216"/>
        </w:trPr>
        <w:tc>
          <w:tcPr>
            <w:tcW w:w="4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2010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Net loss for the period</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(1,616,994)</w:t>
            </w: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(1,640,449)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Adjustments to reconcile net loss to net cash</w:t>
            </w: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used by operating activities: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90,149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24,417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Stock issued for services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83,992</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201,140</w:t>
            </w: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Stock options issued for compensation</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106,861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Amortization of debt discount</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916,667</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98,935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Changes in:</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104,255</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(21,210)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Prepaid expenses</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(116,405)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(2,495)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(9,269)</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24,188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Accrued interest</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(15,000)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(63,200)</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(4,605)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(85,420)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NET CASH USED BY OPERATING ACTIVITIES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(604,364)</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(1,320,079)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License fees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Website site development costs</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(154,415)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(154,460)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NET CASH USED BY INVESTING ACTIVITIES</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(154,415)</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(170,690)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Issuance of common stock</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Issuance of preferred stock</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855,460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1,500,000</w:t>
            </w: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w w:val="98"/>
              </w:rPr>
              <w:t>Issuance of warrants in connection with preferred stock</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644,540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Payments on loan payable</w:t>
            </w:r>
          </w:p>
        </w:tc>
        <w:tc>
          <w:tcPr>
            <w:tcW w:w="24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(1,000,000)</w:t>
            </w: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500,000</w:t>
            </w: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1,508,750</w:t>
            </w: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80" w:type="dxa"/>
            <w:vAlign w:val="bottom"/>
          </w:tcPr>
          <w:p>
            <w:pPr>
              <w:spacing w:after="0" w:line="191" w:lineRule="exact"/>
              <w:rPr>
                <w:sz w:val="20"/>
                <w:szCs w:val="20"/>
                <w:color w:val="auto"/>
              </w:rPr>
            </w:pPr>
            <w:r>
              <w:rPr>
                <w:rFonts w:ascii="Arial" w:cs="Arial" w:eastAsia="Arial" w:hAnsi="Arial"/>
                <w:sz w:val="17"/>
                <w:szCs w:val="17"/>
                <w:color w:val="auto"/>
              </w:rPr>
              <w:t>NET INCREASE (DECREASE) IN CASH AND CASH</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7"/>
                <w:szCs w:val="17"/>
                <w:color w:val="auto"/>
              </w:rPr>
              <w:t>EQUIVALENTS</w:t>
            </w:r>
          </w:p>
        </w:tc>
        <w:tc>
          <w:tcPr>
            <w:tcW w:w="2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(258,779)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17,981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80" w:type="dxa"/>
            <w:vAlign w:val="bottom"/>
          </w:tcPr>
          <w:p>
            <w:pPr>
              <w:spacing w:after="0" w:line="191" w:lineRule="exact"/>
              <w:rPr>
                <w:sz w:val="20"/>
                <w:szCs w:val="20"/>
                <w:color w:val="auto"/>
              </w:rPr>
            </w:pPr>
            <w:r>
              <w:rPr>
                <w:rFonts w:ascii="Arial" w:cs="Arial" w:eastAsia="Arial" w:hAnsi="Arial"/>
                <w:sz w:val="17"/>
                <w:szCs w:val="17"/>
                <w:color w:val="auto"/>
              </w:rPr>
              <w:t>CASH AND CASH EQUIVALENTS - BEGINNING OF</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7"/>
                <w:szCs w:val="17"/>
                <w:color w:val="auto"/>
              </w:rPr>
              <w:t>PERIOD</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1,278,094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1,019,315</w:t>
            </w:r>
          </w:p>
        </w:tc>
        <w:tc>
          <w:tcPr>
            <w:tcW w:w="80" w:type="dxa"/>
            <w:vAlign w:val="bottom"/>
            <w:shd w:val="clear" w:color="auto" w:fill="CCEECC"/>
          </w:tcPr>
          <w:p>
            <w:pPr>
              <w:spacing w:after="0"/>
              <w:rPr>
                <w:sz w:val="21"/>
                <w:szCs w:val="21"/>
                <w:color w:val="auto"/>
              </w:rPr>
            </w:pP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674,375</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380" w:type="dxa"/>
            <w:vAlign w:val="bottom"/>
            <w:tcBorders>
              <w:top w:val="single" w:sz="8" w:color="CCEEC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60" w:type="dxa"/>
            <w:vAlign w:val="bottom"/>
            <w:tcBorders>
              <w:top w:val="single" w:sz="8" w:color="CCEEC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24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Cash paid for interest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shd w:val="clear" w:color="auto" w:fill="CCEECC"/>
          </w:tcPr>
          <w:p>
            <w:pPr>
              <w:ind w:left="280"/>
              <w:spacing w:after="0" w:line="182" w:lineRule="exact"/>
              <w:rPr>
                <w:sz w:val="20"/>
                <w:szCs w:val="20"/>
                <w:color w:val="auto"/>
              </w:rPr>
            </w:pPr>
            <w:r>
              <w:rPr>
                <w:rFonts w:ascii="Arial" w:cs="Arial" w:eastAsia="Arial" w:hAnsi="Arial"/>
                <w:sz w:val="17"/>
                <w:szCs w:val="17"/>
                <w:color w:val="auto"/>
              </w:rPr>
              <w:t>Cash paid for income taxes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line="182" w:lineRule="exact"/>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9"/>
                <w:szCs w:val="19"/>
                <w:color w:val="auto"/>
              </w:rPr>
            </w:pPr>
          </w:p>
        </w:tc>
        <w:tc>
          <w:tcPr>
            <w:tcW w:w="300" w:type="dxa"/>
            <w:vAlign w:val="bottom"/>
            <w:gridSpan w:val="2"/>
            <w:shd w:val="clear" w:color="auto" w:fill="CCEECC"/>
          </w:tcPr>
          <w:p>
            <w:pPr>
              <w:jc w:val="right"/>
              <w:ind w:right="140"/>
              <w:spacing w:after="0" w:line="182"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60"/>
              <w:spacing w:after="0" w:line="182"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tcBorders>
              <w:top w:val="single" w:sz="8" w:color="CCEECC"/>
            </w:tcBorders>
          </w:tcPr>
          <w:p>
            <w:pPr>
              <w:spacing w:after="0" w:line="165" w:lineRule="exact"/>
              <w:rPr>
                <w:sz w:val="20"/>
                <w:szCs w:val="20"/>
                <w:color w:val="auto"/>
              </w:rPr>
            </w:pPr>
            <w:r>
              <w:rPr>
                <w:rFonts w:ascii="Arial" w:cs="Arial" w:eastAsia="Arial" w:hAnsi="Arial"/>
                <w:sz w:val="17"/>
                <w:szCs w:val="17"/>
                <w:b w:val="1"/>
                <w:bCs w:val="1"/>
                <w:color w:val="auto"/>
              </w:rPr>
              <w:t>SUPPLEMENTAL DISCLOSURE OF NONCASH</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Borders>
              <w:top w:val="single" w:sz="8" w:color="CCEECC"/>
            </w:tcBorders>
          </w:tcPr>
          <w:p>
            <w:pPr>
              <w:spacing w:after="0"/>
              <w:rPr>
                <w:sz w:val="14"/>
                <w:szCs w:val="14"/>
                <w:color w:val="auto"/>
              </w:rPr>
            </w:pPr>
          </w:p>
        </w:tc>
        <w:tc>
          <w:tcPr>
            <w:tcW w:w="80" w:type="dxa"/>
            <w:vAlign w:val="bottom"/>
            <w:tcBorders>
              <w:top w:val="single" w:sz="8" w:color="CCEEC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60" w:type="dxa"/>
            <w:vAlign w:val="bottom"/>
            <w:tcBorders>
              <w:top w:val="single" w:sz="8" w:color="CCEEC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gridSpan w:val="2"/>
          </w:tcPr>
          <w:p>
            <w:pPr>
              <w:spacing w:after="0"/>
              <w:rPr>
                <w:sz w:val="20"/>
                <w:szCs w:val="20"/>
                <w:color w:val="auto"/>
              </w:rPr>
            </w:pPr>
            <w:r>
              <w:rPr>
                <w:rFonts w:ascii="Arial" w:cs="Arial" w:eastAsia="Arial" w:hAnsi="Arial"/>
                <w:sz w:val="17"/>
                <w:szCs w:val="17"/>
                <w:b w:val="1"/>
                <w:bCs w:val="1"/>
                <w:color w:val="auto"/>
              </w:rPr>
              <w:t>INVESTING AND FINANCING ACTIVITIES: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CC"/>
          </w:tcPr>
          <w:p>
            <w:pPr>
              <w:ind w:left="280"/>
              <w:spacing w:after="0" w:line="192" w:lineRule="exact"/>
              <w:rPr>
                <w:sz w:val="20"/>
                <w:szCs w:val="20"/>
                <w:color w:val="auto"/>
              </w:rPr>
            </w:pPr>
            <w:r>
              <w:rPr>
                <w:rFonts w:ascii="Arial" w:cs="Arial" w:eastAsia="Arial" w:hAnsi="Arial"/>
                <w:sz w:val="17"/>
                <w:szCs w:val="17"/>
                <w:color w:val="auto"/>
              </w:rPr>
              <w:t>Common stock issued to satisfy dividends related to</w:t>
            </w:r>
          </w:p>
        </w:tc>
        <w:tc>
          <w:tcPr>
            <w:tcW w:w="240" w:type="dxa"/>
            <w:vAlign w:val="bottom"/>
            <w:shd w:val="clear" w:color="auto" w:fill="CCEECC"/>
          </w:tcPr>
          <w:p>
            <w:pPr>
              <w:spacing w:after="0"/>
              <w:rPr>
                <w:sz w:val="16"/>
                <w:szCs w:val="16"/>
                <w:color w:val="auto"/>
              </w:rPr>
            </w:pPr>
          </w:p>
        </w:tc>
        <w:tc>
          <w:tcPr>
            <w:tcW w:w="14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14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preferred stock</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500,000</w:t>
            </w:r>
          </w:p>
        </w:tc>
        <w:tc>
          <w:tcPr>
            <w:tcW w:w="8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7"/>
                <w:szCs w:val="17"/>
                <w:color w:val="auto"/>
              </w:rPr>
              <w:t>Conversion of warrants to common stock</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82" w:lineRule="exact"/>
              <w:rPr>
                <w:sz w:val="20"/>
                <w:szCs w:val="20"/>
                <w:color w:val="auto"/>
              </w:rPr>
            </w:pPr>
            <w:r>
              <w:rPr>
                <w:rFonts w:ascii="Arial" w:cs="Arial" w:eastAsia="Arial" w:hAnsi="Arial"/>
                <w:sz w:val="17"/>
                <w:szCs w:val="17"/>
                <w:color w:val="auto"/>
              </w:rPr>
              <w:t>-0-</w:t>
            </w:r>
          </w:p>
        </w:tc>
        <w:tc>
          <w:tcPr>
            <w:tcW w:w="80" w:type="dxa"/>
            <w:vAlign w:val="bottom"/>
          </w:tcPr>
          <w:p>
            <w:pPr>
              <w:spacing w:after="0"/>
              <w:rPr>
                <w:sz w:val="15"/>
                <w:szCs w:val="15"/>
                <w:color w:val="auto"/>
              </w:rPr>
            </w:pPr>
          </w:p>
        </w:tc>
        <w:tc>
          <w:tcPr>
            <w:tcW w:w="300" w:type="dxa"/>
            <w:vAlign w:val="bottom"/>
            <w:gridSpan w:val="2"/>
          </w:tcPr>
          <w:p>
            <w:pPr>
              <w:jc w:val="right"/>
              <w:ind w:right="140"/>
              <w:spacing w:after="0" w:line="182" w:lineRule="exact"/>
              <w:rPr>
                <w:sz w:val="20"/>
                <w:szCs w:val="20"/>
                <w:color w:val="auto"/>
              </w:rPr>
            </w:pPr>
            <w:r>
              <w:rPr>
                <w:rFonts w:ascii="Arial" w:cs="Arial" w:eastAsia="Arial" w:hAnsi="Arial"/>
                <w:sz w:val="17"/>
                <w:szCs w:val="17"/>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7"/>
                <w:szCs w:val="17"/>
                <w:color w:val="auto"/>
              </w:rPr>
              <w:t>153,816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shd w:val="clear" w:color="auto" w:fill="CCEECC"/>
          </w:tcPr>
          <w:p>
            <w:pPr>
              <w:ind w:left="280"/>
              <w:spacing w:after="0" w:line="169" w:lineRule="exact"/>
              <w:rPr>
                <w:sz w:val="20"/>
                <w:szCs w:val="20"/>
                <w:color w:val="auto"/>
              </w:rPr>
            </w:pPr>
            <w:r>
              <w:rPr>
                <w:rFonts w:ascii="Arial" w:cs="Arial" w:eastAsia="Arial" w:hAnsi="Arial"/>
                <w:sz w:val="17"/>
                <w:szCs w:val="17"/>
                <w:color w:val="auto"/>
                <w:w w:val="98"/>
              </w:rPr>
              <w:t>Common stock issued for settlement of equity issuance</w:t>
            </w:r>
          </w:p>
        </w:tc>
        <w:tc>
          <w:tcPr>
            <w:tcW w:w="240" w:type="dxa"/>
            <w:vAlign w:val="bottom"/>
            <w:shd w:val="clear" w:color="auto" w:fill="CCEECC"/>
          </w:tcPr>
          <w:p>
            <w:pPr>
              <w:spacing w:after="0"/>
              <w:rPr>
                <w:sz w:val="14"/>
                <w:szCs w:val="14"/>
                <w:color w:val="auto"/>
              </w:rPr>
            </w:pPr>
          </w:p>
        </w:tc>
        <w:tc>
          <w:tcPr>
            <w:tcW w:w="144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220" w:type="dxa"/>
            <w:vAlign w:val="bottom"/>
            <w:shd w:val="clear" w:color="auto" w:fill="CCEECC"/>
          </w:tcPr>
          <w:p>
            <w:pPr>
              <w:spacing w:after="0"/>
              <w:rPr>
                <w:sz w:val="14"/>
                <w:szCs w:val="14"/>
                <w:color w:val="auto"/>
              </w:rPr>
            </w:pPr>
          </w:p>
        </w:tc>
        <w:tc>
          <w:tcPr>
            <w:tcW w:w="1460" w:type="dxa"/>
            <w:vAlign w:val="bottom"/>
            <w:shd w:val="clear" w:color="auto" w:fill="CCEECC"/>
          </w:tcPr>
          <w:p>
            <w:pPr>
              <w:spacing w:after="0"/>
              <w:rPr>
                <w:sz w:val="14"/>
                <w:szCs w:val="14"/>
                <w:color w:val="auto"/>
              </w:rPr>
            </w:pPr>
          </w:p>
        </w:tc>
        <w:tc>
          <w:tcPr>
            <w:tcW w:w="60" w:type="dxa"/>
            <w:vAlign w:val="bottom"/>
            <w:shd w:val="clear" w:color="auto" w:fill="CCEECC"/>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costs</w:t>
            </w:r>
          </w:p>
        </w:tc>
        <w:tc>
          <w:tcPr>
            <w:tcW w:w="240" w:type="dxa"/>
            <w:vAlign w:val="bottom"/>
            <w:shd w:val="clear" w:color="auto" w:fill="CCEECC"/>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115,000</w:t>
            </w:r>
          </w:p>
        </w:tc>
        <w:tc>
          <w:tcPr>
            <w:tcW w:w="8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7"/>
                <w:szCs w:val="17"/>
                <w:color w:val="auto"/>
              </w:rPr>
              <w:t>Payable issued for equity issuance costs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82" w:lineRule="exact"/>
              <w:rPr>
                <w:sz w:val="20"/>
                <w:szCs w:val="20"/>
                <w:color w:val="auto"/>
              </w:rPr>
            </w:pPr>
            <w:r>
              <w:rPr>
                <w:rFonts w:ascii="Arial" w:cs="Arial" w:eastAsia="Arial" w:hAnsi="Arial"/>
                <w:sz w:val="17"/>
                <w:szCs w:val="17"/>
                <w:color w:val="auto"/>
              </w:rPr>
              <w:t>57,500</w:t>
            </w:r>
          </w:p>
        </w:tc>
        <w:tc>
          <w:tcPr>
            <w:tcW w:w="80" w:type="dxa"/>
            <w:vAlign w:val="bottom"/>
          </w:tcPr>
          <w:p>
            <w:pPr>
              <w:spacing w:after="0"/>
              <w:rPr>
                <w:sz w:val="15"/>
                <w:szCs w:val="15"/>
                <w:color w:val="auto"/>
              </w:rPr>
            </w:pPr>
          </w:p>
        </w:tc>
        <w:tc>
          <w:tcPr>
            <w:tcW w:w="300" w:type="dxa"/>
            <w:vAlign w:val="bottom"/>
            <w:gridSpan w:val="2"/>
          </w:tcPr>
          <w:p>
            <w:pPr>
              <w:jc w:val="right"/>
              <w:ind w:right="140"/>
              <w:spacing w:after="0" w:line="182"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0219"/>
          </w:cols>
          <w:pgMar w:left="240" w:top="229"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254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type w:val="continuous"/>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2010.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Basis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uses the accrual basis of accounting and accounting principles generally accepted in the United States of America (“GAAP” accounting). The Company has adopted a December 31 fiscal year end.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purposes of the accompanying financial statements, the Company considers all highly liquid instruments with an initial maturity of three months or less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fair value of cash, accounts receivable, prepaid expenses, accounts payable, accounts payable – related party, accrued expenses and interest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and Equipment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Risks</w:t>
      </w:r>
    </w:p>
    <w:p>
      <w:pPr>
        <w:spacing w:after="0" w:line="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Common and Common Equivalent Share</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September 30, 2011 and 2010, respectively, since their effect is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Guidance</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does not expect the adoption of recently issued accounting pronouncements to have a significant impact on the Company’s results of operations, financial position or cash flow.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PREPAID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consisted of the following as of September 30, 2011 and December 31,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w w:val="89"/>
              </w:rPr>
              <w:t>December 31,</w:t>
            </w:r>
          </w:p>
        </w:tc>
        <w:tc>
          <w:tcPr>
            <w:tcW w:w="28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2010</w:t>
            </w:r>
          </w:p>
        </w:tc>
        <w:tc>
          <w:tcPr>
            <w:tcW w:w="284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2200" w:type="dxa"/>
            <w:vAlign w:val="bottom"/>
            <w:shd w:val="clear" w:color="auto" w:fill="CCEECC"/>
          </w:tcPr>
          <w:p>
            <w:pPr>
              <w:ind w:left="80"/>
              <w:spacing w:after="0"/>
              <w:rPr>
                <w:sz w:val="20"/>
                <w:szCs w:val="20"/>
                <w:color w:val="auto"/>
              </w:rPr>
            </w:pPr>
            <w:r>
              <w:rPr>
                <w:rFonts w:ascii="Arial" w:cs="Arial" w:eastAsia="Arial" w:hAnsi="Arial"/>
                <w:sz w:val="17"/>
                <w:szCs w:val="17"/>
                <w:color w:val="auto"/>
              </w:rPr>
              <w:t>Insurance</w:t>
            </w:r>
          </w:p>
        </w:tc>
        <w:tc>
          <w:tcPr>
            <w:tcW w:w="104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6,728</w:t>
            </w:r>
          </w:p>
        </w:tc>
        <w:tc>
          <w:tcPr>
            <w:tcW w:w="60" w:type="dxa"/>
            <w:vAlign w:val="bottom"/>
            <w:shd w:val="clear" w:color="auto" w:fill="CCEECC"/>
          </w:tcPr>
          <w:p>
            <w:pPr>
              <w:spacing w:after="0"/>
              <w:rPr>
                <w:sz w:val="17"/>
                <w:szCs w:val="17"/>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6,111</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Web development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20,000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shd w:val="clear" w:color="auto" w:fill="CCEECC"/>
          </w:tcPr>
          <w:p>
            <w:pPr>
              <w:ind w:left="80"/>
              <w:spacing w:after="0"/>
              <w:rPr>
                <w:sz w:val="20"/>
                <w:szCs w:val="20"/>
                <w:color w:val="auto"/>
              </w:rPr>
            </w:pPr>
            <w:r>
              <w:rPr>
                <w:rFonts w:ascii="Arial" w:cs="Arial" w:eastAsia="Arial" w:hAnsi="Arial"/>
                <w:sz w:val="17"/>
                <w:szCs w:val="17"/>
                <w:color w:val="auto"/>
              </w:rPr>
              <w:t>Investor relations</w:t>
            </w:r>
          </w:p>
        </w:tc>
        <w:tc>
          <w:tcPr>
            <w:tcW w:w="9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50,000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Employee advances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shd w:val="clear" w:color="auto" w:fill="CCEECC"/>
          </w:tcPr>
          <w:p>
            <w:pPr>
              <w:ind w:left="80"/>
              <w:spacing w:after="0"/>
              <w:rPr>
                <w:sz w:val="20"/>
                <w:szCs w:val="20"/>
                <w:color w:val="auto"/>
              </w:rPr>
            </w:pPr>
            <w:r>
              <w:rPr>
                <w:rFonts w:ascii="Arial" w:cs="Arial" w:eastAsia="Arial" w:hAnsi="Arial"/>
                <w:sz w:val="17"/>
                <w:szCs w:val="17"/>
                <w:color w:val="auto"/>
              </w:rPr>
              <w:t>Consulting</w:t>
            </w:r>
          </w:p>
        </w:tc>
        <w:tc>
          <w:tcPr>
            <w:tcW w:w="9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16,569</w:t>
            </w: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Advertising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143,715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3,000</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220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Rent</w:t>
            </w:r>
          </w:p>
        </w:tc>
        <w:tc>
          <w:tcPr>
            <w:tcW w:w="9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rPr>
                <w:sz w:val="17"/>
                <w:szCs w:val="17"/>
                <w:color w:val="auto"/>
              </w:rPr>
            </w:pPr>
          </w:p>
        </w:tc>
        <w:tc>
          <w:tcPr>
            <w:tcW w:w="1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2,500</w:t>
            </w:r>
          </w:p>
        </w:tc>
        <w:tc>
          <w:tcPr>
            <w:tcW w:w="6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rPr>
                <w:sz w:val="17"/>
                <w:szCs w:val="17"/>
                <w:color w:val="auto"/>
              </w:rPr>
            </w:pPr>
          </w:p>
        </w:tc>
        <w:tc>
          <w:tcPr>
            <w:tcW w:w="116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84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7"/>
                <w:szCs w:val="17"/>
                <w:color w:val="auto"/>
              </w:rPr>
              <w:t>Total Prepaid Expenses</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196,456</w:t>
            </w:r>
          </w:p>
        </w:tc>
        <w:tc>
          <w:tcPr>
            <w:tcW w:w="6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80,051</w:t>
            </w:r>
          </w:p>
        </w:tc>
        <w:tc>
          <w:tcPr>
            <w:tcW w:w="284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88"/>
        </w:trPr>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F-7</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PROPERTY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owned equipment recorded at cost which consisted of the following as of September 30, 2011 and December 31,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September 30, 2011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89"/>
              </w:rPr>
              <w:t>December 31, 2010</w:t>
            </w:r>
          </w:p>
        </w:tc>
      </w:tr>
      <w:tr>
        <w:trPr>
          <w:trHeight w:val="197"/>
        </w:trPr>
        <w:tc>
          <w:tcPr>
            <w:tcW w:w="2320" w:type="dxa"/>
            <w:vAlign w:val="bottom"/>
            <w:shd w:val="clear" w:color="auto" w:fill="CCEECC"/>
          </w:tcPr>
          <w:p>
            <w:pPr>
              <w:ind w:left="80"/>
              <w:spacing w:after="0"/>
              <w:rPr>
                <w:sz w:val="20"/>
                <w:szCs w:val="20"/>
                <w:color w:val="auto"/>
              </w:rPr>
            </w:pPr>
            <w:r>
              <w:rPr>
                <w:rFonts w:ascii="Arial" w:cs="Arial" w:eastAsia="Arial" w:hAnsi="Arial"/>
                <w:sz w:val="17"/>
                <w:szCs w:val="17"/>
                <w:color w:val="auto"/>
              </w:rPr>
              <w:t>Computer equipment</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13,824</w:t>
            </w:r>
          </w:p>
        </w:tc>
        <w:tc>
          <w:tcPr>
            <w:tcW w:w="200" w:type="dxa"/>
            <w:vAlign w:val="bottom"/>
            <w:tcBorders>
              <w:left w:val="single" w:sz="8" w:color="CCEECC"/>
            </w:tcBorders>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13,824</w:t>
            </w:r>
          </w:p>
        </w:tc>
        <w:tc>
          <w:tcPr>
            <w:tcW w:w="60" w:type="dxa"/>
            <w:vAlign w:val="bottom"/>
            <w:shd w:val="clear" w:color="auto" w:fill="CCEECC"/>
          </w:tcPr>
          <w:p>
            <w:pPr>
              <w:spacing w:after="0"/>
              <w:rPr>
                <w:sz w:val="17"/>
                <w:szCs w:val="17"/>
                <w:color w:val="auto"/>
              </w:rPr>
            </w:pPr>
          </w:p>
        </w:tc>
      </w:tr>
      <w:tr>
        <w:trPr>
          <w:trHeight w:val="204"/>
        </w:trPr>
        <w:tc>
          <w:tcPr>
            <w:tcW w:w="2320" w:type="dxa"/>
            <w:vAlign w:val="bottom"/>
          </w:tcPr>
          <w:p>
            <w:pPr>
              <w:ind w:left="8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c>
          <w:tcPr>
            <w:tcW w:w="60" w:type="dxa"/>
            <w:vAlign w:val="bottom"/>
          </w:tcPr>
          <w:p>
            <w:pPr>
              <w:spacing w:after="0"/>
              <w:rPr>
                <w:sz w:val="17"/>
                <w:szCs w:val="17"/>
                <w:color w:val="auto"/>
              </w:rPr>
            </w:pPr>
          </w:p>
        </w:tc>
      </w:tr>
      <w:tr>
        <w:trPr>
          <w:trHeight w:val="196"/>
        </w:trPr>
        <w:tc>
          <w:tcPr>
            <w:tcW w:w="2320" w:type="dxa"/>
            <w:vAlign w:val="bottom"/>
            <w:shd w:val="clear" w:color="auto" w:fill="CCEECC"/>
          </w:tcPr>
          <w:p>
            <w:pPr>
              <w:ind w:left="260"/>
              <w:spacing w:after="0"/>
              <w:rPr>
                <w:sz w:val="20"/>
                <w:szCs w:val="20"/>
                <w:color w:val="auto"/>
              </w:rPr>
            </w:pPr>
            <w:r>
              <w:rPr>
                <w:rFonts w:ascii="Arial" w:cs="Arial" w:eastAsia="Arial" w:hAnsi="Arial"/>
                <w:sz w:val="17"/>
                <w:szCs w:val="17"/>
                <w:color w:val="auto"/>
              </w:rPr>
              <w:t>Subtotal</w:t>
            </w:r>
          </w:p>
        </w:tc>
        <w:tc>
          <w:tcPr>
            <w:tcW w:w="2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18,117</w:t>
            </w:r>
          </w:p>
        </w:tc>
        <w:tc>
          <w:tcPr>
            <w:tcW w:w="120" w:type="dxa"/>
            <w:vAlign w:val="bottom"/>
            <w:tcBorders>
              <w:left w:val="single" w:sz="8" w:color="CCEECC"/>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18,117</w:t>
            </w:r>
          </w:p>
        </w:tc>
        <w:tc>
          <w:tcPr>
            <w:tcW w:w="60" w:type="dxa"/>
            <w:vAlign w:val="bottom"/>
            <w:shd w:val="clear" w:color="auto" w:fill="CCEECC"/>
          </w:tcPr>
          <w:p>
            <w:pPr>
              <w:spacing w:after="0"/>
              <w:rPr>
                <w:sz w:val="17"/>
                <w:szCs w:val="17"/>
                <w:color w:val="auto"/>
              </w:rPr>
            </w:pPr>
          </w:p>
        </w:tc>
      </w:tr>
      <w:tr>
        <w:trPr>
          <w:trHeight w:val="204"/>
        </w:trPr>
        <w:tc>
          <w:tcPr>
            <w:tcW w:w="2320" w:type="dxa"/>
            <w:vAlign w:val="bottom"/>
          </w:tcPr>
          <w:p>
            <w:pPr>
              <w:ind w:left="80"/>
              <w:spacing w:after="0"/>
              <w:rPr>
                <w:sz w:val="20"/>
                <w:szCs w:val="20"/>
                <w:color w:val="auto"/>
              </w:rPr>
            </w:pPr>
            <w:r>
              <w:rPr>
                <w:rFonts w:ascii="Arial" w:cs="Arial" w:eastAsia="Arial" w:hAnsi="Arial"/>
                <w:sz w:val="17"/>
                <w:szCs w:val="17"/>
                <w:color w:val="auto"/>
              </w:rPr>
              <w:t>Accumulated depreciation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(6,415)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(5,056)</w:t>
            </w: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32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6"/>
              </w:rPr>
              <w:t>Property and equipment, net</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11,702</w:t>
            </w:r>
          </w:p>
        </w:tc>
        <w:tc>
          <w:tcPr>
            <w:tcW w:w="200" w:type="dxa"/>
            <w:vAlign w:val="bottom"/>
            <w:tcBorders>
              <w:left w:val="single" w:sz="8" w:color="CCEECC"/>
            </w:tcBorders>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13,061</w:t>
            </w:r>
          </w:p>
        </w:tc>
        <w:tc>
          <w:tcPr>
            <w:tcW w:w="60" w:type="dxa"/>
            <w:vAlign w:val="bottom"/>
            <w:shd w:val="clear" w:color="auto" w:fill="CCEECC"/>
          </w:tcPr>
          <w:p>
            <w:pPr>
              <w:spacing w:after="0"/>
              <w:rPr>
                <w:sz w:val="18"/>
                <w:szCs w:val="18"/>
                <w:color w:val="auto"/>
              </w:rPr>
            </w:pPr>
          </w:p>
        </w:tc>
      </w:tr>
      <w:tr>
        <w:trPr>
          <w:trHeight w:val="20"/>
        </w:trPr>
        <w:tc>
          <w:tcPr>
            <w:tcW w:w="2320" w:type="dxa"/>
            <w:vAlign w:val="bottom"/>
            <w:tcBorders>
              <w:top w:val="single" w:sz="8" w:color="CCEECC"/>
            </w:tcBorders>
            <w:shd w:val="clear" w:color="auto" w:fill="CCEECC"/>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$1,359 and $1,297 for the nine months ended September 30, 2011 and 2010,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WEBSITE DEVELOPMENT COSTS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capitalized costs in developing their website and web-based products, which consisted of the following as of September 30, 2011 and December 31, 2010:</w:t>
      </w:r>
    </w:p>
    <w:p>
      <w:pPr>
        <w:spacing w:after="0" w:line="16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6"/>
              </w:rPr>
              <w:t>September 30, 2011</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December 31, 2010</w:t>
            </w:r>
          </w:p>
        </w:tc>
      </w:tr>
      <w:tr>
        <w:trPr>
          <w:trHeight w:val="197"/>
        </w:trPr>
        <w:tc>
          <w:tcPr>
            <w:tcW w:w="2520" w:type="dxa"/>
            <w:vAlign w:val="bottom"/>
            <w:shd w:val="clear" w:color="auto" w:fill="CCEECC"/>
          </w:tcPr>
          <w:p>
            <w:pPr>
              <w:ind w:left="80"/>
              <w:spacing w:after="0"/>
              <w:rPr>
                <w:sz w:val="20"/>
                <w:szCs w:val="20"/>
                <w:color w:val="auto"/>
              </w:rPr>
            </w:pPr>
            <w:r>
              <w:rPr>
                <w:rFonts w:ascii="Arial" w:cs="Arial" w:eastAsia="Arial" w:hAnsi="Arial"/>
                <w:sz w:val="17"/>
                <w:szCs w:val="17"/>
                <w:color w:val="auto"/>
              </w:rPr>
              <w:t>OptimizeRx web development</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154,133</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154,133</w:t>
            </w:r>
          </w:p>
        </w:tc>
      </w:tr>
      <w:tr>
        <w:trPr>
          <w:trHeight w:val="204"/>
        </w:trPr>
        <w:tc>
          <w:tcPr>
            <w:tcW w:w="2520" w:type="dxa"/>
            <w:vAlign w:val="bottom"/>
          </w:tcPr>
          <w:p>
            <w:pPr>
              <w:ind w:left="80"/>
              <w:spacing w:after="0"/>
              <w:rPr>
                <w:sz w:val="20"/>
                <w:szCs w:val="20"/>
                <w:color w:val="auto"/>
              </w:rPr>
            </w:pPr>
            <w:r>
              <w:rPr>
                <w:rFonts w:ascii="Arial" w:cs="Arial" w:eastAsia="Arial" w:hAnsi="Arial"/>
                <w:sz w:val="17"/>
                <w:szCs w:val="17"/>
                <w:color w:val="auto"/>
              </w:rPr>
              <w:t>SampleMD web development</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486,522</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332,107</w:t>
            </w:r>
          </w:p>
        </w:tc>
      </w:tr>
      <w:tr>
        <w:trPr>
          <w:trHeight w:val="196"/>
        </w:trPr>
        <w:tc>
          <w:tcPr>
            <w:tcW w:w="252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1"/>
              </w:rPr>
              <w:t>Subtotal, web development costs</w:t>
            </w:r>
          </w:p>
        </w:tc>
        <w:tc>
          <w:tcPr>
            <w:tcW w:w="100" w:type="dxa"/>
            <w:vAlign w:val="bottom"/>
            <w:shd w:val="clear" w:color="auto" w:fill="CCEECC"/>
          </w:tcPr>
          <w:p>
            <w:pPr>
              <w:spacing w:after="0"/>
              <w:rPr>
                <w:sz w:val="17"/>
                <w:szCs w:val="17"/>
                <w:color w:val="auto"/>
              </w:rPr>
            </w:pP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640,655</w:t>
            </w:r>
          </w:p>
        </w:tc>
        <w:tc>
          <w:tcPr>
            <w:tcW w:w="80" w:type="dxa"/>
            <w:vAlign w:val="bottom"/>
            <w:shd w:val="clear" w:color="auto" w:fill="CCEECC"/>
          </w:tcPr>
          <w:p>
            <w:pPr>
              <w:spacing w:after="0"/>
              <w:rPr>
                <w:sz w:val="17"/>
                <w:szCs w:val="17"/>
                <w:color w:val="auto"/>
              </w:rPr>
            </w:pP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486,240</w:t>
            </w:r>
          </w:p>
        </w:tc>
      </w:tr>
      <w:tr>
        <w:trPr>
          <w:trHeight w:val="204"/>
        </w:trPr>
        <w:tc>
          <w:tcPr>
            <w:tcW w:w="2520" w:type="dxa"/>
            <w:vAlign w:val="bottom"/>
          </w:tcPr>
          <w:p>
            <w:pPr>
              <w:ind w:left="80"/>
              <w:spacing w:after="0"/>
              <w:rPr>
                <w:sz w:val="20"/>
                <w:szCs w:val="20"/>
                <w:color w:val="auto"/>
              </w:rPr>
            </w:pPr>
            <w:r>
              <w:rPr>
                <w:rFonts w:ascii="Arial" w:cs="Arial" w:eastAsia="Arial" w:hAnsi="Arial"/>
                <w:sz w:val="17"/>
                <w:szCs w:val="17"/>
                <w:color w:val="auto"/>
              </w:rPr>
              <w:t>Accumulated amortization</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(142,811)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(95,050)</w:t>
            </w:r>
          </w:p>
        </w:tc>
      </w:tr>
      <w:tr>
        <w:trPr>
          <w:trHeight w:val="204"/>
        </w:trPr>
        <w:tc>
          <w:tcPr>
            <w:tcW w:w="2520" w:type="dxa"/>
            <w:vAlign w:val="bottom"/>
            <w:shd w:val="clear" w:color="auto" w:fill="CCEECC"/>
          </w:tcPr>
          <w:p>
            <w:pPr>
              <w:ind w:left="80"/>
              <w:spacing w:after="0"/>
              <w:rPr>
                <w:sz w:val="20"/>
                <w:szCs w:val="20"/>
                <w:color w:val="auto"/>
              </w:rPr>
            </w:pPr>
            <w:r>
              <w:rPr>
                <w:rFonts w:ascii="Arial" w:cs="Arial" w:eastAsia="Arial" w:hAnsi="Arial"/>
                <w:sz w:val="17"/>
                <w:szCs w:val="17"/>
                <w:color w:val="auto"/>
              </w:rPr>
              <w:t>Impairment</w:t>
            </w:r>
          </w:p>
        </w:tc>
        <w:tc>
          <w:tcPr>
            <w:tcW w:w="100" w:type="dxa"/>
            <w:vAlign w:val="bottom"/>
            <w:shd w:val="clear" w:color="auto" w:fill="CCEECC"/>
          </w:tcPr>
          <w:p>
            <w:pPr>
              <w:spacing w:after="0"/>
              <w:rPr>
                <w:sz w:val="17"/>
                <w:szCs w:val="17"/>
                <w:color w:val="auto"/>
              </w:rPr>
            </w:pPr>
          </w:p>
        </w:tc>
        <w:tc>
          <w:tcPr>
            <w:tcW w:w="15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(59,083)</w:t>
            </w:r>
          </w:p>
        </w:tc>
        <w:tc>
          <w:tcPr>
            <w:tcW w:w="80" w:type="dxa"/>
            <w:vAlign w:val="bottom"/>
            <w:shd w:val="clear" w:color="auto" w:fill="CCEECC"/>
          </w:tcPr>
          <w:p>
            <w:pPr>
              <w:spacing w:after="0"/>
              <w:rPr>
                <w:sz w:val="17"/>
                <w:szCs w:val="17"/>
                <w:color w:val="auto"/>
              </w:rPr>
            </w:pP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(59,083)</w:t>
            </w:r>
          </w:p>
        </w:tc>
      </w:tr>
      <w:tr>
        <w:trPr>
          <w:trHeight w:val="20"/>
        </w:trPr>
        <w:tc>
          <w:tcPr>
            <w:tcW w:w="252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tcBorders>
              <w:right w:val="single" w:sz="8" w:color="CCEE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tcBorders>
              <w:right w:val="single" w:sz="8" w:color="CCEECC"/>
            </w:tcBorders>
            <w:shd w:val="clear" w:color="auto" w:fill="000000"/>
          </w:tcPr>
          <w:p>
            <w:pPr>
              <w:spacing w:after="0" w:line="20" w:lineRule="exact"/>
              <w:rPr>
                <w:sz w:val="1"/>
                <w:szCs w:val="1"/>
                <w:color w:val="auto"/>
              </w:rPr>
            </w:pPr>
          </w:p>
        </w:tc>
      </w:tr>
      <w:tr>
        <w:trPr>
          <w:trHeight w:val="196"/>
        </w:trPr>
        <w:tc>
          <w:tcPr>
            <w:tcW w:w="2520" w:type="dxa"/>
            <w:vAlign w:val="bottom"/>
          </w:tcPr>
          <w:p>
            <w:pPr>
              <w:ind w:left="220"/>
              <w:spacing w:after="0"/>
              <w:rPr>
                <w:sz w:val="20"/>
                <w:szCs w:val="20"/>
                <w:color w:val="auto"/>
              </w:rPr>
            </w:pPr>
            <w:r>
              <w:rPr>
                <w:rFonts w:ascii="Arial" w:cs="Arial" w:eastAsia="Arial" w:hAnsi="Arial"/>
                <w:sz w:val="17"/>
                <w:szCs w:val="17"/>
                <w:color w:val="auto"/>
              </w:rPr>
              <w:t>Web development costs,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35"/>
              <w:spacing w:after="0"/>
              <w:rPr>
                <w:sz w:val="20"/>
                <w:szCs w:val="20"/>
                <w:color w:val="auto"/>
              </w:rPr>
            </w:pPr>
            <w:r>
              <w:rPr>
                <w:rFonts w:ascii="Arial" w:cs="Arial" w:eastAsia="Arial" w:hAnsi="Arial"/>
                <w:sz w:val="17"/>
                <w:szCs w:val="17"/>
                <w:color w:val="auto"/>
              </w:rPr>
              <w:t>438,761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332,107</w:t>
            </w:r>
          </w:p>
        </w:tc>
      </w:tr>
      <w:tr>
        <w:trPr>
          <w:trHeight w:val="20"/>
        </w:trPr>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have been capitalized, but not amortized, as of September 30, 2011. The Company determined that the original OptimizeRx website was no longer useful so the remaining unamortized balance of $59,083 was impaired as of December 31, 2010. Amortization expense was $47,761 for the nine months ended September 30, 2011 and $30,827 for the year ended December 31, 2010,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PATENT RIGHTS AND INTANGIBLE ASSETS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PATENT RIGHTS AND INTANGIBLE ASSETS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the SampleMD patent, which consisted of the following as of September 30, 2011 and December 31, 2010:</w:t>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w w:val="89"/>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December 31,</w:t>
            </w:r>
          </w:p>
        </w:tc>
      </w:tr>
      <w:tr>
        <w:trPr>
          <w:trHeight w:val="216"/>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60" w:type="dxa"/>
            <w:vAlign w:val="bottom"/>
            <w:tcBorders>
              <w:bottom w:val="single" w:sz="8" w:color="auto"/>
            </w:tcBorders>
          </w:tcPr>
          <w:p>
            <w:pPr>
              <w:spacing w:after="0"/>
              <w:rPr>
                <w:sz w:val="18"/>
                <w:szCs w:val="18"/>
                <w:color w:val="auto"/>
              </w:rPr>
            </w:pPr>
          </w:p>
        </w:tc>
      </w:tr>
      <w:tr>
        <w:trPr>
          <w:trHeight w:val="197"/>
        </w:trPr>
        <w:tc>
          <w:tcPr>
            <w:tcW w:w="2940" w:type="dxa"/>
            <w:vAlign w:val="bottom"/>
            <w:shd w:val="clear" w:color="auto" w:fill="CCEECC"/>
          </w:tcPr>
          <w:p>
            <w:pPr>
              <w:ind w:left="80"/>
              <w:spacing w:after="0"/>
              <w:rPr>
                <w:sz w:val="20"/>
                <w:szCs w:val="20"/>
                <w:color w:val="auto"/>
              </w:rPr>
            </w:pPr>
            <w:r>
              <w:rPr>
                <w:rFonts w:ascii="Arial" w:cs="Arial" w:eastAsia="Arial" w:hAnsi="Arial"/>
                <w:sz w:val="17"/>
                <w:szCs w:val="17"/>
                <w:color w:val="auto"/>
              </w:rPr>
              <w:t>Patent rights and intangible assets</w:t>
            </w:r>
          </w:p>
        </w:tc>
        <w:tc>
          <w:tcPr>
            <w:tcW w:w="2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930,000</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930,000</w:t>
            </w:r>
          </w:p>
        </w:tc>
        <w:tc>
          <w:tcPr>
            <w:tcW w:w="60" w:type="dxa"/>
            <w:vAlign w:val="bottom"/>
            <w:shd w:val="clear" w:color="auto" w:fill="CCEECC"/>
          </w:tcPr>
          <w:p>
            <w:pPr>
              <w:spacing w:after="0"/>
              <w:rPr>
                <w:sz w:val="17"/>
                <w:szCs w:val="17"/>
                <w:color w:val="auto"/>
              </w:rPr>
            </w:pPr>
          </w:p>
        </w:tc>
      </w:tr>
      <w:tr>
        <w:trPr>
          <w:trHeight w:val="204"/>
        </w:trPr>
        <w:tc>
          <w:tcPr>
            <w:tcW w:w="2940" w:type="dxa"/>
            <w:vAlign w:val="bottom"/>
          </w:tcPr>
          <w:p>
            <w:pPr>
              <w:ind w:left="80"/>
              <w:spacing w:after="0"/>
              <w:rPr>
                <w:sz w:val="20"/>
                <w:szCs w:val="20"/>
                <w:color w:val="auto"/>
              </w:rPr>
            </w:pPr>
            <w:r>
              <w:rPr>
                <w:rFonts w:ascii="Arial" w:cs="Arial" w:eastAsia="Arial" w:hAnsi="Arial"/>
                <w:sz w:val="17"/>
                <w:szCs w:val="17"/>
                <w:color w:val="auto"/>
              </w:rPr>
              <w:t>Accumulated amortization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(27,353)</w:t>
            </w: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94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2"/>
              </w:rPr>
              <w:t>Patent rights and intangible assets, net</w:t>
            </w:r>
          </w:p>
        </w:tc>
        <w:tc>
          <w:tcPr>
            <w:tcW w:w="2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861,618</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902,647</w:t>
            </w:r>
          </w:p>
        </w:tc>
        <w:tc>
          <w:tcPr>
            <w:tcW w:w="60" w:type="dxa"/>
            <w:vAlign w:val="bottom"/>
            <w:shd w:val="clear" w:color="auto" w:fill="CCEECC"/>
          </w:tcPr>
          <w:p>
            <w:pPr>
              <w:spacing w:after="0"/>
              <w:rPr>
                <w:sz w:val="18"/>
                <w:szCs w:val="18"/>
                <w:color w:val="auto"/>
              </w:rPr>
            </w:pPr>
          </w:p>
        </w:tc>
      </w:tr>
      <w:tr>
        <w:trPr>
          <w:trHeight w:val="20"/>
        </w:trPr>
        <w:tc>
          <w:tcPr>
            <w:tcW w:w="294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$41,029 for the nine months ended September 30, 2011 and $27,353 for the year ended December 31, 2010,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ACCRUED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as of September 30, 2011 and December 31,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6"/>
              </w:rPr>
              <w:t>September 30, 2011</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December 31, 2010</w:t>
            </w:r>
          </w:p>
        </w:tc>
      </w:tr>
      <w:tr>
        <w:trPr>
          <w:trHeight w:val="197"/>
        </w:trPr>
        <w:tc>
          <w:tcPr>
            <w:tcW w:w="2060" w:type="dxa"/>
            <w:vAlign w:val="bottom"/>
            <w:shd w:val="clear" w:color="auto" w:fill="CCEECC"/>
          </w:tcPr>
          <w:p>
            <w:pPr>
              <w:ind w:left="80"/>
              <w:spacing w:after="0"/>
              <w:rPr>
                <w:sz w:val="20"/>
                <w:szCs w:val="20"/>
                <w:color w:val="auto"/>
              </w:rPr>
            </w:pPr>
            <w:r>
              <w:rPr>
                <w:rFonts w:ascii="Arial" w:cs="Arial" w:eastAsia="Arial" w:hAnsi="Arial"/>
                <w:sz w:val="17"/>
                <w:szCs w:val="17"/>
                <w:color w:val="auto"/>
              </w:rPr>
              <w:t>Accrued payroll taxes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700</w:t>
            </w:r>
          </w:p>
        </w:tc>
      </w:tr>
      <w:tr>
        <w:trPr>
          <w:trHeight w:val="204"/>
        </w:trPr>
        <w:tc>
          <w:tcPr>
            <w:tcW w:w="2060" w:type="dxa"/>
            <w:vAlign w:val="bottom"/>
          </w:tcPr>
          <w:p>
            <w:pPr>
              <w:ind w:left="80"/>
              <w:spacing w:after="0"/>
              <w:rPr>
                <w:sz w:val="20"/>
                <w:szCs w:val="20"/>
                <w:color w:val="auto"/>
              </w:rPr>
            </w:pPr>
            <w:r>
              <w:rPr>
                <w:rFonts w:ascii="Arial" w:cs="Arial" w:eastAsia="Arial" w:hAnsi="Arial"/>
                <w:sz w:val="17"/>
                <w:szCs w:val="17"/>
                <w:color w:val="auto"/>
              </w:rPr>
              <w:t>Accrued audit fees</w:t>
            </w: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r>
      <w:tr>
        <w:trPr>
          <w:trHeight w:val="216"/>
        </w:trPr>
        <w:tc>
          <w:tcPr>
            <w:tcW w:w="2060" w:type="dxa"/>
            <w:vAlign w:val="bottom"/>
            <w:shd w:val="clear" w:color="auto" w:fill="CCEECC"/>
          </w:tcPr>
          <w:p>
            <w:pPr>
              <w:ind w:left="240"/>
              <w:spacing w:after="0"/>
              <w:rPr>
                <w:sz w:val="20"/>
                <w:szCs w:val="20"/>
                <w:color w:val="auto"/>
              </w:rPr>
            </w:pPr>
            <w:r>
              <w:rPr>
                <w:rFonts w:ascii="Arial" w:cs="Arial" w:eastAsia="Arial" w:hAnsi="Arial"/>
                <w:sz w:val="17"/>
                <w:szCs w:val="17"/>
                <w:color w:val="auto"/>
              </w:rPr>
              <w:t>Accrued expenses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5,700</w:t>
            </w:r>
          </w:p>
        </w:tc>
      </w:tr>
      <w:tr>
        <w:trPr>
          <w:trHeight w:val="20"/>
        </w:trPr>
        <w:tc>
          <w:tcPr>
            <w:tcW w:w="206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DEFERRED REVENUE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Deferred revenue was $140,300 and $225,720 as of September 30, 2011 and December 31, 2010,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NOTE PAYABLE</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was being amortized over the life of the loan using the straight-line method and charged to interest expense.</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16, 2011, the Company entered into a Termination Agreement, in conjunction with a Securities Purchase Agreement with another investor. Under the Termination Agreement, the Company paid off the $1,000,000 promissory note, plus all accrued interest to date. Upon payment of the note, the contingent stock warrants obligation was terminated and the remaining debt discount from the warrant valuation was expensed. See Note 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COMMON STOCK</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OptimizeRx Corporation has 500,000,000 shares of $.001 par value common stock authorized as of September 30, 2011. There were 14,192,496 and 13,606,676 common shares issued and outstanding at September 30, 2011 and December 31, 2010,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On March 11, 2010, the Company issued 12,000 shares of common stock for services valued at $27,960.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April 20, 2010, the Company issued 66,000 shares to board members for services valued at $130,680.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Additionally on May 27, 2010, the Company issued 25,000 for services valued at $42,500.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September 27, 2010, the Company issued 100,000 shares of common stock for services valued at $100,000.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October 14, 2010, the Company issued 24,000 shares to a board member or advisory services valued at $30,000.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2010, the Company issued 410,520 shares of common stock to satisfy $700,000 of preferred dividends.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February 19, 2010, 75,400 stock warrants were exercised for 43,039 shares of common stock in a cashless exchange.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May 19, 2010, 25,000 stock warrants were exercised for 25,000 shares of common stock for total proceeds of $8,750.</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30, 2011, we entered into a settlement agreement with Midtown Partners. Under the settlement agreement, we will pay Midtown Partners $57,500 and grant 100,000 shares of our common stock. The cost of the settlement has been recorded as equity issuance costs. As a result of the settlement, the litigation in the Eastern District of Michigan will be dismissed.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2011, the Company issued 475,820 shares of common stock to satisfy $500,000 of preferred dividends.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A Preferred</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PREFERRED STOCK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A Preferred (Continued)</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B Preferred</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PREFERRED STOCK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Series B Preferred (Continued)</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 OPTIONS AND WARRANTS</w:t>
      </w:r>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 OPTIONS AND WARRANTS (CONTINUED)</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During the quarter ended September 30, 2011, these warrants were cancelled as part of a settlement with the consultant.</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$250,000 and $83,333 of the debt discount as interest expense in the six months ended June 30, 2011 and the year ended December 31, 2010. On September 16, 2011, the Company entered into a Termination Agreement and Release with the investor. As part of the agreement, the 1,000,000 contingent stock warrants were terminated and the remaining debt discount interest from the warrant valuation was expensed. See Note 9.</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nine months ended September 30, 2011.</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$77,423 during the nine months ended September 30, 2011 with the remaining balance of $16,569 recorded as prepaid consulting to be expensed over the next month.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 OPTIONS AND WARRANTS (CONTINUED)</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$106,861 during the nine months ended September 30, 2011. The remaining balance will be recognized over the following eight months.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their offices for $2,500 a month on a month-to-month rental.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RELATED PARTY TRANSACTIONS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Notes 6, 10 and 12.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MAJOR CUSTOMERS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one major customer that accounted for 50% of the Company’s revenues and has three major customers that accounted for approximately 60% of revenues for the nine months ended September 30, 2011 and for the year ended December 31, 2010, respectively. The Company expects to continue to maintain these relationships with the customers.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nine months ended September 30, 2011, the Company incurred a net loss of approximately $1,674,000 and therefore has no tax liability. The Company began operations in 2007 and has previous net operating loss carry-forwards of $11,359,000 through December 31, 2010. The cumulative loss of $13,033,000 will be carried forward and can be used through the year 2031 to offset future taxable income. In the future, the cumulative net operating loss carry-forward for income tax purposes may differ from the cumulative financial statement loss due to timing differences between book and tax reporting.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Federal income tax consists of the following for the nine months ended September 30, 2011 and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w w:val="89"/>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September 30,</w:t>
            </w:r>
          </w:p>
        </w:tc>
      </w:tr>
      <w:tr>
        <w:trPr>
          <w:trHeight w:val="215"/>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60" w:type="dxa"/>
            <w:vAlign w:val="bottom"/>
            <w:tcBorders>
              <w:bottom w:val="single" w:sz="8" w:color="auto"/>
            </w:tcBorders>
          </w:tcPr>
          <w:p>
            <w:pPr>
              <w:spacing w:after="0"/>
              <w:rPr>
                <w:sz w:val="18"/>
                <w:szCs w:val="18"/>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7"/>
                <w:szCs w:val="17"/>
                <w:color w:val="auto"/>
                <w:w w:val="93"/>
              </w:rPr>
              <w:t>Federal income tax benefit attributable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2960" w:type="dxa"/>
            <w:vAlign w:val="bottom"/>
            <w:shd w:val="clear" w:color="auto" w:fill="CCEECC"/>
          </w:tcPr>
          <w:p>
            <w:pPr>
              <w:ind w:left="40"/>
              <w:spacing w:after="0"/>
              <w:rPr>
                <w:sz w:val="20"/>
                <w:szCs w:val="20"/>
                <w:color w:val="auto"/>
              </w:rPr>
            </w:pPr>
            <w:r>
              <w:rPr>
                <w:rFonts w:ascii="Arial" w:cs="Arial" w:eastAsia="Arial" w:hAnsi="Arial"/>
                <w:sz w:val="17"/>
                <w:szCs w:val="17"/>
                <w:color w:val="auto"/>
              </w:rPr>
              <w:t>Current operations</w:t>
            </w:r>
          </w:p>
        </w:tc>
        <w:tc>
          <w:tcPr>
            <w:tcW w:w="2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569,000</w:t>
            </w:r>
          </w:p>
        </w:tc>
        <w:tc>
          <w:tcPr>
            <w:tcW w:w="220" w:type="dxa"/>
            <w:vAlign w:val="bottom"/>
            <w:tcBorders>
              <w:left w:val="single" w:sz="8" w:color="CCEECC"/>
            </w:tcBorders>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386,000</w:t>
            </w:r>
          </w:p>
        </w:tc>
        <w:tc>
          <w:tcPr>
            <w:tcW w:w="60" w:type="dxa"/>
            <w:vAlign w:val="bottom"/>
            <w:shd w:val="clear" w:color="auto" w:fill="CCEECC"/>
          </w:tcPr>
          <w:p>
            <w:pPr>
              <w:spacing w:after="0"/>
              <w:rPr>
                <w:sz w:val="17"/>
                <w:szCs w:val="17"/>
                <w:color w:val="auto"/>
              </w:rPr>
            </w:pPr>
          </w:p>
        </w:tc>
      </w:tr>
      <w:tr>
        <w:trPr>
          <w:trHeight w:val="204"/>
        </w:trPr>
        <w:tc>
          <w:tcPr>
            <w:tcW w:w="296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(569,000)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(386,000)</w:t>
            </w: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960" w:type="dxa"/>
            <w:vAlign w:val="bottom"/>
            <w:shd w:val="clear" w:color="auto" w:fill="CCEECC"/>
          </w:tcPr>
          <w:p>
            <w:pPr>
              <w:ind w:left="200"/>
              <w:spacing w:after="0"/>
              <w:rPr>
                <w:sz w:val="20"/>
                <w:szCs w:val="20"/>
                <w:color w:val="auto"/>
              </w:rPr>
            </w:pPr>
            <w:r>
              <w:rPr>
                <w:rFonts w:ascii="Arial" w:cs="Arial" w:eastAsia="Arial" w:hAnsi="Arial"/>
                <w:sz w:val="17"/>
                <w:szCs w:val="17"/>
                <w:color w:val="auto"/>
              </w:rPr>
              <w:t>Net provision for federal income tax</w:t>
            </w:r>
          </w:p>
        </w:tc>
        <w:tc>
          <w:tcPr>
            <w:tcW w:w="2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20" w:type="dxa"/>
            <w:vAlign w:val="bottom"/>
            <w:tcBorders>
              <w:left w:val="single" w:sz="8" w:color="CCEECC"/>
            </w:tcBorders>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8"/>
                <w:szCs w:val="18"/>
                <w:color w:val="auto"/>
              </w:rPr>
            </w:pPr>
          </w:p>
        </w:tc>
      </w:tr>
      <w:tr>
        <w:trPr>
          <w:trHeight w:val="20"/>
        </w:trPr>
        <w:tc>
          <w:tcPr>
            <w:tcW w:w="296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September 30, 2011 and December 31, 2010:</w:t>
      </w:r>
    </w:p>
    <w:p>
      <w:pPr>
        <w:spacing w:after="0" w:line="164"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w w:val="89"/>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December 31,</w:t>
            </w:r>
          </w:p>
        </w:tc>
      </w:tr>
      <w:tr>
        <w:trPr>
          <w:trHeight w:val="215"/>
        </w:trPr>
        <w:tc>
          <w:tcPr>
            <w:tcW w:w="2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60" w:type="dxa"/>
            <w:vAlign w:val="bottom"/>
            <w:tcBorders>
              <w:bottom w:val="single" w:sz="8" w:color="auto"/>
            </w:tcBorders>
          </w:tcPr>
          <w:p>
            <w:pPr>
              <w:spacing w:after="0"/>
              <w:rPr>
                <w:sz w:val="18"/>
                <w:szCs w:val="18"/>
                <w:color w:val="auto"/>
              </w:rPr>
            </w:pPr>
          </w:p>
        </w:tc>
      </w:tr>
      <w:tr>
        <w:trPr>
          <w:trHeight w:val="197"/>
        </w:trPr>
        <w:tc>
          <w:tcPr>
            <w:tcW w:w="2680" w:type="dxa"/>
            <w:vAlign w:val="bottom"/>
          </w:tcPr>
          <w:p>
            <w:pPr>
              <w:spacing w:after="0"/>
              <w:rPr>
                <w:sz w:val="20"/>
                <w:szCs w:val="20"/>
                <w:color w:val="auto"/>
              </w:rPr>
            </w:pPr>
            <w:r>
              <w:rPr>
                <w:rFonts w:ascii="Arial" w:cs="Arial" w:eastAsia="Arial" w:hAnsi="Arial"/>
                <w:sz w:val="17"/>
                <w:szCs w:val="17"/>
                <w:color w:val="auto"/>
              </w:rPr>
              <w:t>Deferred tax asset attributable to:</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2680" w:type="dxa"/>
            <w:vAlign w:val="bottom"/>
            <w:shd w:val="clear" w:color="auto" w:fill="CCEECC"/>
          </w:tcPr>
          <w:p>
            <w:pPr>
              <w:ind w:left="40"/>
              <w:spacing w:after="0"/>
              <w:rPr>
                <w:sz w:val="20"/>
                <w:szCs w:val="20"/>
                <w:color w:val="auto"/>
              </w:rPr>
            </w:pPr>
            <w:r>
              <w:rPr>
                <w:rFonts w:ascii="Arial" w:cs="Arial" w:eastAsia="Arial" w:hAnsi="Arial"/>
                <w:sz w:val="17"/>
                <w:szCs w:val="17"/>
                <w:color w:val="auto"/>
              </w:rPr>
              <w:t>Net operating loss carryover</w:t>
            </w:r>
          </w:p>
        </w:tc>
        <w:tc>
          <w:tcPr>
            <w:tcW w:w="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4,431,000</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3,862,000</w:t>
            </w:r>
          </w:p>
        </w:tc>
        <w:tc>
          <w:tcPr>
            <w:tcW w:w="60" w:type="dxa"/>
            <w:vAlign w:val="bottom"/>
            <w:shd w:val="clear" w:color="auto" w:fill="CCEECC"/>
          </w:tcPr>
          <w:p>
            <w:pPr>
              <w:spacing w:after="0"/>
              <w:rPr>
                <w:sz w:val="17"/>
                <w:szCs w:val="17"/>
                <w:color w:val="auto"/>
              </w:rPr>
            </w:pPr>
          </w:p>
        </w:tc>
      </w:tr>
      <w:tr>
        <w:trPr>
          <w:trHeight w:val="204"/>
        </w:trPr>
        <w:tc>
          <w:tcPr>
            <w:tcW w:w="268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(4,431,000)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(3,862,000)</w:t>
            </w:r>
          </w:p>
        </w:tc>
      </w:tr>
      <w:tr>
        <w:trPr>
          <w:trHeight w:val="20"/>
        </w:trPr>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680" w:type="dxa"/>
            <w:vAlign w:val="bottom"/>
            <w:shd w:val="clear" w:color="auto" w:fill="CCEECC"/>
          </w:tcPr>
          <w:p>
            <w:pPr>
              <w:ind w:left="200"/>
              <w:spacing w:after="0"/>
              <w:rPr>
                <w:sz w:val="20"/>
                <w:szCs w:val="20"/>
                <w:color w:val="auto"/>
              </w:rPr>
            </w:pPr>
            <w:r>
              <w:rPr>
                <w:rFonts w:ascii="Arial" w:cs="Arial" w:eastAsia="Arial" w:hAnsi="Arial"/>
                <w:sz w:val="17"/>
                <w:szCs w:val="17"/>
                <w:color w:val="auto"/>
              </w:rPr>
              <w:t>Net deferred tax asset</w:t>
            </w:r>
          </w:p>
        </w:tc>
        <w:tc>
          <w:tcPr>
            <w:tcW w:w="5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240" w:type="dxa"/>
            <w:vAlign w:val="bottom"/>
            <w:tcBorders>
              <w:left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8"/>
                <w:szCs w:val="18"/>
                <w:color w:val="auto"/>
              </w:rPr>
            </w:pPr>
          </w:p>
        </w:tc>
      </w:tr>
      <w:tr>
        <w:trPr>
          <w:trHeight w:val="20"/>
        </w:trPr>
        <w:tc>
          <w:tcPr>
            <w:tcW w:w="268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Due to the change in ownership provisions of the Tax Reform Act of 1986, net operating loss carry forwards of approximately $13,033,000 for Federal income tax reporting purposes are subject to annual limitations. Should a change in ownership occur net operating loss carry forwards may be limited as to use in future years.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consisted of the following for the three and nine months ended September 30, 2011 and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7"/>
                <w:szCs w:val="17"/>
                <w:color w:val="auto"/>
                <w:w w:val="89"/>
              </w:rPr>
              <w:t>Three months</w:t>
            </w:r>
          </w:p>
        </w:tc>
        <w:tc>
          <w:tcPr>
            <w:tcW w:w="60" w:type="dxa"/>
            <w:vAlign w:val="bottom"/>
          </w:tcPr>
          <w:p>
            <w:pPr>
              <w:spacing w:after="0"/>
              <w:rPr>
                <w:sz w:val="17"/>
                <w:szCs w:val="17"/>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7"/>
                <w:szCs w:val="17"/>
                <w:color w:val="auto"/>
                <w:w w:val="89"/>
              </w:rPr>
              <w:t>Three months</w:t>
            </w:r>
          </w:p>
        </w:tc>
        <w:tc>
          <w:tcPr>
            <w:tcW w:w="40" w:type="dxa"/>
            <w:vAlign w:val="bottom"/>
          </w:tcPr>
          <w:p>
            <w:pPr>
              <w:spacing w:after="0"/>
              <w:rPr>
                <w:sz w:val="17"/>
                <w:szCs w:val="17"/>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Nine months</w:t>
            </w:r>
          </w:p>
        </w:tc>
        <w:tc>
          <w:tcPr>
            <w:tcW w:w="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7"/>
                <w:szCs w:val="17"/>
                <w:color w:val="auto"/>
                <w:w w:val="90"/>
              </w:rPr>
              <w:t>Nine months</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color w:val="auto"/>
                <w:w w:val="84"/>
              </w:rPr>
              <w:t>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75"/>
              <w:spacing w:after="0"/>
              <w:rPr>
                <w:sz w:val="20"/>
                <w:szCs w:val="20"/>
                <w:color w:val="auto"/>
              </w:rPr>
            </w:pPr>
            <w:r>
              <w:rPr>
                <w:rFonts w:ascii="Arial" w:cs="Arial" w:eastAsia="Arial" w:hAnsi="Arial"/>
                <w:sz w:val="17"/>
                <w:szCs w:val="17"/>
                <w:color w:val="auto"/>
                <w:w w:val="84"/>
              </w:rPr>
              <w:t>ended</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14"/>
          </w:tcPr>
          <w:p>
            <w:pPr>
              <w:jc w:val="right"/>
              <w:spacing w:after="0"/>
              <w:rPr>
                <w:sz w:val="20"/>
                <w:szCs w:val="20"/>
                <w:color w:val="auto"/>
              </w:rPr>
            </w:pPr>
            <w:r>
              <w:rPr>
                <w:rFonts w:ascii="Arial" w:cs="Arial" w:eastAsia="Arial" w:hAnsi="Arial"/>
                <w:sz w:val="17"/>
                <w:szCs w:val="17"/>
                <w:color w:val="auto"/>
                <w:w w:val="88"/>
              </w:rPr>
              <w:t>September 30, September 30, September 30, September 30,</w:t>
            </w:r>
          </w:p>
        </w:tc>
        <w:tc>
          <w:tcPr>
            <w:tcW w:w="2840" w:type="dxa"/>
            <w:vAlign w:val="bottom"/>
          </w:tcPr>
          <w:p>
            <w:pPr>
              <w:spacing w:after="0"/>
              <w:rPr>
                <w:sz w:val="17"/>
                <w:szCs w:val="17"/>
                <w:color w:val="auto"/>
              </w:rPr>
            </w:pPr>
          </w:p>
        </w:tc>
      </w:tr>
      <w:tr>
        <w:trPr>
          <w:trHeight w:val="215"/>
        </w:trPr>
        <w:tc>
          <w:tcPr>
            <w:tcW w:w="2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2011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2010</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2011</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2010</w:t>
            </w:r>
          </w:p>
        </w:tc>
        <w:tc>
          <w:tcPr>
            <w:tcW w:w="284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Advertising</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46,261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32,146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89,556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123,411</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shd w:val="clear" w:color="auto" w:fill="CCEECC"/>
          </w:tcPr>
          <w:p>
            <w:pPr>
              <w:ind w:left="80"/>
              <w:spacing w:after="0"/>
              <w:rPr>
                <w:sz w:val="20"/>
                <w:szCs w:val="20"/>
                <w:color w:val="auto"/>
              </w:rPr>
            </w:pPr>
            <w:r>
              <w:rPr>
                <w:rFonts w:ascii="Arial" w:cs="Arial" w:eastAsia="Arial" w:hAnsi="Arial"/>
                <w:sz w:val="17"/>
                <w:szCs w:val="17"/>
                <w:color w:val="auto"/>
              </w:rPr>
              <w:t>Professional fees</w:t>
            </w:r>
          </w:p>
        </w:tc>
        <w:tc>
          <w:tcPr>
            <w:tcW w:w="10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27,844</w:t>
            </w: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90,356</w:t>
            </w:r>
          </w:p>
        </w:tc>
        <w:tc>
          <w:tcPr>
            <w:tcW w:w="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240,733</w:t>
            </w:r>
          </w:p>
        </w:tc>
        <w:tc>
          <w:tcPr>
            <w:tcW w:w="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161,461</w:t>
            </w:r>
          </w:p>
        </w:tc>
        <w:tc>
          <w:tcPr>
            <w:tcW w:w="2840" w:type="dxa"/>
            <w:vAlign w:val="bottom"/>
          </w:tcPr>
          <w:p>
            <w:pPr>
              <w:spacing w:after="0"/>
              <w:rPr>
                <w:sz w:val="17"/>
                <w:szCs w:val="17"/>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Consulting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51,479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138,554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133,580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540,026</w:t>
            </w:r>
          </w:p>
        </w:tc>
        <w:tc>
          <w:tcPr>
            <w:tcW w:w="2840" w:type="dxa"/>
            <w:vAlign w:val="bottom"/>
          </w:tcPr>
          <w:p>
            <w:pPr>
              <w:spacing w:after="0"/>
              <w:rPr>
                <w:sz w:val="17"/>
                <w:szCs w:val="17"/>
                <w:color w:val="auto"/>
              </w:rPr>
            </w:pPr>
          </w:p>
        </w:tc>
      </w:tr>
      <w:tr>
        <w:trPr>
          <w:trHeight w:val="191"/>
        </w:trPr>
        <w:tc>
          <w:tcPr>
            <w:tcW w:w="2860" w:type="dxa"/>
            <w:vAlign w:val="bottom"/>
          </w:tcPr>
          <w:p>
            <w:pPr>
              <w:spacing w:after="0"/>
              <w:rPr>
                <w:sz w:val="16"/>
                <w:szCs w:val="16"/>
                <w:color w:val="auto"/>
              </w:rPr>
            </w:pPr>
          </w:p>
        </w:tc>
        <w:tc>
          <w:tcPr>
            <w:tcW w:w="1500" w:type="dxa"/>
            <w:vAlign w:val="bottom"/>
            <w:shd w:val="clear" w:color="auto" w:fill="CCEECC"/>
          </w:tcPr>
          <w:p>
            <w:pPr>
              <w:ind w:left="80"/>
              <w:spacing w:after="0" w:line="191" w:lineRule="exact"/>
              <w:rPr>
                <w:sz w:val="20"/>
                <w:szCs w:val="20"/>
                <w:color w:val="auto"/>
              </w:rPr>
            </w:pPr>
            <w:r>
              <w:rPr>
                <w:rFonts w:ascii="Arial" w:cs="Arial" w:eastAsia="Arial" w:hAnsi="Arial"/>
                <w:sz w:val="17"/>
                <w:szCs w:val="17"/>
                <w:color w:val="auto"/>
                <w:w w:val="91"/>
              </w:rPr>
              <w:t>Salaries, wages and</w:t>
            </w:r>
          </w:p>
        </w:tc>
        <w:tc>
          <w:tcPr>
            <w:tcW w:w="10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76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840" w:type="dxa"/>
            <w:vAlign w:val="bottom"/>
            <w:tcBorders>
              <w:right w:val="single" w:sz="8" w:color="CCEECC"/>
            </w:tcBorders>
            <w:shd w:val="clear" w:color="auto" w:fill="CCEECC"/>
          </w:tcPr>
          <w:p>
            <w:pPr>
              <w:spacing w:after="0"/>
              <w:rPr>
                <w:sz w:val="16"/>
                <w:szCs w:val="16"/>
                <w:color w:val="auto"/>
              </w:rPr>
            </w:pPr>
          </w:p>
        </w:tc>
        <w:tc>
          <w:tcPr>
            <w:tcW w:w="284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00" w:type="dxa"/>
            <w:vAlign w:val="bottom"/>
            <w:shd w:val="clear" w:color="auto" w:fill="CCEECC"/>
          </w:tcPr>
          <w:p>
            <w:pPr>
              <w:ind w:left="80"/>
              <w:spacing w:after="0"/>
              <w:rPr>
                <w:sz w:val="20"/>
                <w:szCs w:val="20"/>
                <w:color w:val="auto"/>
              </w:rPr>
            </w:pPr>
            <w:r>
              <w:rPr>
                <w:rFonts w:ascii="Arial" w:cs="Arial" w:eastAsia="Arial" w:hAnsi="Arial"/>
                <w:sz w:val="17"/>
                <w:szCs w:val="17"/>
                <w:color w:val="auto"/>
              </w:rPr>
              <w:t>benefits</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186,585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193,189</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566,926</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511,374</w:t>
            </w:r>
          </w:p>
        </w:tc>
        <w:tc>
          <w:tcPr>
            <w:tcW w:w="2840" w:type="dxa"/>
            <w:vAlign w:val="bottom"/>
          </w:tcPr>
          <w:p>
            <w:pPr>
              <w:spacing w:after="0"/>
              <w:rPr>
                <w:sz w:val="18"/>
                <w:szCs w:val="18"/>
                <w:color w:val="auto"/>
              </w:rPr>
            </w:pPr>
          </w:p>
        </w:tc>
      </w:tr>
      <w:tr>
        <w:trPr>
          <w:trHeight w:val="204"/>
        </w:trPr>
        <w:tc>
          <w:tcPr>
            <w:tcW w:w="286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Rent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7,606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22,606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22,500</w:t>
            </w:r>
          </w:p>
        </w:tc>
        <w:tc>
          <w:tcPr>
            <w:tcW w:w="2840" w:type="dxa"/>
            <w:vAlign w:val="bottom"/>
          </w:tcPr>
          <w:p>
            <w:pPr>
              <w:spacing w:after="0"/>
              <w:rPr>
                <w:sz w:val="17"/>
                <w:szCs w:val="17"/>
                <w:color w:val="auto"/>
              </w:rPr>
            </w:pPr>
          </w:p>
        </w:tc>
      </w:tr>
      <w:tr>
        <w:trPr>
          <w:trHeight w:val="191"/>
        </w:trPr>
        <w:tc>
          <w:tcPr>
            <w:tcW w:w="2860" w:type="dxa"/>
            <w:vAlign w:val="bottom"/>
          </w:tcPr>
          <w:p>
            <w:pPr>
              <w:spacing w:after="0"/>
              <w:rPr>
                <w:sz w:val="16"/>
                <w:szCs w:val="16"/>
                <w:color w:val="auto"/>
              </w:rPr>
            </w:pPr>
          </w:p>
        </w:tc>
        <w:tc>
          <w:tcPr>
            <w:tcW w:w="1500" w:type="dxa"/>
            <w:vAlign w:val="bottom"/>
            <w:shd w:val="clear" w:color="auto" w:fill="CCEECC"/>
          </w:tcPr>
          <w:p>
            <w:pPr>
              <w:ind w:left="80"/>
              <w:spacing w:after="0" w:line="191" w:lineRule="exact"/>
              <w:rPr>
                <w:sz w:val="20"/>
                <w:szCs w:val="20"/>
                <w:color w:val="auto"/>
              </w:rPr>
            </w:pPr>
            <w:r>
              <w:rPr>
                <w:rFonts w:ascii="Arial" w:cs="Arial" w:eastAsia="Arial" w:hAnsi="Arial"/>
                <w:sz w:val="17"/>
                <w:szCs w:val="17"/>
                <w:color w:val="auto"/>
              </w:rPr>
              <w:t>General and</w:t>
            </w:r>
          </w:p>
        </w:tc>
        <w:tc>
          <w:tcPr>
            <w:tcW w:w="10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7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76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840" w:type="dxa"/>
            <w:vAlign w:val="bottom"/>
            <w:tcBorders>
              <w:right w:val="single" w:sz="8" w:color="CCEECC"/>
            </w:tcBorders>
            <w:shd w:val="clear" w:color="auto" w:fill="CCEECC"/>
          </w:tcPr>
          <w:p>
            <w:pPr>
              <w:spacing w:after="0"/>
              <w:rPr>
                <w:sz w:val="16"/>
                <w:szCs w:val="16"/>
                <w:color w:val="auto"/>
              </w:rPr>
            </w:pPr>
          </w:p>
        </w:tc>
        <w:tc>
          <w:tcPr>
            <w:tcW w:w="284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0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administrative</w:t>
            </w:r>
          </w:p>
        </w:tc>
        <w:tc>
          <w:tcPr>
            <w:tcW w:w="100" w:type="dxa"/>
            <w:vAlign w:val="bottom"/>
            <w:tcBorders>
              <w:bottom w:val="single" w:sz="8" w:color="CCEECC"/>
            </w:tcBorders>
            <w:shd w:val="clear" w:color="auto" w:fill="CCEECC"/>
          </w:tcPr>
          <w:p>
            <w:pPr>
              <w:spacing w:after="0"/>
              <w:rPr>
                <w:sz w:val="18"/>
                <w:szCs w:val="18"/>
                <w:color w:val="auto"/>
              </w:rPr>
            </w:pPr>
          </w:p>
        </w:tc>
        <w:tc>
          <w:tcPr>
            <w:tcW w:w="180" w:type="dxa"/>
            <w:vAlign w:val="bottom"/>
            <w:tcBorders>
              <w:bottom w:val="single" w:sz="8" w:color="auto"/>
            </w:tcBorders>
            <w:shd w:val="clear" w:color="auto" w:fill="CCEECC"/>
          </w:tcPr>
          <w:p>
            <w:pPr>
              <w:spacing w:after="0"/>
              <w:rPr>
                <w:sz w:val="18"/>
                <w:szCs w:val="18"/>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162,860</w:t>
            </w:r>
          </w:p>
        </w:tc>
        <w:tc>
          <w:tcPr>
            <w:tcW w:w="60" w:type="dxa"/>
            <w:vAlign w:val="bottom"/>
            <w:tcBorders>
              <w:bottom w:val="single" w:sz="8" w:color="CCEECC"/>
            </w:tcBorders>
            <w:shd w:val="clear" w:color="auto" w:fill="CCEECC"/>
          </w:tcPr>
          <w:p>
            <w:pPr>
              <w:spacing w:after="0"/>
              <w:rPr>
                <w:sz w:val="18"/>
                <w:szCs w:val="18"/>
                <w:color w:val="auto"/>
              </w:rPr>
            </w:pPr>
          </w:p>
        </w:tc>
        <w:tc>
          <w:tcPr>
            <w:tcW w:w="60" w:type="dxa"/>
            <w:vAlign w:val="bottom"/>
            <w:tcBorders>
              <w:bottom w:val="single" w:sz="8" w:color="CCEECC"/>
            </w:tcBorders>
            <w:shd w:val="clear" w:color="auto" w:fill="CCEECC"/>
          </w:tcPr>
          <w:p>
            <w:pPr>
              <w:spacing w:after="0"/>
              <w:rPr>
                <w:sz w:val="18"/>
                <w:szCs w:val="18"/>
                <w:color w:val="auto"/>
              </w:rPr>
            </w:pPr>
          </w:p>
        </w:tc>
        <w:tc>
          <w:tcPr>
            <w:tcW w:w="180" w:type="dxa"/>
            <w:vAlign w:val="bottom"/>
            <w:tcBorders>
              <w:bottom w:val="single" w:sz="8" w:color="auto"/>
            </w:tcBorders>
            <w:shd w:val="clear" w:color="auto" w:fill="CCEECC"/>
          </w:tcPr>
          <w:p>
            <w:pPr>
              <w:spacing w:after="0"/>
              <w:rPr>
                <w:sz w:val="18"/>
                <w:szCs w:val="18"/>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84,144</w:t>
            </w:r>
          </w:p>
        </w:tc>
        <w:tc>
          <w:tcPr>
            <w:tcW w:w="80" w:type="dxa"/>
            <w:vAlign w:val="bottom"/>
            <w:tcBorders>
              <w:bottom w:val="single" w:sz="8" w:color="CCEECC"/>
            </w:tcBorders>
            <w:shd w:val="clear" w:color="auto" w:fill="CCEECC"/>
          </w:tcPr>
          <w:p>
            <w:pPr>
              <w:spacing w:after="0"/>
              <w:rPr>
                <w:sz w:val="18"/>
                <w:szCs w:val="18"/>
                <w:color w:val="auto"/>
              </w:rPr>
            </w:pPr>
          </w:p>
        </w:tc>
        <w:tc>
          <w:tcPr>
            <w:tcW w:w="40" w:type="dxa"/>
            <w:vAlign w:val="bottom"/>
            <w:tcBorders>
              <w:bottom w:val="single" w:sz="8" w:color="CCEECC"/>
            </w:tcBorders>
            <w:shd w:val="clear" w:color="auto" w:fill="CCEECC"/>
          </w:tcPr>
          <w:p>
            <w:pPr>
              <w:spacing w:after="0"/>
              <w:rPr>
                <w:sz w:val="18"/>
                <w:szCs w:val="18"/>
                <w:color w:val="auto"/>
              </w:rPr>
            </w:pPr>
          </w:p>
        </w:tc>
        <w:tc>
          <w:tcPr>
            <w:tcW w:w="160" w:type="dxa"/>
            <w:vAlign w:val="bottom"/>
            <w:tcBorders>
              <w:bottom w:val="single" w:sz="8" w:color="auto"/>
            </w:tcBorders>
            <w:shd w:val="clear" w:color="auto" w:fill="CCEECC"/>
          </w:tcPr>
          <w:p>
            <w:pPr>
              <w:spacing w:after="0"/>
              <w:rPr>
                <w:sz w:val="18"/>
                <w:szCs w:val="18"/>
                <w:color w:val="auto"/>
              </w:rPr>
            </w:pPr>
          </w:p>
        </w:tc>
        <w:tc>
          <w:tcPr>
            <w:tcW w:w="7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391,669</w:t>
            </w:r>
          </w:p>
        </w:tc>
        <w:tc>
          <w:tcPr>
            <w:tcW w:w="80" w:type="dxa"/>
            <w:vAlign w:val="bottom"/>
            <w:tcBorders>
              <w:bottom w:val="single" w:sz="8" w:color="CCEECC"/>
            </w:tcBorders>
            <w:shd w:val="clear" w:color="auto" w:fill="CCEECC"/>
          </w:tcPr>
          <w:p>
            <w:pPr>
              <w:spacing w:after="0"/>
              <w:rPr>
                <w:sz w:val="18"/>
                <w:szCs w:val="18"/>
                <w:color w:val="auto"/>
              </w:rPr>
            </w:pPr>
          </w:p>
        </w:tc>
        <w:tc>
          <w:tcPr>
            <w:tcW w:w="40" w:type="dxa"/>
            <w:vAlign w:val="bottom"/>
            <w:tcBorders>
              <w:bottom w:val="single" w:sz="8" w:color="CCEECC"/>
            </w:tcBorders>
            <w:shd w:val="clear" w:color="auto" w:fill="CCEECC"/>
          </w:tcPr>
          <w:p>
            <w:pPr>
              <w:spacing w:after="0"/>
              <w:rPr>
                <w:sz w:val="18"/>
                <w:szCs w:val="18"/>
                <w:color w:val="auto"/>
              </w:rPr>
            </w:pPr>
          </w:p>
        </w:tc>
        <w:tc>
          <w:tcPr>
            <w:tcW w:w="160" w:type="dxa"/>
            <w:vAlign w:val="bottom"/>
            <w:tcBorders>
              <w:bottom w:val="single" w:sz="8" w:color="auto"/>
            </w:tcBorders>
            <w:shd w:val="clear" w:color="auto" w:fill="CCEECC"/>
          </w:tcPr>
          <w:p>
            <w:pPr>
              <w:spacing w:after="0"/>
              <w:rPr>
                <w:sz w:val="18"/>
                <w:szCs w:val="18"/>
                <w:color w:val="auto"/>
              </w:rPr>
            </w:pPr>
          </w:p>
        </w:tc>
        <w:tc>
          <w:tcPr>
            <w:tcW w:w="8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342,294</w:t>
            </w:r>
          </w:p>
        </w:tc>
        <w:tc>
          <w:tcPr>
            <w:tcW w:w="2840" w:type="dxa"/>
            <w:vAlign w:val="bottom"/>
          </w:tcPr>
          <w:p>
            <w:pPr>
              <w:spacing w:after="0"/>
              <w:rPr>
                <w:sz w:val="18"/>
                <w:szCs w:val="18"/>
                <w:color w:val="auto"/>
              </w:rPr>
            </w:pPr>
          </w:p>
        </w:tc>
      </w:tr>
      <w:tr>
        <w:trPr>
          <w:trHeight w:val="184"/>
        </w:trPr>
        <w:tc>
          <w:tcPr>
            <w:tcW w:w="2860" w:type="dxa"/>
            <w:vAlign w:val="bottom"/>
          </w:tcPr>
          <w:p>
            <w:pPr>
              <w:spacing w:after="0"/>
              <w:rPr>
                <w:sz w:val="16"/>
                <w:szCs w:val="16"/>
                <w:color w:val="auto"/>
              </w:rPr>
            </w:pPr>
          </w:p>
        </w:tc>
        <w:tc>
          <w:tcPr>
            <w:tcW w:w="1500" w:type="dxa"/>
            <w:vAlign w:val="bottom"/>
          </w:tcPr>
          <w:p>
            <w:pPr>
              <w:ind w:left="220"/>
              <w:spacing w:after="0" w:line="185" w:lineRule="exact"/>
              <w:rPr>
                <w:sz w:val="20"/>
                <w:szCs w:val="20"/>
                <w:color w:val="auto"/>
              </w:rPr>
            </w:pPr>
            <w:r>
              <w:rPr>
                <w:rFonts w:ascii="Arial" w:cs="Arial" w:eastAsia="Arial" w:hAnsi="Arial"/>
                <w:sz w:val="17"/>
                <w:szCs w:val="17"/>
                <w:color w:val="auto"/>
              </w:rPr>
              <w:t>Total Operating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7"/>
                <w:szCs w:val="17"/>
                <w:color w:val="auto"/>
              </w:rPr>
              <w:t>Expenses</w:t>
            </w:r>
          </w:p>
        </w:tc>
        <w:tc>
          <w:tcPr>
            <w:tcW w:w="28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482,635</w:t>
            </w:r>
          </w:p>
        </w:tc>
        <w:tc>
          <w:tcPr>
            <w:tcW w:w="6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545,889</w:t>
            </w:r>
          </w:p>
        </w:tc>
        <w:tc>
          <w:tcPr>
            <w:tcW w:w="80" w:type="dxa"/>
            <w:vAlign w:val="bottom"/>
          </w:tcPr>
          <w:p>
            <w:pPr>
              <w:spacing w:after="0"/>
              <w:rPr>
                <w:sz w:val="18"/>
                <w:szCs w:val="18"/>
                <w:color w:val="auto"/>
              </w:rPr>
            </w:pPr>
          </w:p>
        </w:tc>
        <w:tc>
          <w:tcPr>
            <w:tcW w:w="20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1,445,070</w:t>
            </w:r>
          </w:p>
        </w:tc>
        <w:tc>
          <w:tcPr>
            <w:tcW w:w="80" w:type="dxa"/>
            <w:vAlign w:val="bottom"/>
          </w:tcPr>
          <w:p>
            <w:pPr>
              <w:spacing w:after="0"/>
              <w:rPr>
                <w:sz w:val="18"/>
                <w:szCs w:val="18"/>
                <w:color w:val="auto"/>
              </w:rPr>
            </w:pPr>
          </w:p>
        </w:tc>
        <w:tc>
          <w:tcPr>
            <w:tcW w:w="20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7"/>
              </w:rPr>
              <w:t>1,701,066</w:t>
            </w:r>
          </w:p>
        </w:tc>
        <w:tc>
          <w:tcPr>
            <w:tcW w:w="284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89"/>
        </w:trPr>
        <w:tc>
          <w:tcPr>
            <w:tcW w:w="2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rPr>
              <w:t>F-15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GOING CONCERN</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The Company has sustained substantial losses from operations.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SUBSEQUENT EVENTS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February 10, 2011, the Company filed a demand for arbitration (the “Demand”) with the American Arbitration Association (“AAA”) in Oakland County, Michigan based on a dispute between the Company and Beringea surrounding a capital raising agreement that was entered into on October 15, 2009. We have alleged that Beringea has failed to perform under the agreement, misinformed us about “tail” liability, and has wrongfully withheld funds due to us. We have sought $400,000 in damages. On September 30, 2011 a final arbitration award (the “Award”) was issued by an AAA arbitrator. According to the Award, we are entitled to recover $202,500 from Beringea on the claim of gross negligence, and $88,000 for the costs of enforcing the agreement, including attorneys’ fees and expenses. All other claims sought in the Demand were denied. As of October 7, 2011, the proceeds have been received.</w:t>
      </w:r>
    </w:p>
    <w:p>
      <w:pPr>
        <w:spacing w:after="0" w:line="171"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On November 4</w:t>
      </w:r>
      <w:r>
        <w:rPr>
          <w:rFonts w:ascii="Arial" w:cs="Arial" w:eastAsia="Arial" w:hAnsi="Arial"/>
          <w:sz w:val="28"/>
          <w:szCs w:val="28"/>
          <w:color w:val="auto"/>
          <w:vertAlign w:val="superscript"/>
        </w:rPr>
        <w:t>,</w:t>
      </w:r>
      <w:r>
        <w:rPr>
          <w:rFonts w:ascii="Arial" w:cs="Arial" w:eastAsia="Arial" w:hAnsi="Arial"/>
          <w:sz w:val="17"/>
          <w:szCs w:val="17"/>
          <w:color w:val="auto"/>
        </w:rPr>
        <w:t xml:space="preserve"> 2011, the Company signed a lease for a new office which it will move into in December 2011 at an approximate rent of $5,000 per month. The new offices will be in Rochester, Michigan where the Company currently resides.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accordance with ASC 855-10, the Company has analyzed its operations subsequent to September 30, 2011 through November 1, 2011 and has determined that it does not have any material subsequent events to disclose in these financial statements other than the events discussed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continue to work diligently to build out our SampleMD™ solution which provides the ability to search and select free sample vouchers and co-pay assistance by prescribing clinicians on behalf of their patents. We installed the SampleMD™ solution within our first health system in November of 2010. In parallel to our efforts of providing the doctors desktop version of the SampleMD™ solution to health systems that have eliminated access to pharmaceutical representatives, we also continue to work with Allscripts where we have integrated our solution right within their electronic prescribing application. The Allscripts ePrescribe solution was launched in mid December of 2010. These launches where inclusive of those handful of early adopting pharmaceutical manufacturers which saw the benefits and potentials of this new channel in reaching prescribing clinicians that prior where inaccessible.</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With the completed launch of SampleMD™ to various health systems and within the Allscripts solutions, we began 2011 with two major focuses. First, we set out to improve the field functionality and adoption by prescribing clinicians of our SampleMD™ solution. Early feedback from prescribing clinicians was positive. Overall,</w:t>
      </w:r>
    </w:p>
    <w:p>
      <w:pPr>
        <w:jc w:val="both"/>
        <w:spacing w:after="0" w:line="258" w:lineRule="auto"/>
        <w:rPr>
          <w:sz w:val="20"/>
          <w:szCs w:val="20"/>
          <w:color w:val="auto"/>
        </w:rPr>
      </w:pPr>
      <w:r>
        <w:rPr>
          <w:rFonts w:ascii="Arial" w:cs="Arial" w:eastAsia="Arial" w:hAnsi="Arial"/>
          <w:sz w:val="15"/>
          <w:szCs w:val="15"/>
          <w:color w:val="auto"/>
        </w:rPr>
        <w:t>for both installed environments, desk top and eRx, clinicians were satisfied with the ease and availability of our SampleMD</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solution. With the feedback we received, we continued to enhance and update product ease, usability and speed. We project that our SampleMD™ 3.0 will feature components with easier access to formulary information, broader search capabilities and a scheduler for pharmaceutical representatives. Additionally, SampleMD™ will be integrated not only within ePrescribing environments, but also within Electronic Medical (EMR) and Electronic Health Record (EHR) environments – right within the clinicians work stream.</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fiscal year 2011, we continued to generate revenue while fine tuning both the SampleMD™ stand alone solution as well as our integration with Allscript ePrescribing application. Additionally, we continue to generate great interest from health systems looking for an alternative means to provide samples and co-pay assistance to their patents. We are gaining momentum with pharmaceutical manufacturers and their brands as an alternative channel to the physician as well as interest from ePrescribing and EMR providers as an extension of their offering portfolio and revenue sharing. These efforts have expanded our offerings portfolio as we now have twelve (12) major pharmaceutical manufacturers, forty six (46) brands, and sixty (60) offerings distributed via health system widgets and integrated Allscripts ePrescribing.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also highlighted securing additional financing to support our continued growth and the recognized need for additional resources within the technical, sales and administrative disciplines. As a portion of the initial proceeds was used to pay back the note to Physicians Interactive, the balance of the funds will be used to support the acquisition of additional resources needed to support our growth.</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our year to date performance, we continue on track while gaining exposure within the marketplace. We have focused on driving our market message and gained significant exposure while participating in the Allsctripts User Conference in August of 2011. With some 3500 plus attendees, we gained valuable exposure to health systems and pharmaceutical manufacturers. Additionally, we participated within the HIMMS health care technology conference, the Marcus Evan Executive Marketing roundtable and launched an Ad campaign surrounding our SampleMD™ solution and its benefits to the health care provider advertising in Pharmaceutical Executive Magazine. It is our intent to continue to drive market awareness, secure additional sales, align with additional channel partners, and to acquire the necessary resources to support our continued growth.</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and Nine Months Ended September 30, 2011 and 2010</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Our total revenue reported for three months ended September 30, 2011 was $191,593, an increase from $40,676 for the three months ended September 30, 2010. Our total revenue reported for nine months ended September 30, 2011 was $785,610, an increase from $58,679 for the nine months ended September 30, 2010.</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increased revenue for the three and nine months ended September 30, 2011 as compared with the prior year periods is a result of our SampleMD solution and the setup and integration fees for pharmaceutical manufacturers which are participating within this offering. We are in the process of extending and renewing existing contracts, solidifying new contracts, and broadening our distribution channel with leading e-prescribers and electronic medical record providers. We expect that these efforts will result in larger revenues for our fourth quarter.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Operating expenses decreased to $482,635 for the three months ended September 30, 2011 from $545,889 for the same period ended 2010. Operating expenses decreased to $1,445,070 for the nine months ended September 30, 2011 from $1,701,067 for the same period ended 2010. A detail of the significant expenses for the three and nine months ended September 30, 2011 as compared to the prior year period is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7"/>
                <w:szCs w:val="17"/>
                <w:color w:val="auto"/>
                <w:w w:val="89"/>
              </w:rPr>
              <w:t>Three months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Arial" w:cs="Arial" w:eastAsia="Arial" w:hAnsi="Arial"/>
                <w:sz w:val="17"/>
                <w:szCs w:val="17"/>
                <w:color w:val="auto"/>
                <w:w w:val="89"/>
              </w:rPr>
              <w:t>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7"/>
                <w:szCs w:val="17"/>
                <w:color w:val="auto"/>
                <w:w w:val="92"/>
              </w:rPr>
              <w:t>Nine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color w:val="auto"/>
                <w:w w:val="90"/>
              </w:rPr>
              <w:t>Nine months</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auto"/>
                <w:w w:val="87"/>
              </w:rPr>
              <w:t>ended September</w:t>
            </w:r>
          </w:p>
        </w:tc>
        <w:tc>
          <w:tcPr>
            <w:tcW w:w="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auto"/>
                <w:w w:val="87"/>
              </w:rPr>
              <w:t>ended September</w:t>
            </w: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auto"/>
                <w:w w:val="85"/>
              </w:rPr>
              <w:t>ended September</w:t>
            </w:r>
          </w:p>
        </w:tc>
        <w:tc>
          <w:tcPr>
            <w:tcW w:w="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87"/>
              </w:rPr>
              <w:t>ended September</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7"/>
              </w:rPr>
              <w:t>30, 2011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0"/>
              </w:rPr>
              <w:t>30, 2010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0"/>
              </w:rPr>
              <w:t>30, 2011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7"/>
              </w:rPr>
              <w:t>30, 2010</w:t>
            </w:r>
          </w:p>
        </w:tc>
        <w:tc>
          <w:tcPr>
            <w:tcW w:w="1720" w:type="dxa"/>
            <w:vAlign w:val="bottom"/>
          </w:tcPr>
          <w:p>
            <w:pPr>
              <w:spacing w:after="0"/>
              <w:rPr>
                <w:sz w:val="18"/>
                <w:szCs w:val="18"/>
                <w:color w:val="auto"/>
              </w:rPr>
            </w:pPr>
          </w:p>
        </w:tc>
      </w:tr>
      <w:tr>
        <w:trPr>
          <w:trHeight w:val="197"/>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Advertising</w:t>
            </w:r>
          </w:p>
        </w:tc>
        <w:tc>
          <w:tcPr>
            <w:tcW w:w="50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46,261</w:t>
            </w:r>
          </w:p>
        </w:tc>
        <w:tc>
          <w:tcPr>
            <w:tcW w:w="18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32,146</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89,556</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123,411</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Auto Expense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15,807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54,464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35,718</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Computer Services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1,614</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3,137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7,035</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10,190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Consulting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51,478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138,554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240,440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670,706</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Contributions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21,957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22,007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30,049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90,194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24,417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Development Costs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7,057</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10,797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52,506</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26,954</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Education and Training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6,819</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Employee Benefits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24,990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14,138</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84,032</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50,046</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2,643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3,127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Insurance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6,986</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6,099</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19,454</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15,946</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Legal and Accounting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27,844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89,557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183,992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158,911</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Office Expense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957</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1,519</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3,224</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5,331</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Payroll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161,595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179,050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482,894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461,327</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Public and Investor Relations</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56,741</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2,550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Rent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22,606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22,500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Telephone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3,831</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3,133</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10,217</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8,500</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7"/>
                <w:szCs w:val="17"/>
                <w:color w:val="auto"/>
              </w:rPr>
              <w:t>Travel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8,909</w:t>
            </w:r>
          </w:p>
        </w:tc>
        <w:tc>
          <w:tcPr>
            <w:tcW w:w="1720" w:type="dxa"/>
            <w:vAlign w:val="bottom"/>
          </w:tcPr>
          <w:p>
            <w:pPr>
              <w:spacing w:after="0"/>
              <w:rPr>
                <w:sz w:val="17"/>
                <w:szCs w:val="17"/>
                <w:color w:val="auto"/>
              </w:rPr>
            </w:pPr>
          </w:p>
        </w:tc>
      </w:tr>
      <w:tr>
        <w:trPr>
          <w:trHeight w:val="204"/>
        </w:trPr>
        <w:tc>
          <w:tcPr>
            <w:tcW w:w="1720" w:type="dxa"/>
            <w:vAlign w:val="bottom"/>
          </w:tcPr>
          <w:p>
            <w:pPr>
              <w:spacing w:after="0"/>
              <w:rPr>
                <w:sz w:val="17"/>
                <w:szCs w:val="17"/>
                <w:color w:val="auto"/>
              </w:rPr>
            </w:pPr>
          </w:p>
        </w:tc>
        <w:tc>
          <w:tcPr>
            <w:tcW w:w="2580" w:type="dxa"/>
            <w:vAlign w:val="bottom"/>
            <w:shd w:val="clear" w:color="auto" w:fill="CCEECC"/>
          </w:tcPr>
          <w:p>
            <w:pPr>
              <w:ind w:left="100"/>
              <w:spacing w:after="0"/>
              <w:rPr>
                <w:sz w:val="20"/>
                <w:szCs w:val="20"/>
                <w:color w:val="auto"/>
              </w:rPr>
            </w:pPr>
            <w:r>
              <w:rPr>
                <w:rFonts w:ascii="Arial" w:cs="Arial" w:eastAsia="Arial" w:hAnsi="Arial"/>
                <w:sz w:val="17"/>
                <w:szCs w:val="17"/>
                <w:color w:val="auto"/>
              </w:rPr>
              <w:t>Website Maintenance</w:t>
            </w:r>
          </w:p>
        </w:tc>
        <w:tc>
          <w:tcPr>
            <w:tcW w:w="4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1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8,750</w:t>
            </w:r>
          </w:p>
        </w:tc>
        <w:tc>
          <w:tcPr>
            <w:tcW w:w="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28,750</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27,480</w:t>
            </w:r>
          </w:p>
        </w:tc>
        <w:tc>
          <w:tcPr>
            <w:tcW w:w="1720" w:type="dxa"/>
            <w:vAlign w:val="bottom"/>
          </w:tcPr>
          <w:p>
            <w:pPr>
              <w:spacing w:after="0"/>
              <w:rPr>
                <w:sz w:val="17"/>
                <w:szCs w:val="17"/>
                <w:color w:val="auto"/>
              </w:rPr>
            </w:pPr>
          </w:p>
        </w:tc>
      </w:tr>
      <w:tr>
        <w:trPr>
          <w:trHeight w:val="610"/>
        </w:trPr>
        <w:tc>
          <w:tcPr>
            <w:tcW w:w="17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operating expenses have decreased in the three and nine months ended September 30, 2011 as compared with the prior year periods largely as a result of a decrease in stock-based compensation, which is included in the category for “consulting” expenses, and a decrease in legal and accounting costs. For the fourth quarter, we expect to have higher operating expenses as we bring on account manager and sales positions.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Income/Expenses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Other expenses were $678,337 for the three months ended September 30, 2011 as compared with other income of $635 for same period ended 2010. Other expenses were $957,534 for the nine months ended September 30, 2011 as compared with other income of $1,939 for same period ended 2010. Interest expenses were the major factor for other expenses for the periods ended September 30,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loss for the three months ended September 30, 2011 was $969,379, compared to net loss of $504,578 for the same period 2010. Net loss for the nine months ended September 30, 2011 was $1,616,994, compared to net loss of $1,640,449 for the same period 2010.</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September 30, 2011, we had total current assets of $1,337,516 and total assets in the amount of $2,649,597. Our total current liabilities as of September 30, 2011 were $739,440. We had working capital of $598,076 as of September 30, 2011.</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Operating activities used $604,364 in cash for the nine months ended September 30, 2011. Our net loss of $1,616,994, prepaid expenses of $116,405, deferred revenue of $85,420 and accrued expenses of $63,200 were the primary components of our negative operating cash flow, offset mainly by $916,667 in amortization of debt discount, $104,255 in accounts receivable, $83,992 in stock issued for services, and $90,149 in depreciation and amortization. Investing activities used $154,415 during the nine months ended September 30, 2011 as a result of website development costs. Financing activities provided $500,000 for the nine months ended September 30, 2011 as a result of $855,460 from the issuance of preferred stock, 644,540 from the issuance of warrants in connection with the preferred stock, offset by $1,000,000 made on the payment of a loan.</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On September 16, 2011, we entered into a Securities Purchase Agreement with Vicis Capital Master Fund, a sub-trust of Vicis Capital Series Master Trust, a unit trust organized and existing under the laws of the Cayman Islands (“Vicis”), and our wholly-owned subsidiary, OptimizeRx Corporation, a Michigan corporation (the “Guarantor”) entered into an Amended and Restated Guarantor Agreement with Vicis for sale of up to 50 shares of our Series B Preferred Stock and warrants to purchase up to 3,333,334 shares of our common stock with an exercise price of $3.00 per share (the “Vicis Warrants”).</w:t>
      </w:r>
    </w:p>
    <w:p>
      <w:pPr>
        <w:spacing w:after="0" w:line="162"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The first closing of the financing, which has occurred, was for the sale of 15 shares of Series B Preferred Stock and a warrant to purchase 1,000,000 shares of our common stock at the above exercise price for $1,500,000. This money was used to pay off a secured promissory note (the “Note”) in the principal amount of $1,000,000 to Physicians Interactive, Inc., a Delaware corporation and the remainder will be used for working capital to our company.</w:t>
      </w:r>
    </w:p>
    <w:p>
      <w:pPr>
        <w:spacing w:after="0" w:line="159"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A subsequent closing may occur at our option commencing on December 1, 2011 for the sale of an additional 15 shares of Series B Preferred Stock and a warrant to purchase an additional 1,000,000 shares of our common stock for $1,500,000. A final subsequent closing may occur at our option commencing on May 1, 2012 for the sale of an additional 20 shares of Series B Preferred Stock and a warrant to purchase an additional 1,333,334 shares of our common stock for $2,000,000.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Each share of Series B Preferred Stock is convertible at the option of the holder into that number of shares of our common stock equal to the Stated Value ($100,000) divided by a per share price of the common stock of $1.50 per share (the “Conversion Price”). A holder may effect a conversion at any time after the earlier of (a) the time that the Securities and Exchange Commission declares effective a registration statement registering the shares of common stock to be sold by the holder that underlie the shares of Series B Preferred Stock held by such holder (the “Conversion Shares’) and (b) the time such Conversion Shares are eligible for resale by the holder pursuant to Rule 144 of the Securities Act of 1933, as amended, (the “Conversion Eligibility Date”).</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We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Vicis Warrants are exercisable for a period of seven years at an exercise price of $3.00 per share. The Vicis Warrants are also exercisable on a cashless basis. In addition, the Vicis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With the above financing and cash on hand, we believe we have sufficient cash to both operate our business and provide for our growth needs for the next twelve months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2011, there were no off balance sheet arrangements.</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September 30, 2011. This evaluation was carried out under the supervision and with the participation of our Chief Executive Officer and Chief Financial Officer, Mr. David Lester. Based upon that evaluation, our Chief Executive Officer and Chief Financial Officer concluded that, as of September 30, 2011, our disclosure controls and procedures are effective. There have been no significant changes in our internal controls over financial reporting during the quarter ended September 30, 2011 that have materially affected or are reasonably likely to materially affect such controls.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Limitations on the Effectiveness of Internal Controls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Aside from the following, we are not a party to any pending legal proceeding, and we are not aware of any pending legal proceeding to which any of our officers, directors, or any beneficial holders of 5% or more of our voting securities are adverse to us or have a material interest adverse to us.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On February 10, 2011, we commenced an action against Beringea, LLC (“Beringea”) with the American Arbitration Association (“AAA”) in Oakland County, Michigan. The action is based on a dispute between our company and Beringea surrounding a capital raising agreement that was entered into on October 15, 2009. We have alleged that Beringea has failed to perform under the agreement, misinformed us about “tail” liability, and is wrongfully withholding funds due to us. We sought $400,000 in damages.</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On September 30, 2011 a final arbitration award (the “Award”) was issued by an AAA arbitrator. According to the Award, we are entitled to recover $202,500 from Beringea on the claim of gross negligence, and $88,000 for the costs of enforcing the agreement, including attorneys’ fees and expenses. All other claims sought in the Demand were denied.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on June 4, 2010.</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Midtown Partners removed the action to the United States District Court for the Eastern District of Michigan. On June 30, 2011, we entered into a settlement agreement with Midtown Partners. Under the settlement agreement, we paid Midtown Partners $57,500 and issued the company 100,000 shares of our common stock. As a result of the settlement, the litigation in the Eastern District of Michigan was dismissed.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During the current reporting period, we issued the following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September 30, 2011, we issued 475,820 shares of common stock to satisfy $500,000 of preferred dividends to Vicis.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Removed and Reserved</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Arial" w:cs="Arial" w:eastAsia="Arial" w:hAnsi="Arial"/>
                <w:sz w:val="17"/>
                <w:szCs w:val="17"/>
                <w:color w:val="auto"/>
              </w:rPr>
              <w:t>Exhibit Number</w:t>
            </w:r>
          </w:p>
        </w:tc>
        <w:tc>
          <w:tcPr>
            <w:tcW w:w="10140" w:type="dxa"/>
            <w:vAlign w:val="bottom"/>
            <w:gridSpan w:val="7"/>
          </w:tcPr>
          <w:p>
            <w:pPr>
              <w:spacing w:after="0"/>
              <w:rPr>
                <w:sz w:val="20"/>
                <w:szCs w:val="20"/>
                <w:color w:val="auto"/>
              </w:rPr>
            </w:pPr>
            <w:r>
              <w:rPr>
                <w:rFonts w:ascii="Arial" w:cs="Arial" w:eastAsia="Arial" w:hAnsi="Arial"/>
                <w:sz w:val="17"/>
                <w:szCs w:val="17"/>
                <w:color w:val="auto"/>
              </w:rPr>
              <w:t>Description of Exhibit</w:t>
            </w:r>
          </w:p>
        </w:tc>
      </w:tr>
      <w:tr>
        <w:trPr>
          <w:trHeight w:val="178"/>
        </w:trPr>
        <w:tc>
          <w:tcPr>
            <w:tcW w:w="1280" w:type="dxa"/>
            <w:vAlign w:val="bottom"/>
          </w:tcPr>
          <w:p>
            <w:pPr>
              <w:spacing w:after="0" w:line="178" w:lineRule="exact"/>
              <w:rPr>
                <w:sz w:val="20"/>
                <w:szCs w:val="20"/>
                <w:color w:val="auto"/>
              </w:rPr>
            </w:pPr>
            <w:r>
              <w:rPr>
                <w:rFonts w:ascii="Arial" w:cs="Arial" w:eastAsia="Arial" w:hAnsi="Arial"/>
                <w:sz w:val="17"/>
                <w:szCs w:val="17"/>
                <w:color w:val="auto"/>
              </w:rPr>
              <w:t>10.1</w:t>
            </w:r>
          </w:p>
        </w:tc>
        <w:tc>
          <w:tcPr>
            <w:tcW w:w="10140" w:type="dxa"/>
            <w:vAlign w:val="bottom"/>
            <w:gridSpan w:val="7"/>
          </w:tcPr>
          <w:p>
            <w:pPr>
              <w:spacing w:after="0" w:line="178" w:lineRule="exact"/>
              <w:rPr>
                <w:sz w:val="20"/>
                <w:szCs w:val="20"/>
                <w:color w:val="auto"/>
              </w:rPr>
            </w:pPr>
            <w:r>
              <w:rPr>
                <w:rFonts w:ascii="Arial" w:cs="Arial" w:eastAsia="Arial" w:hAnsi="Arial"/>
                <w:sz w:val="17"/>
                <w:szCs w:val="17"/>
                <w:color w:val="0000EE"/>
              </w:rPr>
              <w:t>Settlement Agreement, dated June 30, 2011</w:t>
            </w:r>
          </w:p>
        </w:tc>
      </w:tr>
      <w:tr>
        <w:trPr>
          <w:trHeight w:val="20"/>
        </w:trPr>
        <w:tc>
          <w:tcPr>
            <w:tcW w:w="128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84"/>
        </w:trPr>
        <w:tc>
          <w:tcPr>
            <w:tcW w:w="1280" w:type="dxa"/>
            <w:vAlign w:val="bottom"/>
          </w:tcPr>
          <w:p>
            <w:pPr>
              <w:spacing w:after="0" w:line="184" w:lineRule="exact"/>
              <w:rPr>
                <w:sz w:val="20"/>
                <w:szCs w:val="20"/>
                <w:color w:val="auto"/>
              </w:rPr>
            </w:pPr>
            <w:r>
              <w:rPr>
                <w:rFonts w:ascii="Arial" w:cs="Arial" w:eastAsia="Arial" w:hAnsi="Arial"/>
                <w:sz w:val="17"/>
                <w:szCs w:val="17"/>
                <w:color w:val="auto"/>
              </w:rPr>
              <w:t>31.1</w:t>
            </w:r>
          </w:p>
        </w:tc>
        <w:tc>
          <w:tcPr>
            <w:tcW w:w="6600" w:type="dxa"/>
            <w:vAlign w:val="bottom"/>
            <w:tcBorders>
              <w:bottom w:val="single" w:sz="8" w:color="0000EE"/>
            </w:tcBorders>
            <w:gridSpan w:val="5"/>
          </w:tcPr>
          <w:p>
            <w:pPr>
              <w:spacing w:after="0" w:line="184" w:lineRule="exact"/>
              <w:rPr>
                <w:sz w:val="20"/>
                <w:szCs w:val="20"/>
                <w:color w:val="auto"/>
              </w:rPr>
            </w:pPr>
            <w:r>
              <w:rPr>
                <w:rFonts w:ascii="Arial" w:cs="Arial" w:eastAsia="Arial" w:hAnsi="Arial"/>
                <w:sz w:val="17"/>
                <w:szCs w:val="17"/>
                <w:color w:val="0000EE"/>
                <w:w w:val="91"/>
              </w:rPr>
              <w:t>Certification of Chief Executive Officer pursuant to 18 U.S.C. Section 1350, as adopted pursuant</w:t>
            </w:r>
          </w:p>
        </w:tc>
        <w:tc>
          <w:tcPr>
            <w:tcW w:w="3540" w:type="dxa"/>
            <w:vAlign w:val="bottom"/>
            <w:gridSpan w:val="2"/>
          </w:tcPr>
          <w:p>
            <w:pPr>
              <w:spacing w:after="0"/>
              <w:rPr>
                <w:sz w:val="15"/>
                <w:szCs w:val="15"/>
                <w:color w:val="auto"/>
              </w:rPr>
            </w:pPr>
          </w:p>
        </w:tc>
      </w:tr>
      <w:tr>
        <w:trPr>
          <w:trHeight w:val="184"/>
        </w:trPr>
        <w:tc>
          <w:tcPr>
            <w:tcW w:w="1280" w:type="dxa"/>
            <w:vAlign w:val="bottom"/>
          </w:tcPr>
          <w:p>
            <w:pPr>
              <w:spacing w:after="0"/>
              <w:rPr>
                <w:sz w:val="15"/>
                <w:szCs w:val="15"/>
                <w:color w:val="auto"/>
              </w:rPr>
            </w:pPr>
          </w:p>
        </w:tc>
        <w:tc>
          <w:tcPr>
            <w:tcW w:w="3400" w:type="dxa"/>
            <w:vAlign w:val="bottom"/>
            <w:tcBorders>
              <w:bottom w:val="single" w:sz="8" w:color="0000EE"/>
            </w:tcBorders>
            <w:gridSpan w:val="2"/>
          </w:tcPr>
          <w:p>
            <w:pPr>
              <w:spacing w:after="0" w:line="184" w:lineRule="exact"/>
              <w:rPr>
                <w:sz w:val="20"/>
                <w:szCs w:val="20"/>
                <w:color w:val="auto"/>
              </w:rPr>
            </w:pPr>
            <w:r>
              <w:rPr>
                <w:rFonts w:ascii="Arial" w:cs="Arial" w:eastAsia="Arial" w:hAnsi="Arial"/>
                <w:sz w:val="17"/>
                <w:szCs w:val="17"/>
                <w:color w:val="0000EE"/>
                <w:w w:val="90"/>
              </w:rPr>
              <w:t>to Section 302 of the Sarbanes-Oxley Act of 2002</w:t>
            </w:r>
          </w:p>
        </w:tc>
        <w:tc>
          <w:tcPr>
            <w:tcW w:w="6740" w:type="dxa"/>
            <w:vAlign w:val="bottom"/>
            <w:gridSpan w:val="5"/>
          </w:tcPr>
          <w:p>
            <w:pPr>
              <w:spacing w:after="0"/>
              <w:rPr>
                <w:sz w:val="15"/>
                <w:szCs w:val="15"/>
                <w:color w:val="auto"/>
              </w:rPr>
            </w:pPr>
          </w:p>
        </w:tc>
      </w:tr>
      <w:tr>
        <w:trPr>
          <w:trHeight w:val="184"/>
        </w:trPr>
        <w:tc>
          <w:tcPr>
            <w:tcW w:w="1280" w:type="dxa"/>
            <w:vAlign w:val="bottom"/>
          </w:tcPr>
          <w:p>
            <w:pPr>
              <w:spacing w:after="0" w:line="184" w:lineRule="exact"/>
              <w:rPr>
                <w:sz w:val="20"/>
                <w:szCs w:val="20"/>
                <w:color w:val="auto"/>
              </w:rPr>
            </w:pPr>
            <w:r>
              <w:rPr>
                <w:rFonts w:ascii="Arial" w:cs="Arial" w:eastAsia="Arial" w:hAnsi="Arial"/>
                <w:sz w:val="17"/>
                <w:szCs w:val="17"/>
                <w:color w:val="auto"/>
              </w:rPr>
              <w:t>31.2</w:t>
            </w:r>
          </w:p>
        </w:tc>
        <w:tc>
          <w:tcPr>
            <w:tcW w:w="10140" w:type="dxa"/>
            <w:vAlign w:val="bottom"/>
            <w:gridSpan w:val="7"/>
          </w:tcPr>
          <w:p>
            <w:pPr>
              <w:spacing w:after="0" w:line="184" w:lineRule="exact"/>
              <w:rPr>
                <w:sz w:val="20"/>
                <w:szCs w:val="20"/>
                <w:color w:val="auto"/>
              </w:rPr>
            </w:pPr>
            <w:r>
              <w:rPr>
                <w:rFonts w:ascii="Arial" w:cs="Arial" w:eastAsia="Arial" w:hAnsi="Arial"/>
                <w:sz w:val="17"/>
                <w:szCs w:val="17"/>
                <w:color w:val="0000EE"/>
              </w:rPr>
              <w:t>Certification of Chief Financial Officer pursuant to 18 U.S.C. Section 1350, as adopted pursuant</w:t>
            </w:r>
          </w:p>
        </w:tc>
      </w:tr>
      <w:tr>
        <w:trPr>
          <w:trHeight w:val="184"/>
        </w:trPr>
        <w:tc>
          <w:tcPr>
            <w:tcW w:w="128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2"/>
          </w:tcPr>
          <w:p>
            <w:pPr>
              <w:spacing w:after="0" w:line="184" w:lineRule="exact"/>
              <w:rPr>
                <w:sz w:val="20"/>
                <w:szCs w:val="20"/>
                <w:color w:val="auto"/>
              </w:rPr>
            </w:pPr>
            <w:r>
              <w:rPr>
                <w:rFonts w:ascii="Arial" w:cs="Arial" w:eastAsia="Arial" w:hAnsi="Arial"/>
                <w:sz w:val="17"/>
                <w:szCs w:val="17"/>
                <w:color w:val="0000EE"/>
                <w:w w:val="90"/>
              </w:rPr>
              <w:t>to Section 302 of the Sarbanes-Oxley Act of 2002</w:t>
            </w:r>
          </w:p>
        </w:tc>
        <w:tc>
          <w:tcPr>
            <w:tcW w:w="3140" w:type="dxa"/>
            <w:vAlign w:val="bottom"/>
            <w:tcBorders>
              <w:top w:val="single" w:sz="8" w:color="0000EE"/>
            </w:tcBorders>
            <w:gridSpan w:val="2"/>
          </w:tcPr>
          <w:p>
            <w:pPr>
              <w:spacing w:after="0"/>
              <w:rPr>
                <w:sz w:val="15"/>
                <w:szCs w:val="15"/>
                <w:color w:val="auto"/>
              </w:rPr>
            </w:pPr>
          </w:p>
        </w:tc>
        <w:tc>
          <w:tcPr>
            <w:tcW w:w="3600" w:type="dxa"/>
            <w:vAlign w:val="bottom"/>
            <w:gridSpan w:val="3"/>
          </w:tcPr>
          <w:p>
            <w:pPr>
              <w:spacing w:after="0"/>
              <w:rPr>
                <w:sz w:val="15"/>
                <w:szCs w:val="15"/>
                <w:color w:val="auto"/>
              </w:rPr>
            </w:pPr>
          </w:p>
        </w:tc>
      </w:tr>
      <w:tr>
        <w:trPr>
          <w:trHeight w:val="184"/>
        </w:trPr>
        <w:tc>
          <w:tcPr>
            <w:tcW w:w="1280" w:type="dxa"/>
            <w:vAlign w:val="bottom"/>
          </w:tcPr>
          <w:p>
            <w:pPr>
              <w:spacing w:after="0" w:line="184" w:lineRule="exact"/>
              <w:rPr>
                <w:sz w:val="20"/>
                <w:szCs w:val="20"/>
                <w:color w:val="auto"/>
              </w:rPr>
            </w:pPr>
            <w:r>
              <w:rPr>
                <w:rFonts w:ascii="Arial" w:cs="Arial" w:eastAsia="Arial" w:hAnsi="Arial"/>
                <w:sz w:val="17"/>
                <w:szCs w:val="17"/>
                <w:color w:val="auto"/>
              </w:rPr>
              <w:t>32.1</w:t>
            </w:r>
          </w:p>
        </w:tc>
        <w:tc>
          <w:tcPr>
            <w:tcW w:w="10140" w:type="dxa"/>
            <w:vAlign w:val="bottom"/>
            <w:gridSpan w:val="7"/>
          </w:tcPr>
          <w:p>
            <w:pPr>
              <w:spacing w:after="0" w:line="184" w:lineRule="exact"/>
              <w:rPr>
                <w:sz w:val="20"/>
                <w:szCs w:val="20"/>
                <w:color w:val="auto"/>
              </w:rPr>
            </w:pPr>
            <w:r>
              <w:rPr>
                <w:rFonts w:ascii="Arial" w:cs="Arial" w:eastAsia="Arial" w:hAnsi="Arial"/>
                <w:sz w:val="17"/>
                <w:szCs w:val="17"/>
                <w:color w:val="0000EE"/>
              </w:rPr>
              <w:t>Certification of Chief Executive Officer and Chief Financial Officer pursuant to 18 U.S.C. Section</w:t>
            </w:r>
          </w:p>
        </w:tc>
      </w:tr>
      <w:tr>
        <w:trPr>
          <w:trHeight w:val="184"/>
        </w:trPr>
        <w:tc>
          <w:tcPr>
            <w:tcW w:w="1280" w:type="dxa"/>
            <w:vAlign w:val="bottom"/>
          </w:tcPr>
          <w:p>
            <w:pPr>
              <w:spacing w:after="0"/>
              <w:rPr>
                <w:sz w:val="15"/>
                <w:szCs w:val="15"/>
                <w:color w:val="auto"/>
              </w:rPr>
            </w:pPr>
          </w:p>
        </w:tc>
        <w:tc>
          <w:tcPr>
            <w:tcW w:w="6680" w:type="dxa"/>
            <w:vAlign w:val="bottom"/>
            <w:tcBorders>
              <w:top w:val="single" w:sz="8" w:color="0000EE"/>
            </w:tcBorders>
            <w:gridSpan w:val="6"/>
          </w:tcPr>
          <w:p>
            <w:pPr>
              <w:spacing w:after="0" w:line="184" w:lineRule="exact"/>
              <w:rPr>
                <w:sz w:val="20"/>
                <w:szCs w:val="20"/>
                <w:color w:val="auto"/>
              </w:rPr>
            </w:pPr>
            <w:r>
              <w:rPr>
                <w:rFonts w:ascii="Arial" w:cs="Arial" w:eastAsia="Arial" w:hAnsi="Arial"/>
                <w:sz w:val="17"/>
                <w:szCs w:val="17"/>
                <w:color w:val="0000EE"/>
              </w:rPr>
              <w:t>1350, as adopted pursuant to Section 906 of the Sarbanes-Oxley Act of 2002</w:t>
            </w:r>
          </w:p>
        </w:tc>
        <w:tc>
          <w:tcPr>
            <w:tcW w:w="3460" w:type="dxa"/>
            <w:vAlign w:val="bottom"/>
          </w:tcPr>
          <w:p>
            <w:pPr>
              <w:spacing w:after="0"/>
              <w:rPr>
                <w:sz w:val="15"/>
                <w:szCs w:val="15"/>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5220" w:type="dxa"/>
            <w:vAlign w:val="bottom"/>
            <w:tcBorders>
              <w:top w:val="single" w:sz="8" w:color="0000EE"/>
              <w:bottom w:val="single" w:sz="8" w:color="auto"/>
            </w:tcBorders>
            <w:gridSpan w:val="3"/>
          </w:tcPr>
          <w:p>
            <w:pPr>
              <w:ind w:left="4340"/>
              <w:spacing w:after="0"/>
              <w:rPr>
                <w:sz w:val="20"/>
                <w:szCs w:val="20"/>
                <w:color w:val="auto"/>
              </w:rPr>
            </w:pPr>
            <w:r>
              <w:rPr>
                <w:rFonts w:ascii="Arial" w:cs="Arial" w:eastAsia="Arial" w:hAnsi="Arial"/>
                <w:sz w:val="17"/>
                <w:szCs w:val="17"/>
                <w:color w:val="auto"/>
              </w:rPr>
              <w:t>10</w:t>
            </w: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accordance with the requirements of the Securities and Exchange Act of 1934, the Registrant has duly caused this report to be signed on its behalf by the undersigned, thereunto duly authorized.</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OptimizeRx Corporation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23 , 2011</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Lester</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David Lester</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b w:val="1"/>
          <w:bCs w:val="1"/>
          <w:color w:val="auto"/>
        </w:rPr>
        <w:t>Chief Executive Officer, Chief Financial Officer, and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u w:val="single" w:color="auto"/>
          <w:color w:val="auto"/>
        </w:rPr>
        <w:t>SETTLEMENT AGREEMENT AND RELEASE</w:t>
      </w:r>
    </w:p>
    <w:p>
      <w:pPr>
        <w:spacing w:after="0" w:line="24" w:lineRule="exact"/>
        <w:rPr>
          <w:sz w:val="20"/>
          <w:szCs w:val="20"/>
          <w:color w:val="auto"/>
        </w:rPr>
      </w:pPr>
    </w:p>
    <w:p>
      <w:pPr>
        <w:jc w:val="both"/>
        <w:ind w:firstLine="611"/>
        <w:spacing w:after="0" w:line="278" w:lineRule="auto"/>
        <w:rPr>
          <w:sz w:val="20"/>
          <w:szCs w:val="20"/>
          <w:color w:val="auto"/>
        </w:rPr>
      </w:pPr>
      <w:r>
        <w:rPr>
          <w:rFonts w:ascii="Arial" w:cs="Arial" w:eastAsia="Arial" w:hAnsi="Arial"/>
          <w:sz w:val="16"/>
          <w:szCs w:val="16"/>
          <w:color w:val="auto"/>
        </w:rPr>
        <w:t>This Settlement Agreement and Release ("Settlement Agreement") is entered into effective June 30, 2011, by and between OptimizeRx. Corporation, located at 407 Sixth Street, Rochester, Michigan 48307 ("OptimizeRx."), and Midtown P8.1iners &amp; Co., LLC, with offices at 4218 West Linebaugh Avenue, Tampa, Florida 33624 ("Midtown"). OptimizeRx. and Midtown may collectively be referred to herein as the "Parties," or individually as a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16" w:lineRule="exact"/>
        <w:rPr>
          <w:sz w:val="20"/>
          <w:szCs w:val="20"/>
          <w:color w:val="auto"/>
        </w:rPr>
      </w:pPr>
    </w:p>
    <w:p>
      <w:pPr>
        <w:jc w:val="both"/>
        <w:ind w:left="520" w:hanging="202"/>
        <w:spacing w:after="0" w:line="274" w:lineRule="auto"/>
        <w:rPr>
          <w:sz w:val="20"/>
          <w:szCs w:val="20"/>
          <w:color w:val="auto"/>
        </w:rPr>
      </w:pPr>
      <w:r>
        <w:rPr>
          <w:rFonts w:ascii="Arial" w:cs="Arial" w:eastAsia="Arial" w:hAnsi="Arial"/>
          <w:sz w:val="17"/>
          <w:szCs w:val="17"/>
          <w:color w:val="auto"/>
        </w:rPr>
        <w:t>A. This matter pertains to a dispute regarding that certain Placement Agent Agreement entered into on or around June 27, 2008 by and between OptimizeRx and Midtown (the "Placement Agreement") and Midtown's performance under the Agreement (the "Dispute").</w:t>
      </w:r>
    </w:p>
    <w:p>
      <w:pPr>
        <w:spacing w:after="0" w:line="368" w:lineRule="exact"/>
        <w:rPr>
          <w:sz w:val="20"/>
          <w:szCs w:val="20"/>
          <w:color w:val="auto"/>
        </w:rPr>
      </w:pPr>
    </w:p>
    <w:p>
      <w:pPr>
        <w:jc w:val="both"/>
        <w:ind w:left="520" w:hanging="202"/>
        <w:spacing w:after="0" w:line="273" w:lineRule="auto"/>
        <w:rPr>
          <w:sz w:val="20"/>
          <w:szCs w:val="20"/>
          <w:color w:val="auto"/>
        </w:rPr>
      </w:pPr>
      <w:r>
        <w:rPr>
          <w:rFonts w:ascii="Arial" w:cs="Arial" w:eastAsia="Arial" w:hAnsi="Arial"/>
          <w:sz w:val="16"/>
          <w:szCs w:val="16"/>
          <w:color w:val="auto"/>
        </w:rPr>
        <w:t>B. Midtown contends that, upon completion of the investment by Vicis Capital Master Fund on or about June 4, 2010, Midtown became entitled to receive under the Placement Agreement: (a) a Common Stock Purchase Warrant exercisable into 100,000 shares of common stock of OptimizeRx, at a strike price of $1.00, and (b) a Common Stock Purchase Warrant exercisable into 300,000 shares of common stock of OptimizeRx., at a strike price of $3.00 (collectively referred to herein as the "Warrant Shares and the "Warrants"). Pursuant to the tem1S of the Placement Agreement, the Warrants contain cashless exercise features. In exchange for the issuance of the Warrants under the Placement Agreement, and Warrant Shares issuable upon exercise of such Warrants, OptimizeRx· is issuing to Midtown the shares described in paragraph 1.B below.</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 OpimizeRx commenced a lawsuit (the "Lawsuit") against Midtown regarding the· Dispute, which is currently pending before the Honorable Lawrence P.</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Zatkoffin the United States District Court for the Eastern District of Michigan and having Case No. 2:10-cv-13678.</w:t>
      </w:r>
    </w:p>
    <w:p>
      <w:pPr>
        <w:spacing w:after="0" w:line="200" w:lineRule="exact"/>
        <w:rPr>
          <w:sz w:val="20"/>
          <w:szCs w:val="20"/>
          <w:color w:val="auto"/>
        </w:rPr>
      </w:pPr>
    </w:p>
    <w:p>
      <w:pPr>
        <w:spacing w:after="0" w:line="204" w:lineRule="exact"/>
        <w:rPr>
          <w:sz w:val="20"/>
          <w:szCs w:val="20"/>
          <w:color w:val="auto"/>
        </w:rPr>
      </w:pPr>
    </w:p>
    <w:p>
      <w:pPr>
        <w:jc w:val="both"/>
        <w:ind w:left="520" w:hanging="202"/>
        <w:spacing w:after="0" w:line="274" w:lineRule="auto"/>
        <w:rPr>
          <w:sz w:val="20"/>
          <w:szCs w:val="20"/>
          <w:color w:val="auto"/>
        </w:rPr>
      </w:pPr>
      <w:r>
        <w:rPr>
          <w:rFonts w:ascii="Arial" w:cs="Arial" w:eastAsia="Arial" w:hAnsi="Arial"/>
          <w:sz w:val="17"/>
          <w:szCs w:val="17"/>
          <w:color w:val="auto"/>
        </w:rPr>
        <w:t>D. The Parties have reached an amicable resolution of the Dispute and desire to resolve the Dispute, the Lawsuit, and all issues and claims raised or which could have been raised in the Lawsuit, pursuant to the following terms and conditions: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acknowledged, the Parties agree as follows:</w:t>
      </w:r>
    </w:p>
    <w:p>
      <w:pPr>
        <w:spacing w:after="0" w:line="200" w:lineRule="exact"/>
        <w:rPr>
          <w:sz w:val="20"/>
          <w:szCs w:val="20"/>
          <w:color w:val="auto"/>
        </w:rPr>
      </w:pPr>
    </w:p>
    <w:p>
      <w:pPr>
        <w:ind w:left="180" w:hanging="178"/>
        <w:spacing w:after="0"/>
        <w:tabs>
          <w:tab w:leader="none" w:pos="18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consideration of the Settlement Agreement reached between the P8.1ties and the releases granted herein, OptimizeRx agrees to compensate Midtown as follows:</w:t>
      </w:r>
    </w:p>
    <w:p>
      <w:pPr>
        <w:spacing w:after="0" w:line="234" w:lineRule="exact"/>
        <w:rPr>
          <w:rFonts w:ascii="Arial" w:cs="Arial" w:eastAsia="Arial" w:hAnsi="Arial"/>
          <w:sz w:val="15"/>
          <w:szCs w:val="15"/>
          <w:color w:val="auto"/>
        </w:rPr>
      </w:pPr>
    </w:p>
    <w:p>
      <w:pPr>
        <w:ind w:left="5680"/>
        <w:spacing w:after="0"/>
        <w:rPr>
          <w:rFonts w:ascii="Arial" w:cs="Arial" w:eastAsia="Arial" w:hAnsi="Arial"/>
          <w:sz w:val="15"/>
          <w:szCs w:val="15"/>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9" w:name="page30"/>
    <w:bookmarkEnd w:id="29"/>
    <w:p>
      <w:pPr>
        <w:ind w:left="520" w:hanging="202"/>
        <w:spacing w:after="0" w:line="306" w:lineRule="auto"/>
        <w:rPr>
          <w:sz w:val="20"/>
          <w:szCs w:val="20"/>
          <w:color w:val="auto"/>
        </w:rPr>
      </w:pPr>
      <w:r>
        <w:rPr>
          <w:rFonts w:ascii="Arial" w:cs="Arial" w:eastAsia="Arial" w:hAnsi="Arial"/>
          <w:sz w:val="16"/>
          <w:szCs w:val="16"/>
          <w:color w:val="auto"/>
        </w:rPr>
        <w:t>A. OptimizeRx shall cause to be transferred to an amount controlled by Midtown the amount of Fifty Seven Thousand Five Hundred United States Dollars ($57,500 US) ("Settlement Funds"), pursuant to wire transfer instructions provided to OptimizeRx by Midtown on or before June 30, 2011, and</w:t>
      </w:r>
    </w:p>
    <w:p>
      <w:pPr>
        <w:spacing w:after="0" w:line="345" w:lineRule="exact"/>
        <w:rPr>
          <w:sz w:val="20"/>
          <w:szCs w:val="20"/>
          <w:color w:val="auto"/>
        </w:rPr>
      </w:pPr>
    </w:p>
    <w:p>
      <w:pPr>
        <w:ind w:left="520" w:hanging="213"/>
        <w:spacing w:after="0" w:line="342" w:lineRule="auto"/>
        <w:tabs>
          <w:tab w:leader="none" w:pos="5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OptimizeRx shall issue to Midtown via a transfer agent selected by OptimizeRx the amount of One Hundred Thousand (100,000) shares of Restricted Common Stock of OptimizeRx Corporation (the "Shares"), within 10 days of the date of the execution of this Settlement Agreement by the last Party to execute it.</w:t>
      </w:r>
    </w:p>
    <w:p>
      <w:pPr>
        <w:spacing w:after="0" w:line="322" w:lineRule="exact"/>
        <w:rPr>
          <w:rFonts w:ascii="Arial" w:cs="Arial" w:eastAsia="Arial" w:hAnsi="Arial"/>
          <w:sz w:val="15"/>
          <w:szCs w:val="15"/>
          <w:color w:val="auto"/>
        </w:rPr>
      </w:pPr>
    </w:p>
    <w:p>
      <w:pPr>
        <w:jc w:val="both"/>
        <w:ind w:firstLine="2"/>
        <w:spacing w:after="0" w:line="257" w:lineRule="auto"/>
        <w:tabs>
          <w:tab w:leader="none" w:pos="175"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OptimizeRx and Midtown both expressly agree that the Placement Agreement is terminated and is and shall forever be null and void, and that immediately upon the termination of the Placement Agreement as set forth in this paragraph, both OptimizeRx and Midtown release and discharge each other from any and all rights and obligations, real and perceived, arising directly or indirectly from, or in any way related to, the Placement Agreement. Nothing in this Section shall affect Section 3 and 4 below.</w:t>
      </w:r>
    </w:p>
    <w:p>
      <w:pPr>
        <w:spacing w:after="0" w:line="180" w:lineRule="exact"/>
        <w:rPr>
          <w:rFonts w:ascii="Arial" w:cs="Arial" w:eastAsia="Arial" w:hAnsi="Arial"/>
          <w:sz w:val="17"/>
          <w:szCs w:val="17"/>
          <w:color w:val="auto"/>
        </w:rPr>
      </w:pPr>
    </w:p>
    <w:p>
      <w:pPr>
        <w:jc w:val="both"/>
        <w:ind w:firstLine="2"/>
        <w:spacing w:after="0" w:line="254" w:lineRule="auto"/>
        <w:tabs>
          <w:tab w:leader="none" w:pos="182"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Midtown for itself and its members, partners, representatives, successors and assigns, releases and forever discharges OptimizeRx, and its sureties, representatives, parents, related parties, successors, assigns, agents, insurers, attorneys, accountants, affiliates, employees, officers, shareholders, directors, and/or trustees, past and present, from any and all payments, damages, costs, fees, Claims, demands, injuries, actions, causes of action, obligations, penalties and losses, known or unknown, contingent or accrued, now existing or hereafter arising, directly or indirectly, in connection with the Dispute, the Litigation, and any and all issues and claims that were or could have been raised or asserted in the Dispute and/or in the Litigation, under the Placement Agreement or otherwise.</w:t>
      </w:r>
    </w:p>
    <w:p>
      <w:pPr>
        <w:spacing w:after="0" w:line="183" w:lineRule="exact"/>
        <w:rPr>
          <w:rFonts w:ascii="Arial" w:cs="Arial" w:eastAsia="Arial" w:hAnsi="Arial"/>
          <w:sz w:val="17"/>
          <w:szCs w:val="17"/>
          <w:color w:val="auto"/>
        </w:rPr>
      </w:pPr>
    </w:p>
    <w:p>
      <w:pPr>
        <w:jc w:val="both"/>
        <w:ind w:firstLine="2"/>
        <w:spacing w:after="0" w:line="298" w:lineRule="auto"/>
        <w:tabs>
          <w:tab w:leader="none" w:pos="17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Midtown's receipt of the Settlement Funds and Shares, OptimizeRx for itself and its shareholders, representatives, successors and assigns, releases and forever discharges Midtown, and its sureties, representatives, parents, related parties, successors, assigns, agents, insurers, attorneys, accountants, affiliates, employees, officers, members, partners, directors, and/or trustees, past and present, from any and all payments, damages, costs, fees, claims, demands, i!1iuries, actions, causes of action, obligations, penalties and losses, known or unknown, contingent or accrued, now existing or hereafter arising, directly or indirectly, in connection with the Dispute, the Litigation, and any and all issues and claims that were or could have been asserted in the Dispute and/or in the Litigation, under the Placement Agreement or otherwise.</w:t>
      </w:r>
    </w:p>
    <w:p>
      <w:pPr>
        <w:spacing w:after="0" w:line="150" w:lineRule="exact"/>
        <w:rPr>
          <w:rFonts w:ascii="Arial" w:cs="Arial" w:eastAsia="Arial" w:hAnsi="Arial"/>
          <w:sz w:val="15"/>
          <w:szCs w:val="15"/>
          <w:color w:val="auto"/>
        </w:rPr>
      </w:pPr>
    </w:p>
    <w:p>
      <w:pPr>
        <w:ind w:firstLine="2"/>
        <w:spacing w:after="0" w:line="274" w:lineRule="auto"/>
        <w:tabs>
          <w:tab w:leader="none" w:pos="182"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counsel for OptimizeRx will cause to be entered with the United States District Court a stipulated dismissal with prejudice of the Lawsuit in the form attached as Exhibit A 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30" w:name="page31"/>
    <w:bookmarkEnd w:id="30"/>
    <w:p>
      <w:pPr>
        <w:jc w:val="both"/>
        <w:ind w:firstLine="2"/>
        <w:spacing w:after="0" w:line="255" w:lineRule="auto"/>
        <w:tabs>
          <w:tab w:leader="none" w:pos="18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Parties agree that the terms and conditions of this Settlement Agreement are, and shall forever remain, confidential information. The Parties agree that such confidential information shall not hereafter be used or shown, disseminated, copied, or in any way communicated to anyone, for any purpose whatsoever, except those disclosures that are either a reasonable business necessity, or those disclosures ordered by court or required by law. If a Party is required by subpoena or other court order to disclose such confidential information, that Party shall provide 14 days written notice of the court order to the other Party to allow the other Party time in 'which to challenge the court order.</w:t>
      </w:r>
    </w:p>
    <w:p>
      <w:pPr>
        <w:spacing w:after="0" w:line="182" w:lineRule="exact"/>
        <w:rPr>
          <w:rFonts w:ascii="Arial" w:cs="Arial" w:eastAsia="Arial" w:hAnsi="Arial"/>
          <w:sz w:val="17"/>
          <w:szCs w:val="17"/>
          <w:color w:val="auto"/>
        </w:rPr>
      </w:pPr>
    </w:p>
    <w:p>
      <w:pPr>
        <w:ind w:firstLine="2"/>
        <w:spacing w:after="0" w:line="274" w:lineRule="auto"/>
        <w:tabs>
          <w:tab w:leader="none" w:pos="19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Parties acknowledge and agree that no part of the claims released in the Settlement Agreement have been assigned, in whole or in part, to any person, partnership, corporation, firm or other corporate entity.</w:t>
      </w:r>
    </w:p>
    <w:p>
      <w:pPr>
        <w:spacing w:after="0" w:line="164" w:lineRule="exact"/>
        <w:rPr>
          <w:rFonts w:ascii="Arial" w:cs="Arial" w:eastAsia="Arial" w:hAnsi="Arial"/>
          <w:sz w:val="17"/>
          <w:szCs w:val="17"/>
          <w:color w:val="auto"/>
        </w:rPr>
      </w:pPr>
    </w:p>
    <w:p>
      <w:pPr>
        <w:jc w:val="both"/>
        <w:ind w:firstLine="2"/>
        <w:spacing w:after="0" w:line="261"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settlement represented by this Settlement Agreement is a compromise by the Parties of disputed claims and the Parties agree that the payments made, the claims released, and this Settlement Agreement, are not to be construed as, and are not, admissions of liability, fault, negligence, or any other wrongdoing on the part of any Party; any and all liability, fault, negligence or any wrongdoing by any and all Parties is specifically denied.</w:t>
      </w:r>
    </w:p>
    <w:p>
      <w:pPr>
        <w:spacing w:after="0" w:line="176" w:lineRule="exact"/>
        <w:rPr>
          <w:rFonts w:ascii="Arial" w:cs="Arial" w:eastAsia="Arial" w:hAnsi="Arial"/>
          <w:sz w:val="17"/>
          <w:szCs w:val="17"/>
          <w:color w:val="auto"/>
        </w:rPr>
      </w:pPr>
    </w:p>
    <w:p>
      <w:pPr>
        <w:jc w:val="both"/>
        <w:ind w:firstLine="2"/>
        <w:spacing w:after="0" w:line="285" w:lineRule="auto"/>
        <w:tabs>
          <w:tab w:leader="none" w:pos="17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of the terms of this Settlement Agreement are contractual including those terms contained in the "Recitals" section of this Settlement Agreement.' This Settlement Agreement shall be binding upon and shall inure to the benefit of the Parties and their sureties, representatives, related parties, successors, assigns, agents, insurers, attorneys, accountants, affiliates, employees, officers, shareholders, directors, members, partners, and/or trustees, past and present.</w:t>
      </w:r>
    </w:p>
    <w:p>
      <w:pPr>
        <w:spacing w:after="0" w:line="158" w:lineRule="exact"/>
        <w:rPr>
          <w:rFonts w:ascii="Arial" w:cs="Arial" w:eastAsia="Arial" w:hAnsi="Arial"/>
          <w:sz w:val="16"/>
          <w:szCs w:val="16"/>
          <w:color w:val="auto"/>
        </w:rPr>
      </w:pPr>
    </w:p>
    <w:p>
      <w:pPr>
        <w:jc w:val="both"/>
        <w:ind w:firstLine="2"/>
        <w:spacing w:after="0" w:line="272" w:lineRule="auto"/>
        <w:tabs>
          <w:tab w:leader="none" w:pos="25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Parties hereby covenant and agree that each shall not knowingly make, at any time or place, any disparaging remarks, verbally or in writing, concerning any of their respective actions or perceived omissions, regarding any matter or allegation connected with this Settlement Agreement and/or the relationship between tile Parties. The Parties expressly understand and acknowledge that each Party's business and reputation are of special, unique and extraordinary character, which give them a particular value, the loss of which cannot reasonably be compensated in damages in an action at law. Accordingly, the Parties further agree that in addition to any other rights or remedies that any other party may possess at law, any aggrieved Party shall be entitled to injunctive and other equitable relief in order to prevent or remedy a breach of the provisions of this section by any Party hereto. Nothing contained in this Settlement Agreement shall preclude a lawsuit by any Party hereto against another Party for the enforcement of this Agreement and in particular this Section.</w:t>
      </w:r>
    </w:p>
    <w:p>
      <w:pPr>
        <w:spacing w:after="0" w:line="168" w:lineRule="exact"/>
        <w:rPr>
          <w:rFonts w:ascii="Arial" w:cs="Arial" w:eastAsia="Arial" w:hAnsi="Arial"/>
          <w:sz w:val="16"/>
          <w:szCs w:val="16"/>
          <w:color w:val="auto"/>
        </w:rPr>
      </w:pPr>
    </w:p>
    <w:p>
      <w:pPr>
        <w:ind w:left="240" w:hanging="238"/>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Settlement Agreement shall survive the release of any claims.</w:t>
      </w:r>
    </w:p>
    <w:p>
      <w:pPr>
        <w:spacing w:after="0" w:line="211" w:lineRule="exact"/>
        <w:rPr>
          <w:rFonts w:ascii="Arial" w:cs="Arial" w:eastAsia="Arial" w:hAnsi="Arial"/>
          <w:sz w:val="17"/>
          <w:szCs w:val="17"/>
          <w:color w:val="auto"/>
        </w:rPr>
      </w:pPr>
    </w:p>
    <w:p>
      <w:pPr>
        <w:jc w:val="both"/>
        <w:ind w:firstLine="2"/>
        <w:spacing w:after="0" w:line="257" w:lineRule="auto"/>
        <w:tabs>
          <w:tab w:leader="none" w:pos="25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Settlement Agreement represents the entire understanding and agreement between tile Parties with respect to the subject matter hereof and cannot be amended, supplemented, or changed in any respect, except by a written instrument signed by the Party against whom enforcement of any such amendment, supplement, or modification is sought. This Settlement Agreement supersedes all prior negotiations, understandings, agreements, or representations, oral or written, between or among the Parties with respect to the subject matter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31" w:name="page32"/>
    <w:bookmarkEnd w:id="31"/>
    <w:p>
      <w:pPr>
        <w:ind w:firstLine="2"/>
        <w:spacing w:after="0" w:line="274" w:lineRule="auto"/>
        <w:tabs>
          <w:tab w:leader="none" w:pos="2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Settlement Agreement may be executed in one or more counterparts (including by facsimile signatures), each of which fully signed counterpart shall be deemed to be an original for all purposes, and all of which together shall constitute one and the same instrument.</w:t>
      </w:r>
    </w:p>
    <w:p>
      <w:pPr>
        <w:spacing w:after="0" w:line="164" w:lineRule="exact"/>
        <w:rPr>
          <w:rFonts w:ascii="Arial" w:cs="Arial" w:eastAsia="Arial" w:hAnsi="Arial"/>
          <w:sz w:val="17"/>
          <w:szCs w:val="17"/>
          <w:color w:val="auto"/>
        </w:rPr>
      </w:pPr>
    </w:p>
    <w:p>
      <w:pPr>
        <w:jc w:val="both"/>
        <w:ind w:firstLine="2"/>
        <w:spacing w:after="0" w:line="261" w:lineRule="auto"/>
        <w:tabs>
          <w:tab w:leader="none" w:pos="2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terms of this Agreement are severable. If any portion of this Settlement Agreement shall for any reason be held invalid or unenforceable, such invalidity or unenforceability shall not affect any other provision contained in this Settlement Agreement, and instead, this Settlement Agreement shall be construed as if such invalid or unenforceable provision had never been contained therein.</w:t>
      </w:r>
    </w:p>
    <w:p>
      <w:pPr>
        <w:spacing w:after="0" w:line="176" w:lineRule="exact"/>
        <w:rPr>
          <w:rFonts w:ascii="Arial" w:cs="Arial" w:eastAsia="Arial" w:hAnsi="Arial"/>
          <w:sz w:val="17"/>
          <w:szCs w:val="17"/>
          <w:color w:val="auto"/>
        </w:rPr>
      </w:pPr>
    </w:p>
    <w:p>
      <w:pPr>
        <w:ind w:left="260" w:hanging="258"/>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Those signing on behalf of the Parties to this Settlement Agreement each individually warrant that they are duly authorized to sign on behalf of such party.</w:t>
      </w:r>
    </w:p>
    <w:p>
      <w:pPr>
        <w:spacing w:after="0" w:line="223" w:lineRule="exact"/>
        <w:rPr>
          <w:rFonts w:ascii="Arial" w:cs="Arial" w:eastAsia="Arial" w:hAnsi="Arial"/>
          <w:sz w:val="16"/>
          <w:szCs w:val="16"/>
          <w:color w:val="auto"/>
        </w:rPr>
      </w:pPr>
    </w:p>
    <w:p>
      <w:pPr>
        <w:jc w:val="both"/>
        <w:ind w:firstLine="2"/>
        <w:spacing w:after="0" w:line="279" w:lineRule="auto"/>
        <w:tabs>
          <w:tab w:leader="none" w:pos="254"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Party acknowledges that the party had the opportunity to seek the advice of counsel of the Party's choosing in reviewing this Settlement Agreement and each acknowledges that the Party enters into this Settlement Agreement of the Party's own free and voluntary act and will and is under no duress or undue influence. The Parties also agree that the Parties and/or their counsel participated in the negotiation and drafting of this Settlement Agreement. The terms of the Settlement Agreement shall not be construed against a Party solely because of a Party's participation in the drafting of this Settlement Agreement</w:t>
      </w:r>
    </w:p>
    <w:p>
      <w:pPr>
        <w:spacing w:after="0" w:line="162" w:lineRule="exact"/>
        <w:rPr>
          <w:rFonts w:ascii="Arial" w:cs="Arial" w:eastAsia="Arial" w:hAnsi="Arial"/>
          <w:sz w:val="16"/>
          <w:szCs w:val="16"/>
          <w:color w:val="auto"/>
        </w:rPr>
      </w:pPr>
    </w:p>
    <w:p>
      <w:pPr>
        <w:ind w:left="260" w:hanging="258"/>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SECURITIES LAW REPRESENTATIONS</w:t>
      </w:r>
      <w:r>
        <w:rPr>
          <w:rFonts w:ascii="Arial" w:cs="Arial" w:eastAsia="Arial" w:hAnsi="Arial"/>
          <w:sz w:val="17"/>
          <w:szCs w:val="17"/>
          <w:color w:val="auto"/>
        </w:rPr>
        <w:t>. Midtown hereby represents, warrants and agrees to the following:</w:t>
      </w:r>
    </w:p>
    <w:p>
      <w:pPr>
        <w:spacing w:after="0" w:line="212" w:lineRule="exact"/>
        <w:rPr>
          <w:sz w:val="20"/>
          <w:szCs w:val="20"/>
          <w:color w:val="auto"/>
        </w:rPr>
      </w:pPr>
    </w:p>
    <w:p>
      <w:pPr>
        <w:jc w:val="both"/>
        <w:ind w:firstLine="2"/>
        <w:spacing w:after="0" w:line="273"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SHARES TO BE ISSUED PURSUANT TO SECTION 1(B) ABOVE HAVE NOT BEEN REGISTERED UNDER THE SECURITIES ACT OF 1933, AS AMENDED (THE "ACT"), OR THE SECURITIES LAWS OF ANY STATE, AND ARE BEING ISSUED IN RELIANCE ON EXEMPTIONS FROM THE REGISTRATION REQUIREMENTS OF THE ACT AND SUCH LAWS. THE SHARES HAVE NOT BEEN APPROVED OR DISAPPROVED BY THE SECURITIES AND EXCHANGE COMMISSION, OR BY THE SECURITIES REGULATORY AUTHORITY OF ANY STATE, NOR HAVE ANY OF THE FOREGOING AUTHORITIES PASSED UPON OR ENDORSED THE MERITS OF THIS INVESTMENT. ANY REPRESENTATION TO THE CONTRARY IS UNLAWFUL. THE SHARES MAY NOT BE TRANSFERRED, WHOLLY OR IN PART, EXCEPT IN COMPLIANCE WITH APPLICABLE SECURITIES LAWS.</w:t>
      </w:r>
    </w:p>
    <w:p>
      <w:pPr>
        <w:spacing w:after="0" w:line="169" w:lineRule="exact"/>
        <w:rPr>
          <w:rFonts w:ascii="Arial" w:cs="Arial" w:eastAsia="Arial" w:hAnsi="Arial"/>
          <w:sz w:val="16"/>
          <w:szCs w:val="16"/>
          <w:color w:val="auto"/>
        </w:rPr>
      </w:pPr>
    </w:p>
    <w:p>
      <w:pPr>
        <w:jc w:val="both"/>
        <w:ind w:firstLine="2"/>
        <w:spacing w:after="0" w:line="257"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Shares are being issued for Midtown's own account for investment and not with a view for distribution or resale to others. Midtown agrees that it will not sell or otherwise transfer the Shares unless: (i) the Shares represented have been registered under the Act and applicable state securities laws or, in the opinion of counsel acceptable to OptimizeRx, an exemption from registration is available; and (ii) such transfer will riot, in the opinion of counsel acceptable to OptimizeRx, cause OptimizeRx to violate any of the applicable federal and state securities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(c). Midtown is an "Accredited Investor" as deemed in Rule 501 of Regulation D under the Act.</w:t>
      </w:r>
    </w:p>
    <w:p>
      <w:pPr>
        <w:spacing w:after="0" w:line="212" w:lineRule="exact"/>
        <w:rPr>
          <w:sz w:val="20"/>
          <w:szCs w:val="20"/>
          <w:color w:val="auto"/>
        </w:rPr>
      </w:pPr>
    </w:p>
    <w:p>
      <w:pPr>
        <w:ind w:firstLine="2"/>
        <w:spacing w:after="0" w:line="274" w:lineRule="auto"/>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has such knowledge and experience in financial and business matters in general and in particular with respect to this type of investment that Midtown is capable of evaluating the merits and risks of an investment in OptimizeRx.</w:t>
      </w:r>
    </w:p>
    <w:p>
      <w:pPr>
        <w:spacing w:after="0" w:line="164" w:lineRule="exact"/>
        <w:rPr>
          <w:rFonts w:ascii="Arial" w:cs="Arial" w:eastAsia="Arial" w:hAnsi="Arial"/>
          <w:sz w:val="17"/>
          <w:szCs w:val="17"/>
          <w:color w:val="auto"/>
        </w:rPr>
      </w:pPr>
    </w:p>
    <w:p>
      <w:pPr>
        <w:ind w:firstLine="2"/>
        <w:spacing w:after="0" w:line="274" w:lineRule="auto"/>
        <w:tabs>
          <w:tab w:leader="none" w:pos="243"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represents that it has adequate means of providing for its current needs and possible future financial contingencies and that Midtown has no need for liquidity in the Shares.</w:t>
      </w:r>
    </w:p>
    <w:p>
      <w:pPr>
        <w:spacing w:after="0" w:line="164" w:lineRule="exact"/>
        <w:rPr>
          <w:rFonts w:ascii="Arial" w:cs="Arial" w:eastAsia="Arial" w:hAnsi="Arial"/>
          <w:sz w:val="17"/>
          <w:szCs w:val="17"/>
          <w:color w:val="auto"/>
        </w:rPr>
      </w:pPr>
    </w:p>
    <w:p>
      <w:pPr>
        <w:jc w:val="both"/>
        <w:ind w:firstLine="2"/>
        <w:spacing w:after="0" w:line="254" w:lineRule="auto"/>
        <w:tabs>
          <w:tab w:leader="none" w:pos="224"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recognizes, understands and has evaluated all of the disclosures and risk factors related to OptimizeRx and the Shares as disclosed in OptimizeRx's periodic reports filed with the U.S. Securities and Exchange Commission. Midtown is aware that this investment is speculative and involves a high degree of risk and that there is no assurance as to the future performance of OptimizeRx. Midtown has been given an opportunity to ask OptimizeRx questions related to OptimizeRx's financial condition and plans of operations. OPTIMIZERX HAS NOT MADE TO MIDTOWN, NOR IS HEREBY MAKING TO MIDTOWN, ANY REPRESENTATION OR WARRANTY RELATING TO ITS CURRENT OR FUTURE FINANCIAL CONDITION OR TO ANY OF ITS CURRENT OR FUTURE PLANS OF OPERATIONS.</w:t>
      </w:r>
    </w:p>
    <w:p>
      <w:pPr>
        <w:spacing w:after="0" w:line="183" w:lineRule="exact"/>
        <w:rPr>
          <w:rFonts w:ascii="Arial" w:cs="Arial" w:eastAsia="Arial" w:hAnsi="Arial"/>
          <w:sz w:val="17"/>
          <w:szCs w:val="17"/>
          <w:color w:val="auto"/>
        </w:rPr>
      </w:pPr>
    </w:p>
    <w:p>
      <w:pPr>
        <w:ind w:firstLine="2"/>
        <w:spacing w:after="0" w:line="274" w:lineRule="auto"/>
        <w:tabs>
          <w:tab w:leader="none" w:pos="253" w:val="left"/>
        </w:tabs>
        <w:numPr>
          <w:ilvl w:val="0"/>
          <w:numId w:val="8"/>
        </w:numPr>
        <w:rPr>
          <w:rFonts w:ascii="Arial" w:cs="Arial" w:eastAsia="Arial" w:hAnsi="Arial"/>
          <w:sz w:val="17"/>
          <w:szCs w:val="17"/>
          <w:color w:val="auto"/>
        </w:rPr>
      </w:pPr>
      <w:r>
        <w:rPr>
          <w:rFonts w:ascii="Arial" w:cs="Arial" w:eastAsia="Arial" w:hAnsi="Arial"/>
          <w:sz w:val="17"/>
          <w:szCs w:val="17"/>
          <w:color w:val="auto"/>
        </w:rPr>
        <w:t>Midtown hereby acknowledges that it has discussed with its professional, legal, tax and financial advisors the suitability of an investment in OptimizeRx for Midtown's particular tax and financial situation.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signed this Settlement Agreement effective the date first written above.</w:t>
      </w:r>
    </w:p>
    <w:p>
      <w:pPr>
        <w:spacing w:after="0" w:line="212" w:lineRule="exact"/>
        <w:rPr>
          <w:sz w:val="20"/>
          <w:szCs w:val="20"/>
          <w:color w:val="auto"/>
        </w:rPr>
      </w:pPr>
    </w:p>
    <w:p>
      <w:pPr>
        <w:ind w:left="8580"/>
        <w:spacing w:after="0"/>
        <w:rPr>
          <w:sz w:val="20"/>
          <w:szCs w:val="20"/>
          <w:color w:val="auto"/>
        </w:rPr>
      </w:pPr>
      <w:r>
        <w:rPr>
          <w:rFonts w:ascii="Arial" w:cs="Arial" w:eastAsia="Arial" w:hAnsi="Arial"/>
          <w:sz w:val="17"/>
          <w:szCs w:val="17"/>
          <w:color w:val="auto"/>
        </w:rPr>
        <w:t>OPTIMIZERX CORPORATION</w:t>
      </w:r>
    </w:p>
    <w:p>
      <w:pPr>
        <w:spacing w:after="0" w:line="20" w:lineRule="exact"/>
        <w:rPr>
          <w:sz w:val="20"/>
          <w:szCs w:val="20"/>
          <w:color w:val="auto"/>
        </w:rPr>
      </w:pPr>
    </w:p>
    <w:p>
      <w:pPr>
        <w:ind w:left="100"/>
        <w:spacing w:after="0"/>
        <w:tabs>
          <w:tab w:leader="none" w:pos="8080" w:val="left"/>
          <w:tab w:leader="none" w:pos="8560" w:val="left"/>
        </w:tabs>
        <w:rPr>
          <w:sz w:val="20"/>
          <w:szCs w:val="20"/>
          <w:color w:val="auto"/>
        </w:rPr>
      </w:pPr>
      <w:r>
        <w:rPr>
          <w:rFonts w:ascii="Arial" w:cs="Arial" w:eastAsia="Arial" w:hAnsi="Arial"/>
          <w:sz w:val="17"/>
          <w:szCs w:val="17"/>
          <w:color w:val="auto"/>
        </w:rPr>
        <w:t>Date: June 30,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 David Lester</w:t>
      </w:r>
    </w:p>
    <w:p>
      <w:pPr>
        <w:spacing w:after="0" w:line="8" w:lineRule="exact"/>
        <w:rPr>
          <w:sz w:val="20"/>
          <w:szCs w:val="20"/>
          <w:color w:val="auto"/>
        </w:rPr>
      </w:pPr>
    </w:p>
    <w:p>
      <w:pPr>
        <w:ind w:left="8100"/>
        <w:spacing w:after="0"/>
        <w:tabs>
          <w:tab w:leader="none" w:pos="8560" w:val="left"/>
        </w:tabs>
        <w:rPr>
          <w:sz w:val="20"/>
          <w:szCs w:val="20"/>
          <w:color w:val="auto"/>
        </w:rPr>
      </w:pPr>
      <w:r>
        <w:rPr>
          <w:rFonts w:ascii="Arial" w:cs="Arial" w:eastAsia="Arial" w:hAnsi="Arial"/>
          <w:sz w:val="17"/>
          <w:szCs w:val="17"/>
          <w:color w:val="auto"/>
        </w:rPr>
        <w:t>Its:</w:t>
        <w:tab/>
        <w:t>CEO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7"/>
                <w:szCs w:val="17"/>
                <w:color w:val="auto"/>
              </w:rPr>
              <w:t>MIDTOWN PARTNERS &amp; CO., LLC.</w:t>
            </w:r>
          </w:p>
        </w:tc>
      </w:tr>
      <w:tr>
        <w:trPr>
          <w:trHeight w:val="178"/>
        </w:trPr>
        <w:tc>
          <w:tcPr>
            <w:tcW w:w="3560" w:type="dxa"/>
            <w:vAlign w:val="bottom"/>
          </w:tcPr>
          <w:p>
            <w:pPr>
              <w:ind w:left="100"/>
              <w:spacing w:after="0" w:line="178" w:lineRule="exact"/>
              <w:rPr>
                <w:sz w:val="20"/>
                <w:szCs w:val="20"/>
                <w:color w:val="auto"/>
              </w:rPr>
            </w:pPr>
            <w:r>
              <w:rPr>
                <w:rFonts w:ascii="Arial" w:cs="Arial" w:eastAsia="Arial" w:hAnsi="Arial"/>
                <w:sz w:val="17"/>
                <w:szCs w:val="17"/>
                <w:color w:val="auto"/>
              </w:rPr>
              <w:t>Date: June 30, 2011</w:t>
            </w:r>
          </w:p>
        </w:tc>
        <w:tc>
          <w:tcPr>
            <w:tcW w:w="5020" w:type="dxa"/>
            <w:vAlign w:val="bottom"/>
          </w:tcPr>
          <w:p>
            <w:pPr>
              <w:ind w:left="4540"/>
              <w:spacing w:after="0" w:line="178" w:lineRule="exact"/>
              <w:rPr>
                <w:sz w:val="20"/>
                <w:szCs w:val="20"/>
                <w:color w:val="auto"/>
              </w:rPr>
            </w:pPr>
            <w:r>
              <w:rPr>
                <w:rFonts w:ascii="Arial" w:cs="Arial" w:eastAsia="Arial" w:hAnsi="Arial"/>
                <w:sz w:val="17"/>
                <w:szCs w:val="17"/>
                <w:color w:val="auto"/>
              </w:rPr>
              <w:t>By:</w:t>
            </w:r>
          </w:p>
        </w:tc>
        <w:tc>
          <w:tcPr>
            <w:tcW w:w="1220" w:type="dxa"/>
            <w:vAlign w:val="bottom"/>
            <w:tcBorders>
              <w:bottom w:val="single" w:sz="8" w:color="auto"/>
            </w:tcBorders>
          </w:tcPr>
          <w:p>
            <w:pPr>
              <w:spacing w:after="0" w:line="178" w:lineRule="exact"/>
              <w:rPr>
                <w:sz w:val="20"/>
                <w:szCs w:val="20"/>
                <w:color w:val="auto"/>
              </w:rPr>
            </w:pPr>
            <w:r>
              <w:rPr>
                <w:rFonts w:ascii="Arial" w:cs="Arial" w:eastAsia="Arial" w:hAnsi="Arial"/>
                <w:sz w:val="17"/>
                <w:szCs w:val="17"/>
                <w:color w:val="auto"/>
                <w:w w:val="88"/>
              </w:rPr>
              <w:t>/s/ John R. Clarke</w:t>
            </w:r>
          </w:p>
        </w:tc>
        <w:tc>
          <w:tcPr>
            <w:tcW w:w="1620" w:type="dxa"/>
            <w:vAlign w:val="bottom"/>
          </w:tcPr>
          <w:p>
            <w:pPr>
              <w:spacing w:after="0"/>
              <w:rPr>
                <w:sz w:val="15"/>
                <w:szCs w:val="15"/>
                <w:color w:val="auto"/>
              </w:rPr>
            </w:pPr>
          </w:p>
        </w:tc>
      </w:tr>
      <w:tr>
        <w:trPr>
          <w:trHeight w:val="221"/>
        </w:trPr>
        <w:tc>
          <w:tcPr>
            <w:tcW w:w="3560" w:type="dxa"/>
            <w:vAlign w:val="bottom"/>
          </w:tcPr>
          <w:p>
            <w:pPr>
              <w:spacing w:after="0"/>
              <w:rPr>
                <w:sz w:val="19"/>
                <w:szCs w:val="19"/>
                <w:color w:val="auto"/>
              </w:rPr>
            </w:pPr>
          </w:p>
        </w:tc>
        <w:tc>
          <w:tcPr>
            <w:tcW w:w="5020" w:type="dxa"/>
            <w:vAlign w:val="bottom"/>
          </w:tcPr>
          <w:p>
            <w:pPr>
              <w:ind w:left="4540"/>
              <w:spacing w:after="0"/>
              <w:rPr>
                <w:sz w:val="20"/>
                <w:szCs w:val="20"/>
                <w:color w:val="auto"/>
              </w:rPr>
            </w:pPr>
            <w:r>
              <w:rPr>
                <w:rFonts w:ascii="Arial" w:cs="Arial" w:eastAsia="Arial" w:hAnsi="Arial"/>
                <w:sz w:val="17"/>
                <w:szCs w:val="17"/>
                <w:color w:val="auto"/>
              </w:rPr>
              <w:t>Its:</w:t>
            </w:r>
          </w:p>
        </w:tc>
        <w:tc>
          <w:tcPr>
            <w:tcW w:w="2840" w:type="dxa"/>
            <w:vAlign w:val="bottom"/>
            <w:gridSpan w:val="2"/>
          </w:tcPr>
          <w:p>
            <w:pPr>
              <w:spacing w:after="0"/>
              <w:rPr>
                <w:sz w:val="20"/>
                <w:szCs w:val="20"/>
                <w:color w:val="auto"/>
              </w:rPr>
            </w:pPr>
            <w:r>
              <w:rPr>
                <w:rFonts w:ascii="Arial" w:cs="Arial" w:eastAsia="Arial" w:hAnsi="Arial"/>
                <w:sz w:val="17"/>
                <w:szCs w:val="17"/>
                <w:color w:val="auto"/>
              </w:rPr>
              <w:t>John R. Clarke/CEO</w:t>
            </w:r>
          </w:p>
        </w:tc>
      </w:tr>
      <w:tr>
        <w:trPr>
          <w:trHeight w:val="611"/>
        </w:trPr>
        <w:tc>
          <w:tcPr>
            <w:tcW w:w="35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2735"/>
              <w:spacing w:after="0"/>
              <w:rPr>
                <w:sz w:val="20"/>
                <w:szCs w:val="20"/>
                <w:color w:val="auto"/>
              </w:rPr>
            </w:pPr>
            <w:r>
              <w:rPr>
                <w:rFonts w:ascii="Arial" w:cs="Arial" w:eastAsia="Arial" w:hAnsi="Arial"/>
                <w:sz w:val="17"/>
                <w:szCs w:val="17"/>
                <w:color w:val="auto"/>
              </w:rPr>
              <w:t>5</w:t>
            </w:r>
          </w:p>
        </w:tc>
        <w:tc>
          <w:tcPr>
            <w:tcW w:w="1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6" w:right="23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7"/>
          <w:szCs w:val="17"/>
          <w:b w:val="1"/>
          <w:bCs w:val="1"/>
          <w:u w:val="single" w:color="auto"/>
          <w:color w:val="auto"/>
        </w:rPr>
        <w:t>EXHIBIT A</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UNITED STATES DISTRICT COURT</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 THE EASTERN DISTRICT OF MICHIGAN SOUTHERN DIVISION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ind w:left="100"/>
              <w:spacing w:after="0"/>
              <w:rPr>
                <w:sz w:val="20"/>
                <w:szCs w:val="20"/>
                <w:color w:val="auto"/>
              </w:rPr>
            </w:pPr>
            <w:r>
              <w:rPr>
                <w:rFonts w:ascii="Arial" w:cs="Arial" w:eastAsia="Arial" w:hAnsi="Arial"/>
                <w:sz w:val="17"/>
                <w:szCs w:val="17"/>
                <w:color w:val="auto"/>
              </w:rPr>
              <w:t>OPTIMIZERX CORPORATION,</w:t>
            </w:r>
          </w:p>
        </w:tc>
        <w:tc>
          <w:tcPr>
            <w:tcW w:w="6680" w:type="dxa"/>
            <w:vAlign w:val="bottom"/>
            <w:vMerge w:val="restart"/>
          </w:tcPr>
          <w:p>
            <w:pPr>
              <w:ind w:left="1060"/>
              <w:spacing w:after="0"/>
              <w:rPr>
                <w:sz w:val="20"/>
                <w:szCs w:val="20"/>
                <w:color w:val="auto"/>
              </w:rPr>
            </w:pPr>
            <w:r>
              <w:rPr>
                <w:rFonts w:ascii="Arial" w:cs="Arial" w:eastAsia="Arial" w:hAnsi="Arial"/>
                <w:sz w:val="17"/>
                <w:szCs w:val="17"/>
                <w:color w:val="auto"/>
              </w:rPr>
              <w:t>Case No. 2:10-cv-13678</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6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00"/>
              <w:spacing w:after="0"/>
              <w:rPr>
                <w:sz w:val="20"/>
                <w:szCs w:val="20"/>
                <w:color w:val="auto"/>
              </w:rPr>
            </w:pPr>
            <w:r>
              <w:rPr>
                <w:rFonts w:ascii="Arial" w:cs="Arial" w:eastAsia="Arial" w:hAnsi="Arial"/>
                <w:sz w:val="17"/>
                <w:szCs w:val="17"/>
                <w:color w:val="auto"/>
              </w:rPr>
              <w:t>Plaintiff,</w:t>
            </w:r>
          </w:p>
        </w:tc>
        <w:tc>
          <w:tcPr>
            <w:tcW w:w="6680" w:type="dxa"/>
            <w:vAlign w:val="bottom"/>
          </w:tcPr>
          <w:p>
            <w:pPr>
              <w:ind w:left="1060"/>
              <w:spacing w:after="0"/>
              <w:rPr>
                <w:sz w:val="20"/>
                <w:szCs w:val="20"/>
                <w:color w:val="auto"/>
              </w:rPr>
            </w:pPr>
            <w:r>
              <w:rPr>
                <w:rFonts w:ascii="Arial" w:cs="Arial" w:eastAsia="Arial" w:hAnsi="Arial"/>
                <w:sz w:val="17"/>
                <w:szCs w:val="17"/>
                <w:color w:val="auto"/>
              </w:rPr>
              <w:t>Hon. Lawrence P. Zatkoff</w:t>
            </w: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v.</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MIDTOWN PARTNERS &amp; CO., LLC,</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Defendant.</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4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4740" w:type="dxa"/>
            <w:vAlign w:val="bottom"/>
          </w:tcPr>
          <w:p>
            <w:pPr>
              <w:ind w:left="100"/>
              <w:spacing w:after="0"/>
              <w:rPr>
                <w:sz w:val="20"/>
                <w:szCs w:val="20"/>
                <w:color w:val="auto"/>
              </w:rPr>
            </w:pPr>
            <w:r>
              <w:rPr>
                <w:rFonts w:ascii="Arial" w:cs="Arial" w:eastAsia="Arial" w:hAnsi="Arial"/>
                <w:sz w:val="17"/>
                <w:szCs w:val="17"/>
                <w:color w:val="auto"/>
              </w:rPr>
              <w:t>HOWARD &amp; HOWARD ATTORNEYS PLLC</w:t>
            </w:r>
          </w:p>
        </w:tc>
        <w:tc>
          <w:tcPr>
            <w:tcW w:w="6680" w:type="dxa"/>
            <w:vAlign w:val="bottom"/>
          </w:tcPr>
          <w:p>
            <w:pPr>
              <w:ind w:left="1060"/>
              <w:spacing w:after="0"/>
              <w:rPr>
                <w:sz w:val="20"/>
                <w:szCs w:val="20"/>
                <w:color w:val="auto"/>
              </w:rPr>
            </w:pPr>
            <w:r>
              <w:rPr>
                <w:rFonts w:ascii="Arial" w:cs="Arial" w:eastAsia="Arial" w:hAnsi="Arial"/>
                <w:sz w:val="17"/>
                <w:szCs w:val="17"/>
                <w:color w:val="auto"/>
              </w:rPr>
              <w:t>BUTZEL LONG, P.C.</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By: Stephen P. Dunn (P6871l)</w:t>
            </w:r>
          </w:p>
        </w:tc>
        <w:tc>
          <w:tcPr>
            <w:tcW w:w="6680" w:type="dxa"/>
            <w:vAlign w:val="bottom"/>
          </w:tcPr>
          <w:p>
            <w:pPr>
              <w:ind w:left="1060"/>
              <w:spacing w:after="0"/>
              <w:rPr>
                <w:sz w:val="20"/>
                <w:szCs w:val="20"/>
                <w:color w:val="auto"/>
              </w:rPr>
            </w:pPr>
            <w:r>
              <w:rPr>
                <w:rFonts w:ascii="Arial" w:cs="Arial" w:eastAsia="Arial" w:hAnsi="Arial"/>
                <w:sz w:val="17"/>
                <w:szCs w:val="17"/>
                <w:color w:val="auto"/>
              </w:rPr>
              <w:t>By: George B. Donnini (P66793)</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Stephanie N. Olsen (P67072) 450 West Fourth Street</w:t>
            </w:r>
          </w:p>
        </w:tc>
        <w:tc>
          <w:tcPr>
            <w:tcW w:w="6680" w:type="dxa"/>
            <w:vAlign w:val="bottom"/>
          </w:tcPr>
          <w:p>
            <w:pPr>
              <w:ind w:left="1060"/>
              <w:spacing w:after="0"/>
              <w:rPr>
                <w:sz w:val="20"/>
                <w:szCs w:val="20"/>
                <w:color w:val="auto"/>
              </w:rPr>
            </w:pPr>
            <w:r>
              <w:rPr>
                <w:rFonts w:ascii="Arial" w:cs="Arial" w:eastAsia="Arial" w:hAnsi="Arial"/>
                <w:sz w:val="17"/>
                <w:szCs w:val="17"/>
                <w:color w:val="auto"/>
              </w:rPr>
              <w:t>Danielle J. Hessell (P68667)</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Royal Oak, MI 48067</w:t>
            </w:r>
          </w:p>
        </w:tc>
        <w:tc>
          <w:tcPr>
            <w:tcW w:w="6680" w:type="dxa"/>
            <w:vAlign w:val="bottom"/>
          </w:tcPr>
          <w:p>
            <w:pPr>
              <w:ind w:left="1060"/>
              <w:spacing w:after="0"/>
              <w:rPr>
                <w:sz w:val="20"/>
                <w:szCs w:val="20"/>
                <w:color w:val="auto"/>
              </w:rPr>
            </w:pPr>
            <w:r>
              <w:rPr>
                <w:rFonts w:ascii="Arial" w:cs="Arial" w:eastAsia="Arial" w:hAnsi="Arial"/>
                <w:sz w:val="17"/>
                <w:szCs w:val="17"/>
                <w:color w:val="auto"/>
              </w:rPr>
              <w:t>150 West Jefferson Avenue, Suite 100</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(248) 723-0424</w:t>
            </w:r>
          </w:p>
        </w:tc>
        <w:tc>
          <w:tcPr>
            <w:tcW w:w="6680" w:type="dxa"/>
            <w:vAlign w:val="bottom"/>
          </w:tcPr>
          <w:p>
            <w:pPr>
              <w:ind w:left="1060"/>
              <w:spacing w:after="0"/>
              <w:rPr>
                <w:sz w:val="20"/>
                <w:szCs w:val="20"/>
                <w:color w:val="auto"/>
              </w:rPr>
            </w:pPr>
            <w:r>
              <w:rPr>
                <w:rFonts w:ascii="Arial" w:cs="Arial" w:eastAsia="Arial" w:hAnsi="Arial"/>
                <w:sz w:val="17"/>
                <w:szCs w:val="17"/>
                <w:color w:val="auto"/>
              </w:rPr>
              <w:t>Detroit, Michigan 48226</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sdunn@howardandhoward.com</w:t>
            </w:r>
          </w:p>
        </w:tc>
        <w:tc>
          <w:tcPr>
            <w:tcW w:w="6680" w:type="dxa"/>
            <w:vAlign w:val="bottom"/>
          </w:tcPr>
          <w:p>
            <w:pPr>
              <w:ind w:left="1060"/>
              <w:spacing w:after="0"/>
              <w:rPr>
                <w:sz w:val="20"/>
                <w:szCs w:val="20"/>
                <w:color w:val="auto"/>
              </w:rPr>
            </w:pPr>
            <w:r>
              <w:rPr>
                <w:rFonts w:ascii="Arial" w:cs="Arial" w:eastAsia="Arial" w:hAnsi="Arial"/>
                <w:sz w:val="17"/>
                <w:szCs w:val="17"/>
                <w:color w:val="auto"/>
              </w:rPr>
              <w:t>(313) 225-7042</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i w:val="1"/>
                <w:iCs w:val="1"/>
                <w:color w:val="auto"/>
              </w:rPr>
              <w:t>Attorneys for OptimizeRx</w:t>
            </w:r>
          </w:p>
        </w:tc>
        <w:tc>
          <w:tcPr>
            <w:tcW w:w="6680" w:type="dxa"/>
            <w:vAlign w:val="bottom"/>
          </w:tcPr>
          <w:p>
            <w:pPr>
              <w:ind w:left="1060"/>
              <w:spacing w:after="0"/>
              <w:rPr>
                <w:sz w:val="20"/>
                <w:szCs w:val="20"/>
                <w:color w:val="auto"/>
              </w:rPr>
            </w:pPr>
            <w:r>
              <w:rPr>
                <w:rFonts w:ascii="Arial" w:cs="Arial" w:eastAsia="Arial" w:hAnsi="Arial"/>
                <w:sz w:val="17"/>
                <w:szCs w:val="17"/>
                <w:color w:val="auto"/>
              </w:rPr>
              <w:t>donmni@butzel.com</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6680" w:type="dxa"/>
            <w:vAlign w:val="bottom"/>
          </w:tcPr>
          <w:p>
            <w:pPr>
              <w:ind w:left="1060"/>
              <w:spacing w:after="0"/>
              <w:rPr>
                <w:sz w:val="20"/>
                <w:szCs w:val="20"/>
                <w:color w:val="auto"/>
              </w:rPr>
            </w:pPr>
            <w:r>
              <w:rPr>
                <w:rFonts w:ascii="Arial" w:cs="Arial" w:eastAsia="Arial" w:hAnsi="Arial"/>
                <w:sz w:val="17"/>
                <w:szCs w:val="17"/>
                <w:i w:val="1"/>
                <w:iCs w:val="1"/>
                <w:color w:val="auto"/>
              </w:rPr>
              <w:t>Attorneys for Midtown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2542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STIPULATED ORDER OF DISMISSAL WITH PREJUDICE</w:t>
      </w:r>
    </w:p>
    <w:p>
      <w:pPr>
        <w:spacing w:after="0" w:line="216" w:lineRule="exact"/>
        <w:rPr>
          <w:sz w:val="20"/>
          <w:szCs w:val="20"/>
          <w:color w:val="auto"/>
        </w:rPr>
      </w:pPr>
    </w:p>
    <w:p>
      <w:pPr>
        <w:jc w:val="both"/>
        <w:ind w:right="100" w:firstLine="611"/>
        <w:spacing w:after="0" w:line="274" w:lineRule="auto"/>
        <w:rPr>
          <w:sz w:val="20"/>
          <w:szCs w:val="20"/>
          <w:color w:val="auto"/>
        </w:rPr>
      </w:pPr>
      <w:r>
        <w:rPr>
          <w:rFonts w:ascii="Arial" w:cs="Arial" w:eastAsia="Arial" w:hAnsi="Arial"/>
          <w:sz w:val="17"/>
          <w:szCs w:val="17"/>
          <w:color w:val="auto"/>
        </w:rPr>
        <w:t>Upon stipulation of Plaintiff and Defendant, all claims raised or which could have been raised in the Complaint and any potential counterclaims, are dismissed with prejudice, and without costs to either party.</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 IS SO ORDERED.</w:t>
      </w:r>
    </w:p>
    <w:p>
      <w:pPr>
        <w:spacing w:after="0" w:line="20"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__________________________</w:t>
      </w:r>
    </w:p>
    <w:p>
      <w:pPr>
        <w:spacing w:after="0" w:line="31"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Lawrence P. Zatkoff,</w:t>
      </w:r>
    </w:p>
    <w:p>
      <w:pPr>
        <w:spacing w:after="0" w:line="8"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United States District Judge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20"/>
                <w:szCs w:val="20"/>
                <w:color w:val="auto"/>
              </w:rPr>
            </w:pPr>
            <w:r>
              <w:rPr>
                <w:rFonts w:ascii="Arial" w:cs="Arial" w:eastAsia="Arial" w:hAnsi="Arial"/>
                <w:sz w:val="17"/>
                <w:szCs w:val="17"/>
                <w:color w:val="auto"/>
              </w:rPr>
              <w:t>STIPULATED AS TO FORM AND CONTENT:</w:t>
            </w:r>
          </w:p>
        </w:tc>
        <w:tc>
          <w:tcPr>
            <w:tcW w:w="34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408"/>
        </w:trPr>
        <w:tc>
          <w:tcPr>
            <w:tcW w:w="412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184"/>
        </w:trPr>
        <w:tc>
          <w:tcPr>
            <w:tcW w:w="4120" w:type="dxa"/>
            <w:vAlign w:val="bottom"/>
          </w:tcPr>
          <w:p>
            <w:pPr>
              <w:ind w:left="100"/>
              <w:spacing w:after="0" w:line="184" w:lineRule="exact"/>
              <w:rPr>
                <w:sz w:val="20"/>
                <w:szCs w:val="20"/>
                <w:color w:val="auto"/>
              </w:rPr>
            </w:pPr>
            <w:r>
              <w:rPr>
                <w:rFonts w:ascii="Arial" w:cs="Arial" w:eastAsia="Arial" w:hAnsi="Arial"/>
                <w:sz w:val="17"/>
                <w:szCs w:val="17"/>
                <w:color w:val="auto"/>
              </w:rPr>
              <w:t>Stephen P. Dunn (P68711)</w:t>
            </w:r>
          </w:p>
        </w:tc>
        <w:tc>
          <w:tcPr>
            <w:tcW w:w="3420" w:type="dxa"/>
            <w:vAlign w:val="bottom"/>
          </w:tcPr>
          <w:p>
            <w:pPr>
              <w:spacing w:after="0"/>
              <w:rPr>
                <w:sz w:val="15"/>
                <w:szCs w:val="15"/>
                <w:color w:val="auto"/>
              </w:rPr>
            </w:pPr>
          </w:p>
        </w:tc>
        <w:tc>
          <w:tcPr>
            <w:tcW w:w="3880" w:type="dxa"/>
            <w:vAlign w:val="bottom"/>
          </w:tcPr>
          <w:p>
            <w:pPr>
              <w:ind w:left="100"/>
              <w:spacing w:after="0" w:line="184" w:lineRule="exact"/>
              <w:rPr>
                <w:sz w:val="20"/>
                <w:szCs w:val="20"/>
                <w:color w:val="auto"/>
              </w:rPr>
            </w:pPr>
            <w:r>
              <w:rPr>
                <w:rFonts w:ascii="Arial" w:cs="Arial" w:eastAsia="Arial" w:hAnsi="Arial"/>
                <w:sz w:val="17"/>
                <w:szCs w:val="17"/>
                <w:color w:val="auto"/>
              </w:rPr>
              <w:t>George B. Donnini (P66793)</w:t>
            </w:r>
          </w:p>
        </w:tc>
      </w:tr>
      <w:tr>
        <w:trPr>
          <w:trHeight w:val="215"/>
        </w:trPr>
        <w:tc>
          <w:tcPr>
            <w:tcW w:w="4120" w:type="dxa"/>
            <w:vAlign w:val="bottom"/>
          </w:tcPr>
          <w:p>
            <w:pPr>
              <w:ind w:left="100"/>
              <w:spacing w:after="0"/>
              <w:rPr>
                <w:sz w:val="20"/>
                <w:szCs w:val="20"/>
                <w:color w:val="auto"/>
              </w:rPr>
            </w:pPr>
            <w:r>
              <w:rPr>
                <w:rFonts w:ascii="Arial" w:cs="Arial" w:eastAsia="Arial" w:hAnsi="Arial"/>
                <w:sz w:val="17"/>
                <w:szCs w:val="17"/>
                <w:color w:val="auto"/>
              </w:rPr>
              <w:t>Attorney for OptimizeRx</w:t>
            </w:r>
          </w:p>
        </w:tc>
        <w:tc>
          <w:tcPr>
            <w:tcW w:w="34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7"/>
                <w:szCs w:val="17"/>
                <w:color w:val="auto"/>
              </w:rPr>
              <w:t>Attorney for Midtown</w:t>
            </w:r>
          </w:p>
        </w:tc>
      </w:tr>
      <w:tr>
        <w:trPr>
          <w:trHeight w:val="611"/>
        </w:trPr>
        <w:tc>
          <w:tcPr>
            <w:tcW w:w="4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1695"/>
              <w:spacing w:after="0"/>
              <w:rPr>
                <w:sz w:val="20"/>
                <w:szCs w:val="20"/>
                <w:color w:val="auto"/>
              </w:rPr>
            </w:pPr>
            <w:r>
              <w:rPr>
                <w:rFonts w:ascii="Arial" w:cs="Arial" w:eastAsia="Arial" w:hAnsi="Arial"/>
                <w:sz w:val="17"/>
                <w:szCs w:val="17"/>
                <w:color w:val="auto"/>
              </w:rPr>
              <w:t>6</w:t>
            </w: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520"/>
          </w:cols>
          <w:pgMar w:left="240" w:top="632" w:right="139"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12" w:lineRule="exact"/>
        <w:rPr>
          <w:sz w:val="20"/>
          <w:szCs w:val="20"/>
          <w:color w:val="auto"/>
        </w:rPr>
      </w:pPr>
    </w:p>
    <w:p>
      <w:pPr>
        <w:ind w:left="340" w:hanging="338"/>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amended quarterly report on Form 10-Q /A for the quarter ended September 30, 2011 of OPTIMIZERx Corp (the “registrant”);</w:t>
      </w:r>
    </w:p>
    <w:p>
      <w:pPr>
        <w:spacing w:after="0" w:line="211" w:lineRule="exact"/>
        <w:rPr>
          <w:rFonts w:ascii="Arial" w:cs="Arial" w:eastAsia="Arial" w:hAnsi="Arial"/>
          <w:sz w:val="17"/>
          <w:szCs w:val="17"/>
          <w:color w:val="auto"/>
        </w:rPr>
      </w:pPr>
    </w:p>
    <w:p>
      <w:pPr>
        <w:ind w:left="340" w:hanging="338"/>
        <w:spacing w:after="0" w:line="30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340" w:right="540" w:hanging="338"/>
        <w:spacing w:after="0" w:line="27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40" w:right="340" w:hanging="338"/>
        <w:spacing w:after="0" w:line="26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940" w:right="80" w:hanging="458"/>
        <w:spacing w:after="0" w:line="261"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940" w:right="180" w:hanging="467"/>
        <w:spacing w:after="0" w:line="261"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940" w:right="220" w:hanging="458"/>
        <w:spacing w:after="0" w:line="274"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940" w:right="300" w:hanging="467"/>
        <w:spacing w:after="0" w:line="261"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40" w:right="300" w:hanging="338"/>
        <w:spacing w:after="0" w:line="27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160" w:hanging="458"/>
        <w:spacing w:after="0" w:line="274"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380" w:hanging="467"/>
        <w:spacing w:after="0" w:line="274" w:lineRule="auto"/>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23 , 2011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Lester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David Lester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12" w:lineRule="exact"/>
        <w:rPr>
          <w:sz w:val="20"/>
          <w:szCs w:val="20"/>
          <w:color w:val="auto"/>
        </w:rPr>
      </w:pPr>
    </w:p>
    <w:p>
      <w:pPr>
        <w:ind w:left="340" w:hanging="338"/>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amended quarterly report on Form 10-Q /A for the quarter ended September 30, 2011 of OPTIMIZERx Corp (the “registrant”);</w:t>
      </w:r>
    </w:p>
    <w:p>
      <w:pPr>
        <w:spacing w:after="0" w:line="211" w:lineRule="exact"/>
        <w:rPr>
          <w:rFonts w:ascii="Arial" w:cs="Arial" w:eastAsia="Arial" w:hAnsi="Arial"/>
          <w:sz w:val="17"/>
          <w:szCs w:val="17"/>
          <w:color w:val="auto"/>
        </w:rPr>
      </w:pPr>
    </w:p>
    <w:p>
      <w:pPr>
        <w:ind w:left="340" w:hanging="338"/>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340" w:right="540" w:hanging="338"/>
        <w:spacing w:after="0" w:line="274"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40" w:right="340" w:hanging="338"/>
        <w:spacing w:after="0" w:line="26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940" w:right="80" w:hanging="458"/>
        <w:spacing w:after="0" w:line="261"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940" w:right="180" w:hanging="467"/>
        <w:spacing w:after="0" w:line="261"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940" w:right="220" w:hanging="458"/>
        <w:spacing w:after="0" w:line="274"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940" w:right="300" w:hanging="467"/>
        <w:spacing w:after="0" w:line="261"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40" w:right="300" w:hanging="338"/>
        <w:spacing w:after="0" w:line="274"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160" w:hanging="458"/>
        <w:spacing w:after="0" w:line="274"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380" w:hanging="467"/>
        <w:spacing w:after="0" w:line="274" w:lineRule="auto"/>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23 , 2011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Lester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David Lester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CERTIFICATION OF CHIEF EXECUTIVE OFFICER AND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connection with the amended quarterly Report of OPTIMIZERx Corp (the “Company”) on Form 10-Q /A for the quarter ended September 30, 2011 filed with the Securities and Exchange Commission (the “Report”), I, David Lester,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520" w:hanging="518"/>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11" w:lineRule="exact"/>
        <w:rPr>
          <w:rFonts w:ascii="Arial" w:cs="Arial" w:eastAsia="Arial" w:hAnsi="Arial"/>
          <w:sz w:val="17"/>
          <w:szCs w:val="17"/>
          <w:color w:val="auto"/>
        </w:rPr>
      </w:pPr>
    </w:p>
    <w:p>
      <w:pPr>
        <w:ind w:left="460" w:hanging="458"/>
        <w:spacing w:after="0" w:line="274" w:lineRule="auto"/>
        <w:tabs>
          <w:tab w:leader="none" w:pos="57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ectPr>
          <w:pgSz w:w="11900" w:h="16838" w:orient="portrait"/>
          <w:cols w:equalWidth="0" w:num="1">
            <w:col w:w="11420"/>
          </w:cols>
          <w:pgMar w:left="240" w:top="123" w:right="239" w:bottom="1440" w:gutter="0" w:footer="0" w:header="0"/>
        </w:sectPr>
      </w:pPr>
    </w:p>
    <w:p>
      <w:pPr>
        <w:spacing w:after="0" w:line="35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1404620</wp:posOffset>
            </wp:positionV>
            <wp:extent cx="72542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3240" w:type="dxa"/>
            <w:vAlign w:val="bottom"/>
            <w:gridSpan w:val="2"/>
          </w:tcPr>
          <w:p>
            <w:pPr>
              <w:spacing w:after="0"/>
              <w:rPr>
                <w:sz w:val="20"/>
                <w:szCs w:val="20"/>
                <w:color w:val="auto"/>
              </w:rPr>
            </w:pPr>
            <w:r>
              <w:rPr>
                <w:rFonts w:ascii="Arial" w:cs="Arial" w:eastAsia="Arial" w:hAnsi="Arial"/>
                <w:sz w:val="17"/>
                <w:szCs w:val="17"/>
                <w:color w:val="auto"/>
              </w:rPr>
              <w:t>/s/David Lester</w:t>
            </w:r>
          </w:p>
        </w:tc>
      </w:tr>
      <w:tr>
        <w:trPr>
          <w:trHeight w:val="209"/>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1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Lester</w:t>
            </w:r>
          </w:p>
        </w:tc>
        <w:tc>
          <w:tcPr>
            <w:tcW w:w="2200" w:type="dxa"/>
            <w:vAlign w:val="bottom"/>
          </w:tcPr>
          <w:p>
            <w:pPr>
              <w:spacing w:after="0"/>
              <w:rPr>
                <w:sz w:val="18"/>
                <w:szCs w:val="18"/>
                <w:color w:val="auto"/>
              </w:rPr>
            </w:pPr>
          </w:p>
        </w:tc>
      </w:tr>
      <w:tr>
        <w:trPr>
          <w:trHeight w:val="204"/>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3240" w:type="dxa"/>
            <w:vAlign w:val="bottom"/>
            <w:gridSpan w:val="2"/>
          </w:tcPr>
          <w:p>
            <w:pPr>
              <w:spacing w:after="0"/>
              <w:rPr>
                <w:sz w:val="20"/>
                <w:szCs w:val="20"/>
                <w:color w:val="auto"/>
              </w:rPr>
            </w:pPr>
            <w:r>
              <w:rPr>
                <w:rFonts w:ascii="Arial" w:cs="Arial" w:eastAsia="Arial" w:hAnsi="Arial"/>
                <w:sz w:val="17"/>
                <w:szCs w:val="17"/>
                <w:color w:val="auto"/>
                <w:w w:val="93"/>
              </w:rPr>
              <w:t>Principal Executive Officer, Principal Financial</w:t>
            </w:r>
          </w:p>
        </w:tc>
      </w:tr>
      <w:tr>
        <w:trPr>
          <w:trHeight w:val="204"/>
        </w:trPr>
        <w:tc>
          <w:tcPr>
            <w:tcW w:w="8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Officer and Director</w:t>
            </w:r>
          </w:p>
        </w:tc>
      </w:tr>
      <w:tr>
        <w:trPr>
          <w:trHeight w:val="215"/>
        </w:trPr>
        <w:tc>
          <w:tcPr>
            <w:tcW w:w="82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gridSpan w:val="2"/>
          </w:tcPr>
          <w:p>
            <w:pPr>
              <w:spacing w:after="0"/>
              <w:rPr>
                <w:sz w:val="20"/>
                <w:szCs w:val="20"/>
                <w:color w:val="auto"/>
              </w:rPr>
            </w:pPr>
            <w:r>
              <w:rPr>
                <w:rFonts w:ascii="Arial" w:cs="Arial" w:eastAsia="Arial" w:hAnsi="Arial"/>
                <w:sz w:val="17"/>
                <w:szCs w:val="17"/>
                <w:color w:val="auto"/>
              </w:rPr>
              <w:t>November 23 , 2011</w:t>
            </w:r>
          </w:p>
        </w:tc>
      </w:tr>
    </w:tbl>
    <w:p>
      <w:pPr>
        <w:sectPr>
          <w:pgSz w:w="11900" w:h="16838" w:orient="portrait"/>
          <w:cols w:equalWidth="0" w:num="2">
            <w:col w:w="6600" w:space="260"/>
            <w:col w:w="4560"/>
          </w:cols>
          <w:pgMar w:left="240" w:top="123" w:right="239" w:bottom="1440" w:gutter="0" w:footer="0" w:header="0"/>
          <w:type w:val="continuous"/>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upperLetter"/>
      <w:start w:val="2"/>
    </w:lvl>
  </w:abstractNum>
  <w:abstractNum w:abstractNumId="3">
    <w:nsid w:val="79E2A9E3"/>
    <w:multiLevelType w:val="hybridMultilevel"/>
    <w:lvl w:ilvl="0">
      <w:lvlJc w:val="left"/>
      <w:lvlText w:val="%1."/>
      <w:numFmt w:val="decimal"/>
      <w:start w:val="2"/>
    </w:lvl>
    <w:lvl w:ilvl="1">
      <w:lvlJc w:val="left"/>
      <w:lvlText w:val="%2"/>
      <w:numFmt w:val="upperLetter"/>
      <w:start w:val="1"/>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1."/>
      <w:numFmt w:val="decimal"/>
      <w:start w:val="1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2019-12-11T08:46:08Z</dcterms:created>
  <dcterms:modified xsi:type="dcterms:W3CDTF">2019-12-11T08:46:08Z</dcterms:modified>
</cp:coreProperties>
</file>