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SECURITIES AND EXCHANGE COMMISSION</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142875</wp:posOffset>
            </wp:positionV>
            <wp:extent cx="178308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00" w:lineRule="exact"/>
        <w:rPr>
          <w:sz w:val="24"/>
          <w:szCs w:val="24"/>
          <w:color w:val="auto"/>
        </w:rPr>
      </w:pPr>
    </w:p>
    <w:p>
      <w:pPr>
        <w:spacing w:after="0" w:line="243"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30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300" w:type="dxa"/>
            <w:vAlign w:val="bottom"/>
            <w:gridSpan w:val="6"/>
          </w:tcPr>
          <w:p>
            <w:pPr>
              <w:jc w:val="center"/>
              <w:ind w:right="1500"/>
              <w:spacing w:after="0"/>
              <w:rPr>
                <w:sz w:val="20"/>
                <w:szCs w:val="20"/>
                <w:color w:val="auto"/>
              </w:rPr>
            </w:pPr>
            <w:r>
              <w:rPr>
                <w:rFonts w:ascii="Arial" w:cs="Arial" w:eastAsia="Arial" w:hAnsi="Arial"/>
                <w:sz w:val="18"/>
                <w:szCs w:val="18"/>
                <w:b w:val="1"/>
                <w:bCs w:val="1"/>
                <w:color w:val="auto"/>
              </w:rPr>
              <w:t>FORM 8-K</w:t>
            </w:r>
          </w:p>
        </w:tc>
        <w:tc>
          <w:tcPr>
            <w:tcW w:w="3220" w:type="dxa"/>
            <w:vAlign w:val="bottom"/>
          </w:tcPr>
          <w:p>
            <w:pPr>
              <w:spacing w:after="0"/>
              <w:rPr>
                <w:sz w:val="20"/>
                <w:szCs w:val="20"/>
                <w:color w:val="auto"/>
              </w:rPr>
            </w:pPr>
          </w:p>
        </w:tc>
      </w:tr>
      <w:tr>
        <w:trPr>
          <w:trHeight w:val="414"/>
        </w:trPr>
        <w:tc>
          <w:tcPr>
            <w:tcW w:w="30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300" w:type="dxa"/>
            <w:vAlign w:val="bottom"/>
            <w:gridSpan w:val="6"/>
          </w:tcPr>
          <w:p>
            <w:pPr>
              <w:jc w:val="center"/>
              <w:ind w:right="1500"/>
              <w:spacing w:after="0"/>
              <w:rPr>
                <w:sz w:val="20"/>
                <w:szCs w:val="20"/>
                <w:color w:val="auto"/>
              </w:rPr>
            </w:pPr>
            <w:r>
              <w:rPr>
                <w:rFonts w:ascii="Arial" w:cs="Arial" w:eastAsia="Arial" w:hAnsi="Arial"/>
                <w:sz w:val="18"/>
                <w:szCs w:val="18"/>
                <w:b w:val="1"/>
                <w:bCs w:val="1"/>
                <w:color w:val="auto"/>
                <w:w w:val="99"/>
              </w:rPr>
              <w:t>CURRENT REPORT</w:t>
            </w:r>
          </w:p>
        </w:tc>
        <w:tc>
          <w:tcPr>
            <w:tcW w:w="3220" w:type="dxa"/>
            <w:vAlign w:val="bottom"/>
          </w:tcPr>
          <w:p>
            <w:pPr>
              <w:spacing w:after="0"/>
              <w:rPr>
                <w:sz w:val="24"/>
                <w:szCs w:val="24"/>
                <w:color w:val="auto"/>
              </w:rPr>
            </w:pPr>
          </w:p>
        </w:tc>
      </w:tr>
      <w:tr>
        <w:trPr>
          <w:trHeight w:val="216"/>
        </w:trPr>
        <w:tc>
          <w:tcPr>
            <w:tcW w:w="30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180" w:type="dxa"/>
            <w:vAlign w:val="bottom"/>
            <w:gridSpan w:val="7"/>
          </w:tcPr>
          <w:p>
            <w:pPr>
              <w:jc w:val="center"/>
              <w:ind w:right="620"/>
              <w:spacing w:after="0"/>
              <w:rPr>
                <w:sz w:val="20"/>
                <w:szCs w:val="20"/>
                <w:color w:val="auto"/>
              </w:rPr>
            </w:pPr>
            <w:r>
              <w:rPr>
                <w:rFonts w:ascii="Arial" w:cs="Arial" w:eastAsia="Arial" w:hAnsi="Arial"/>
                <w:sz w:val="18"/>
                <w:szCs w:val="18"/>
                <w:b w:val="1"/>
                <w:bCs w:val="1"/>
                <w:color w:val="auto"/>
                <w:w w:val="97"/>
              </w:rPr>
              <w:t>PURSUANT TO SECTION 13 OR 15(d) OF</w:t>
            </w:r>
          </w:p>
        </w:tc>
        <w:tc>
          <w:tcPr>
            <w:tcW w:w="3220" w:type="dxa"/>
            <w:vAlign w:val="bottom"/>
          </w:tcPr>
          <w:p>
            <w:pPr>
              <w:spacing w:after="0"/>
              <w:rPr>
                <w:sz w:val="18"/>
                <w:szCs w:val="18"/>
                <w:color w:val="auto"/>
              </w:rPr>
            </w:pPr>
          </w:p>
        </w:tc>
      </w:tr>
      <w:tr>
        <w:trPr>
          <w:trHeight w:val="234"/>
        </w:trPr>
        <w:tc>
          <w:tcPr>
            <w:tcW w:w="30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300" w:type="dxa"/>
            <w:vAlign w:val="bottom"/>
            <w:gridSpan w:val="8"/>
          </w:tcPr>
          <w:p>
            <w:pPr>
              <w:jc w:val="center"/>
              <w:ind w:right="500"/>
              <w:spacing w:after="0"/>
              <w:rPr>
                <w:sz w:val="20"/>
                <w:szCs w:val="20"/>
                <w:color w:val="auto"/>
              </w:rPr>
            </w:pPr>
            <w:r>
              <w:rPr>
                <w:rFonts w:ascii="Arial" w:cs="Arial" w:eastAsia="Arial" w:hAnsi="Arial"/>
                <w:sz w:val="18"/>
                <w:szCs w:val="18"/>
                <w:b w:val="1"/>
                <w:bCs w:val="1"/>
                <w:color w:val="auto"/>
                <w:w w:val="99"/>
              </w:rPr>
              <w:t>THE SECURITIES EXCHANGE ACT OF 1934</w:t>
            </w:r>
          </w:p>
        </w:tc>
        <w:tc>
          <w:tcPr>
            <w:tcW w:w="3220" w:type="dxa"/>
            <w:vAlign w:val="bottom"/>
          </w:tcPr>
          <w:p>
            <w:pPr>
              <w:spacing w:after="0"/>
              <w:rPr>
                <w:sz w:val="20"/>
                <w:szCs w:val="20"/>
                <w:color w:val="auto"/>
              </w:rPr>
            </w:pPr>
          </w:p>
        </w:tc>
      </w:tr>
      <w:tr>
        <w:trPr>
          <w:trHeight w:val="432"/>
        </w:trPr>
        <w:tc>
          <w:tcPr>
            <w:tcW w:w="3040" w:type="dxa"/>
            <w:vAlign w:val="bottom"/>
          </w:tcPr>
          <w:p>
            <w:pPr>
              <w:spacing w:after="0"/>
              <w:rPr>
                <w:sz w:val="24"/>
                <w:szCs w:val="24"/>
                <w:color w:val="auto"/>
              </w:rPr>
            </w:pPr>
          </w:p>
        </w:tc>
        <w:tc>
          <w:tcPr>
            <w:tcW w:w="4980" w:type="dxa"/>
            <w:vAlign w:val="bottom"/>
            <w:gridSpan w:val="9"/>
          </w:tcPr>
          <w:p>
            <w:pPr>
              <w:jc w:val="center"/>
              <w:ind w:left="90"/>
              <w:spacing w:after="0"/>
              <w:rPr>
                <w:sz w:val="20"/>
                <w:szCs w:val="20"/>
                <w:color w:val="auto"/>
              </w:rPr>
            </w:pPr>
            <w:r>
              <w:rPr>
                <w:rFonts w:ascii="Arial" w:cs="Arial" w:eastAsia="Arial" w:hAnsi="Arial"/>
                <w:sz w:val="18"/>
                <w:szCs w:val="18"/>
                <w:color w:val="auto"/>
                <w:w w:val="90"/>
              </w:rPr>
              <w:t>Date of Report (Date of earliest event reported): March 18, 2020</w:t>
            </w:r>
          </w:p>
        </w:tc>
        <w:tc>
          <w:tcPr>
            <w:tcW w:w="3220" w:type="dxa"/>
            <w:vAlign w:val="bottom"/>
          </w:tcPr>
          <w:p>
            <w:pPr>
              <w:spacing w:after="0"/>
              <w:rPr>
                <w:sz w:val="24"/>
                <w:szCs w:val="24"/>
                <w:color w:val="auto"/>
              </w:rPr>
            </w:pPr>
          </w:p>
        </w:tc>
      </w:tr>
      <w:tr>
        <w:trPr>
          <w:trHeight w:val="391"/>
        </w:trPr>
        <w:tc>
          <w:tcPr>
            <w:tcW w:w="30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300" w:type="dxa"/>
            <w:vAlign w:val="bottom"/>
            <w:gridSpan w:val="6"/>
          </w:tcPr>
          <w:p>
            <w:pPr>
              <w:jc w:val="center"/>
              <w:ind w:right="1500"/>
              <w:spacing w:after="0"/>
              <w:rPr>
                <w:sz w:val="20"/>
                <w:szCs w:val="20"/>
                <w:color w:val="auto"/>
              </w:rPr>
            </w:pPr>
            <w:r>
              <w:rPr>
                <w:rFonts w:ascii="Arial" w:cs="Arial" w:eastAsia="Arial" w:hAnsi="Arial"/>
                <w:sz w:val="18"/>
                <w:szCs w:val="18"/>
                <w:color w:val="auto"/>
                <w:w w:val="93"/>
              </w:rPr>
              <w:t>OptimizeRx Corporation</w:t>
            </w:r>
          </w:p>
        </w:tc>
        <w:tc>
          <w:tcPr>
            <w:tcW w:w="3220" w:type="dxa"/>
            <w:vAlign w:val="bottom"/>
          </w:tcPr>
          <w:p>
            <w:pPr>
              <w:spacing w:after="0"/>
              <w:rPr>
                <w:sz w:val="24"/>
                <w:szCs w:val="24"/>
                <w:color w:val="auto"/>
              </w:rPr>
            </w:pPr>
          </w:p>
        </w:tc>
      </w:tr>
      <w:tr>
        <w:trPr>
          <w:trHeight w:val="20"/>
        </w:trPr>
        <w:tc>
          <w:tcPr>
            <w:tcW w:w="30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1800" w:type="dxa"/>
            <w:vAlign w:val="bottom"/>
            <w:gridSpan w:val="3"/>
            <w:shd w:val="clear" w:color="auto" w:fill="000000"/>
          </w:tcPr>
          <w:p>
            <w:pPr>
              <w:spacing w:after="0" w:line="20" w:lineRule="exact"/>
              <w:rPr>
                <w:sz w:val="1"/>
                <w:szCs w:val="1"/>
                <w:color w:val="auto"/>
              </w:rPr>
            </w:pPr>
          </w:p>
        </w:tc>
        <w:tc>
          <w:tcPr>
            <w:tcW w:w="1500" w:type="dxa"/>
            <w:vAlign w:val="bottom"/>
            <w:gridSpan w:val="3"/>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r>
      <w:tr>
        <w:trPr>
          <w:trHeight w:val="237"/>
        </w:trPr>
        <w:tc>
          <w:tcPr>
            <w:tcW w:w="30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300" w:type="dxa"/>
            <w:vAlign w:val="bottom"/>
            <w:gridSpan w:val="8"/>
          </w:tcPr>
          <w:p>
            <w:pPr>
              <w:jc w:val="center"/>
              <w:ind w:right="500"/>
              <w:spacing w:after="0"/>
              <w:rPr>
                <w:sz w:val="20"/>
                <w:szCs w:val="20"/>
                <w:color w:val="auto"/>
              </w:rPr>
            </w:pPr>
            <w:r>
              <w:rPr>
                <w:rFonts w:ascii="Arial" w:cs="Arial" w:eastAsia="Arial" w:hAnsi="Arial"/>
                <w:sz w:val="18"/>
                <w:szCs w:val="18"/>
                <w:color w:val="auto"/>
                <w:w w:val="90"/>
              </w:rPr>
              <w:t>(Exact name of registrant as specified in its charter)</w:t>
            </w:r>
          </w:p>
        </w:tc>
        <w:tc>
          <w:tcPr>
            <w:tcW w:w="3220" w:type="dxa"/>
            <w:vAlign w:val="bottom"/>
          </w:tcPr>
          <w:p>
            <w:pPr>
              <w:spacing w:after="0"/>
              <w:rPr>
                <w:sz w:val="20"/>
                <w:szCs w:val="20"/>
                <w:color w:val="auto"/>
              </w:rPr>
            </w:pPr>
          </w:p>
        </w:tc>
      </w:tr>
      <w:tr>
        <w:trPr>
          <w:trHeight w:val="453"/>
        </w:trPr>
        <w:tc>
          <w:tcPr>
            <w:tcW w:w="3040" w:type="dxa"/>
            <w:vAlign w:val="bottom"/>
          </w:tcPr>
          <w:p>
            <w:pPr>
              <w:jc w:val="center"/>
              <w:ind w:left="590"/>
              <w:spacing w:after="0"/>
              <w:rPr>
                <w:sz w:val="20"/>
                <w:szCs w:val="20"/>
                <w:color w:val="auto"/>
              </w:rPr>
            </w:pPr>
            <w:r>
              <w:rPr>
                <w:rFonts w:ascii="Arial" w:cs="Arial" w:eastAsia="Arial" w:hAnsi="Arial"/>
                <w:sz w:val="18"/>
                <w:szCs w:val="18"/>
                <w:color w:val="auto"/>
                <w:w w:val="90"/>
              </w:rPr>
              <w:t>Nevada</w:t>
            </w:r>
          </w:p>
        </w:tc>
        <w:tc>
          <w:tcPr>
            <w:tcW w:w="3480" w:type="dxa"/>
            <w:vAlign w:val="bottom"/>
            <w:gridSpan w:val="6"/>
          </w:tcPr>
          <w:p>
            <w:pPr>
              <w:jc w:val="right"/>
              <w:ind w:right="440"/>
              <w:spacing w:after="0"/>
              <w:rPr>
                <w:sz w:val="20"/>
                <w:szCs w:val="20"/>
                <w:color w:val="auto"/>
              </w:rPr>
            </w:pPr>
            <w:r>
              <w:rPr>
                <w:rFonts w:ascii="Arial" w:cs="Arial" w:eastAsia="Arial" w:hAnsi="Arial"/>
                <w:sz w:val="18"/>
                <w:szCs w:val="18"/>
                <w:color w:val="auto"/>
              </w:rPr>
              <w:t>001-38543</w:t>
            </w: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220" w:type="dxa"/>
            <w:vAlign w:val="bottom"/>
          </w:tcPr>
          <w:p>
            <w:pPr>
              <w:jc w:val="center"/>
              <w:ind w:right="290"/>
              <w:spacing w:after="0"/>
              <w:rPr>
                <w:sz w:val="20"/>
                <w:szCs w:val="20"/>
                <w:color w:val="auto"/>
              </w:rPr>
            </w:pPr>
            <w:r>
              <w:rPr>
                <w:rFonts w:ascii="Arial" w:cs="Arial" w:eastAsia="Arial" w:hAnsi="Arial"/>
                <w:sz w:val="18"/>
                <w:szCs w:val="18"/>
                <w:color w:val="auto"/>
                <w:w w:val="91"/>
              </w:rPr>
              <w:t>26-1265381</w:t>
            </w:r>
          </w:p>
        </w:tc>
      </w:tr>
      <w:tr>
        <w:trPr>
          <w:trHeight w:val="202"/>
        </w:trPr>
        <w:tc>
          <w:tcPr>
            <w:tcW w:w="3040" w:type="dxa"/>
            <w:vAlign w:val="bottom"/>
            <w:tcBorders>
              <w:top w:val="single" w:sz="8" w:color="auto"/>
            </w:tcBorders>
          </w:tcPr>
          <w:p>
            <w:pPr>
              <w:jc w:val="center"/>
              <w:ind w:left="550"/>
              <w:spacing w:after="0" w:line="201" w:lineRule="exact"/>
              <w:rPr>
                <w:sz w:val="20"/>
                <w:szCs w:val="20"/>
                <w:color w:val="auto"/>
              </w:rPr>
            </w:pPr>
            <w:r>
              <w:rPr>
                <w:rFonts w:ascii="Arial" w:cs="Arial" w:eastAsia="Arial" w:hAnsi="Arial"/>
                <w:sz w:val="18"/>
                <w:szCs w:val="18"/>
                <w:color w:val="auto"/>
                <w:w w:val="91"/>
              </w:rPr>
              <w:t>(State or other jurisdiction</w:t>
            </w:r>
          </w:p>
        </w:tc>
        <w:tc>
          <w:tcPr>
            <w:tcW w:w="6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3700" w:type="dxa"/>
            <w:vAlign w:val="bottom"/>
            <w:tcBorders>
              <w:top w:val="single" w:sz="8" w:color="auto"/>
            </w:tcBorders>
            <w:gridSpan w:val="5"/>
          </w:tcPr>
          <w:p>
            <w:pPr>
              <w:jc w:val="center"/>
              <w:spacing w:after="0" w:line="201" w:lineRule="exact"/>
              <w:rPr>
                <w:sz w:val="20"/>
                <w:szCs w:val="20"/>
                <w:color w:val="auto"/>
              </w:rPr>
            </w:pPr>
            <w:r>
              <w:rPr>
                <w:rFonts w:ascii="Arial" w:cs="Arial" w:eastAsia="Arial" w:hAnsi="Arial"/>
                <w:sz w:val="18"/>
                <w:szCs w:val="18"/>
                <w:color w:val="auto"/>
                <w:w w:val="92"/>
              </w:rPr>
              <w:t>(Commission File Number)</w:t>
            </w:r>
          </w:p>
        </w:tc>
        <w:tc>
          <w:tcPr>
            <w:tcW w:w="100" w:type="dxa"/>
            <w:vAlign w:val="bottom"/>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3220" w:type="dxa"/>
            <w:vAlign w:val="bottom"/>
            <w:tcBorders>
              <w:top w:val="single" w:sz="8" w:color="auto"/>
            </w:tcBorders>
          </w:tcPr>
          <w:p>
            <w:pPr>
              <w:jc w:val="center"/>
              <w:ind w:right="290"/>
              <w:spacing w:after="0" w:line="201" w:lineRule="exact"/>
              <w:rPr>
                <w:sz w:val="20"/>
                <w:szCs w:val="20"/>
                <w:color w:val="auto"/>
              </w:rPr>
            </w:pPr>
            <w:r>
              <w:rPr>
                <w:rFonts w:ascii="Arial" w:cs="Arial" w:eastAsia="Arial" w:hAnsi="Arial"/>
                <w:sz w:val="18"/>
                <w:szCs w:val="18"/>
                <w:color w:val="auto"/>
                <w:w w:val="93"/>
              </w:rPr>
              <w:t>(I.R.S. Employer</w:t>
            </w:r>
          </w:p>
        </w:tc>
      </w:tr>
      <w:tr>
        <w:trPr>
          <w:trHeight w:val="230"/>
        </w:trPr>
        <w:tc>
          <w:tcPr>
            <w:tcW w:w="3040" w:type="dxa"/>
            <w:vAlign w:val="bottom"/>
          </w:tcPr>
          <w:p>
            <w:pPr>
              <w:jc w:val="center"/>
              <w:ind w:left="610"/>
              <w:spacing w:after="0"/>
              <w:rPr>
                <w:sz w:val="20"/>
                <w:szCs w:val="20"/>
                <w:color w:val="auto"/>
              </w:rPr>
            </w:pPr>
            <w:r>
              <w:rPr>
                <w:rFonts w:ascii="Arial" w:cs="Arial" w:eastAsia="Arial" w:hAnsi="Arial"/>
                <w:sz w:val="18"/>
                <w:szCs w:val="18"/>
                <w:color w:val="auto"/>
                <w:w w:val="93"/>
              </w:rPr>
              <w:t>of incorporation)</w:t>
            </w: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220" w:type="dxa"/>
            <w:vAlign w:val="bottom"/>
          </w:tcPr>
          <w:p>
            <w:pPr>
              <w:jc w:val="center"/>
              <w:ind w:right="270"/>
              <w:spacing w:after="0"/>
              <w:rPr>
                <w:sz w:val="20"/>
                <w:szCs w:val="20"/>
                <w:color w:val="auto"/>
              </w:rPr>
            </w:pPr>
            <w:r>
              <w:rPr>
                <w:rFonts w:ascii="Arial" w:cs="Arial" w:eastAsia="Arial" w:hAnsi="Arial"/>
                <w:sz w:val="18"/>
                <w:szCs w:val="18"/>
                <w:color w:val="auto"/>
                <w:w w:val="95"/>
              </w:rPr>
              <w:t>Identification No.)</w:t>
            </w:r>
          </w:p>
        </w:tc>
      </w:tr>
      <w:tr>
        <w:trPr>
          <w:trHeight w:val="453"/>
        </w:trPr>
        <w:tc>
          <w:tcPr>
            <w:tcW w:w="8020" w:type="dxa"/>
            <w:vAlign w:val="bottom"/>
            <w:gridSpan w:val="10"/>
          </w:tcPr>
          <w:p>
            <w:pPr>
              <w:jc w:val="center"/>
              <w:ind w:right="2400"/>
              <w:spacing w:after="0"/>
              <w:rPr>
                <w:sz w:val="20"/>
                <w:szCs w:val="20"/>
                <w:color w:val="auto"/>
              </w:rPr>
            </w:pPr>
            <w:r>
              <w:rPr>
                <w:rFonts w:ascii="Arial" w:cs="Arial" w:eastAsia="Arial" w:hAnsi="Arial"/>
                <w:sz w:val="18"/>
                <w:szCs w:val="18"/>
                <w:color w:val="auto"/>
                <w:w w:val="90"/>
              </w:rPr>
              <w:t>400 Water Street, Suite 200, Rochester, MI</w:t>
            </w:r>
          </w:p>
        </w:tc>
        <w:tc>
          <w:tcPr>
            <w:tcW w:w="3220" w:type="dxa"/>
            <w:vAlign w:val="bottom"/>
          </w:tcPr>
          <w:p>
            <w:pPr>
              <w:jc w:val="right"/>
              <w:ind w:right="2430"/>
              <w:spacing w:after="0"/>
              <w:rPr>
                <w:sz w:val="20"/>
                <w:szCs w:val="20"/>
                <w:color w:val="auto"/>
              </w:rPr>
            </w:pPr>
            <w:r>
              <w:rPr>
                <w:rFonts w:ascii="Arial" w:cs="Arial" w:eastAsia="Arial" w:hAnsi="Arial"/>
                <w:sz w:val="18"/>
                <w:szCs w:val="18"/>
                <w:color w:val="auto"/>
              </w:rPr>
              <w:t>48307</w:t>
            </w:r>
          </w:p>
        </w:tc>
      </w:tr>
      <w:tr>
        <w:trPr>
          <w:trHeight w:val="230"/>
        </w:trPr>
        <w:tc>
          <w:tcPr>
            <w:tcW w:w="5520" w:type="dxa"/>
            <w:vAlign w:val="bottom"/>
            <w:tcBorders>
              <w:top w:val="single" w:sz="8" w:color="auto"/>
            </w:tcBorders>
            <w:gridSpan w:val="5"/>
          </w:tcPr>
          <w:p>
            <w:pPr>
              <w:jc w:val="center"/>
              <w:ind w:left="10"/>
              <w:spacing w:after="0"/>
              <w:rPr>
                <w:sz w:val="20"/>
                <w:szCs w:val="20"/>
                <w:color w:val="auto"/>
              </w:rPr>
            </w:pPr>
            <w:r>
              <w:rPr>
                <w:rFonts w:ascii="Arial" w:cs="Arial" w:eastAsia="Arial" w:hAnsi="Arial"/>
                <w:sz w:val="18"/>
                <w:szCs w:val="18"/>
                <w:color w:val="auto"/>
                <w:w w:val="92"/>
              </w:rPr>
              <w:t>(Address of principal executive offices)</w:t>
            </w:r>
          </w:p>
        </w:tc>
        <w:tc>
          <w:tcPr>
            <w:tcW w:w="220" w:type="dxa"/>
            <w:vAlign w:val="bottom"/>
          </w:tcPr>
          <w:p>
            <w:pPr>
              <w:spacing w:after="0"/>
              <w:rPr>
                <w:sz w:val="20"/>
                <w:szCs w:val="20"/>
                <w:color w:val="auto"/>
              </w:rPr>
            </w:pPr>
          </w:p>
        </w:tc>
        <w:tc>
          <w:tcPr>
            <w:tcW w:w="780" w:type="dxa"/>
            <w:vAlign w:val="bottom"/>
            <w:tcBorders>
              <w:top w:val="single" w:sz="8" w:color="auto"/>
            </w:tcBorders>
          </w:tcPr>
          <w:p>
            <w:pPr>
              <w:spacing w:after="0"/>
              <w:rPr>
                <w:sz w:val="20"/>
                <w:szCs w:val="20"/>
                <w:color w:val="auto"/>
              </w:rPr>
            </w:pPr>
          </w:p>
        </w:tc>
        <w:tc>
          <w:tcPr>
            <w:tcW w:w="1500" w:type="dxa"/>
            <w:vAlign w:val="bottom"/>
            <w:tcBorders>
              <w:top w:val="single" w:sz="8" w:color="auto"/>
            </w:tcBorders>
            <w:gridSpan w:val="3"/>
          </w:tcPr>
          <w:p>
            <w:pPr>
              <w:spacing w:after="0"/>
              <w:rPr>
                <w:sz w:val="20"/>
                <w:szCs w:val="20"/>
                <w:color w:val="auto"/>
              </w:rPr>
            </w:pPr>
          </w:p>
        </w:tc>
        <w:tc>
          <w:tcPr>
            <w:tcW w:w="3220" w:type="dxa"/>
            <w:vAlign w:val="bottom"/>
            <w:tcBorders>
              <w:top w:val="single" w:sz="8" w:color="auto"/>
            </w:tcBorders>
          </w:tcPr>
          <w:p>
            <w:pPr>
              <w:jc w:val="center"/>
              <w:ind w:right="2170"/>
              <w:spacing w:after="0"/>
              <w:rPr>
                <w:sz w:val="20"/>
                <w:szCs w:val="20"/>
                <w:color w:val="auto"/>
              </w:rPr>
            </w:pPr>
            <w:r>
              <w:rPr>
                <w:rFonts w:ascii="Arial" w:cs="Arial" w:eastAsia="Arial" w:hAnsi="Arial"/>
                <w:sz w:val="18"/>
                <w:szCs w:val="18"/>
                <w:color w:val="auto"/>
                <w:w w:val="94"/>
              </w:rPr>
              <w:t>(Zip Code)</w:t>
            </w:r>
          </w:p>
        </w:tc>
      </w:tr>
    </w:tbl>
    <w:p>
      <w:pPr>
        <w:spacing w:after="0" w:line="18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u w:val="single" w:color="auto"/>
          <w:color w:val="auto"/>
        </w:rPr>
        <w:t>248.651.6568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1788160</wp:posOffset>
            </wp:positionH>
            <wp:positionV relativeFrom="paragraph">
              <wp:posOffset>288925</wp:posOffset>
            </wp:positionV>
            <wp:extent cx="356616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200" w:lineRule="exact"/>
        <w:rPr>
          <w:sz w:val="24"/>
          <w:szCs w:val="24"/>
          <w:color w:val="auto"/>
        </w:rPr>
      </w:pPr>
    </w:p>
    <w:p>
      <w:pPr>
        <w:spacing w:after="0" w:line="262"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25" w:lineRule="exact"/>
        <w:rPr>
          <w:sz w:val="24"/>
          <w:szCs w:val="24"/>
          <w:color w:val="auto"/>
        </w:rPr>
      </w:pPr>
    </w:p>
    <w:p>
      <w:pPr>
        <w:ind w:right="6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(17CFR 230.425)</w:t>
      </w:r>
    </w:p>
    <w:p>
      <w:pPr>
        <w:spacing w:after="0" w:line="225"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ind w:right="5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spacing w:after="0"/>
        <w:rPr>
          <w:sz w:val="20"/>
          <w:szCs w:val="20"/>
          <w:color w:val="auto"/>
        </w:rPr>
      </w:pPr>
      <w:r>
        <w:rPr>
          <w:rFonts w:ascii="Arial" w:cs="Arial" w:eastAsia="Arial" w:hAnsi="Arial"/>
          <w:sz w:val="16"/>
          <w:szCs w:val="16"/>
          <w:color w:val="auto"/>
        </w:rPr>
        <w:t>If an emerging growth company, indicate by check mark if the registrant has elected not to use the extended transition period for complying with any new</w:t>
      </w:r>
    </w:p>
    <w:p>
      <w:pPr>
        <w:spacing w:after="0" w:line="41" w:lineRule="exact"/>
        <w:rPr>
          <w:sz w:val="24"/>
          <w:szCs w:val="24"/>
          <w:color w:val="auto"/>
        </w:rPr>
      </w:pPr>
    </w:p>
    <w:tbl>
      <w:tblPr>
        <w:tblLayout w:type="fixed"/>
        <w:tblInd w:w="0" w:type="dxa"/>
        <w:tblCellMar>
          <w:top w:w="0" w:type="dxa"/>
          <w:left w:w="0" w:type="dxa"/>
          <w:bottom w:w="0" w:type="dxa"/>
          <w:right w:w="0" w:type="dxa"/>
        </w:tblCellMar>
      </w:tblPr>
      <w:tr>
        <w:trPr>
          <w:trHeight w:val="283"/>
        </w:trPr>
        <w:tc>
          <w:tcPr>
            <w:tcW w:w="7200" w:type="dxa"/>
            <w:vAlign w:val="bottom"/>
            <w:gridSpan w:val="6"/>
          </w:tcPr>
          <w:p>
            <w:pPr>
              <w:spacing w:after="0"/>
              <w:rPr>
                <w:sz w:val="20"/>
                <w:szCs w:val="20"/>
                <w:color w:val="auto"/>
              </w:rPr>
            </w:pPr>
            <w:r>
              <w:rPr>
                <w:rFonts w:ascii="Arial" w:cs="Arial" w:eastAsia="Arial" w:hAnsi="Arial"/>
                <w:sz w:val="18"/>
                <w:szCs w:val="18"/>
                <w:color w:val="auto"/>
                <w:w w:val="92"/>
              </w:rPr>
              <w:t>or revised financial accounting standards provided pursuant to Section 13(a) of the Exchange Act.</w:t>
            </w:r>
          </w:p>
        </w:tc>
        <w:tc>
          <w:tcPr>
            <w:tcW w:w="4040" w:type="dxa"/>
            <w:vAlign w:val="bottom"/>
          </w:tcPr>
          <w:p>
            <w:pPr>
              <w:ind w:left="140"/>
              <w:spacing w:after="0" w:line="181" w:lineRule="exact"/>
              <w:rPr>
                <w:sz w:val="20"/>
                <w:szCs w:val="20"/>
                <w:color w:val="auto"/>
              </w:rPr>
            </w:pPr>
            <w:r>
              <w:rPr>
                <w:rFonts w:ascii="MS PGothic" w:cs="MS PGothic" w:eastAsia="MS PGothic" w:hAnsi="MS PGothic"/>
                <w:sz w:val="18"/>
                <w:szCs w:val="18"/>
                <w:color w:val="auto"/>
              </w:rPr>
              <w:t>☐</w:t>
            </w:r>
          </w:p>
        </w:tc>
      </w:tr>
      <w:tr>
        <w:trPr>
          <w:trHeight w:val="370"/>
        </w:trPr>
        <w:tc>
          <w:tcPr>
            <w:tcW w:w="4360" w:type="dxa"/>
            <w:vAlign w:val="bottom"/>
            <w:gridSpan w:val="3"/>
          </w:tcPr>
          <w:p>
            <w:pPr>
              <w:spacing w:after="0"/>
              <w:rPr>
                <w:sz w:val="20"/>
                <w:szCs w:val="20"/>
                <w:color w:val="auto"/>
              </w:rPr>
            </w:pPr>
            <w:r>
              <w:rPr>
                <w:rFonts w:ascii="Arial" w:cs="Arial" w:eastAsia="Arial" w:hAnsi="Arial"/>
                <w:sz w:val="18"/>
                <w:szCs w:val="18"/>
                <w:color w:val="auto"/>
                <w:w w:val="94"/>
              </w:rPr>
              <w:t>Securities registered pursuant to Section 12(b) of the Act:</w:t>
            </w:r>
          </w:p>
        </w:tc>
        <w:tc>
          <w:tcPr>
            <w:tcW w:w="2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40" w:type="dxa"/>
            <w:vAlign w:val="bottom"/>
          </w:tcPr>
          <w:p>
            <w:pPr>
              <w:spacing w:after="0"/>
              <w:rPr>
                <w:sz w:val="24"/>
                <w:szCs w:val="24"/>
                <w:color w:val="auto"/>
              </w:rPr>
            </w:pPr>
          </w:p>
        </w:tc>
      </w:tr>
      <w:tr>
        <w:trPr>
          <w:trHeight w:val="459"/>
        </w:trPr>
        <w:tc>
          <w:tcPr>
            <w:tcW w:w="4360" w:type="dxa"/>
            <w:vAlign w:val="bottom"/>
            <w:gridSpan w:val="3"/>
          </w:tcPr>
          <w:p>
            <w:pPr>
              <w:jc w:val="center"/>
              <w:ind w:right="960"/>
              <w:spacing w:after="0"/>
              <w:rPr>
                <w:sz w:val="20"/>
                <w:szCs w:val="20"/>
                <w:color w:val="auto"/>
              </w:rPr>
            </w:pPr>
            <w:r>
              <w:rPr>
                <w:rFonts w:ascii="Arial" w:cs="Arial" w:eastAsia="Arial" w:hAnsi="Arial"/>
                <w:sz w:val="18"/>
                <w:szCs w:val="18"/>
                <w:b w:val="1"/>
                <w:bCs w:val="1"/>
                <w:color w:val="auto"/>
                <w:w w:val="87"/>
              </w:rPr>
              <w:t>Title of each class</w:t>
            </w:r>
          </w:p>
        </w:tc>
        <w:tc>
          <w:tcPr>
            <w:tcW w:w="2840" w:type="dxa"/>
            <w:vAlign w:val="bottom"/>
            <w:gridSpan w:val="3"/>
          </w:tcPr>
          <w:p>
            <w:pPr>
              <w:jc w:val="center"/>
              <w:ind w:right="1180"/>
              <w:spacing w:after="0"/>
              <w:rPr>
                <w:sz w:val="20"/>
                <w:szCs w:val="20"/>
                <w:color w:val="auto"/>
              </w:rPr>
            </w:pPr>
            <w:r>
              <w:rPr>
                <w:rFonts w:ascii="Arial" w:cs="Arial" w:eastAsia="Arial" w:hAnsi="Arial"/>
                <w:sz w:val="18"/>
                <w:szCs w:val="18"/>
                <w:b w:val="1"/>
                <w:bCs w:val="1"/>
                <w:color w:val="auto"/>
                <w:w w:val="90"/>
              </w:rPr>
              <w:t>Trading symbol</w:t>
            </w:r>
          </w:p>
        </w:tc>
        <w:tc>
          <w:tcPr>
            <w:tcW w:w="4040" w:type="dxa"/>
            <w:vAlign w:val="bottom"/>
          </w:tcPr>
          <w:p>
            <w:pPr>
              <w:jc w:val="center"/>
              <w:ind w:right="130"/>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10"/>
        </w:trPr>
        <w:tc>
          <w:tcPr>
            <w:tcW w:w="33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Common Stock</w:t>
            </w:r>
          </w:p>
        </w:tc>
        <w:tc>
          <w:tcPr>
            <w:tcW w:w="12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500" w:type="dxa"/>
            <w:vAlign w:val="bottom"/>
            <w:tcBorders>
              <w:top w:val="single" w:sz="8" w:color="auto"/>
            </w:tcBorders>
            <w:shd w:val="clear" w:color="auto" w:fill="CCEEFF"/>
          </w:tcPr>
          <w:p>
            <w:pPr>
              <w:jc w:val="center"/>
              <w:ind w:right="770"/>
              <w:spacing w:after="0"/>
              <w:rPr>
                <w:sz w:val="20"/>
                <w:szCs w:val="20"/>
                <w:color w:val="auto"/>
              </w:rPr>
            </w:pPr>
            <w:r>
              <w:rPr>
                <w:rFonts w:ascii="Arial" w:cs="Arial" w:eastAsia="Arial" w:hAnsi="Arial"/>
                <w:sz w:val="18"/>
                <w:szCs w:val="18"/>
                <w:color w:val="auto"/>
                <w:w w:val="93"/>
              </w:rPr>
              <w:t>OPRX</w:t>
            </w: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4040" w:type="dxa"/>
            <w:vAlign w:val="bottom"/>
            <w:tcBorders>
              <w:top w:val="single" w:sz="8" w:color="auto"/>
            </w:tcBorders>
            <w:shd w:val="clear" w:color="auto" w:fill="CCEEFF"/>
          </w:tcPr>
          <w:p>
            <w:pPr>
              <w:jc w:val="center"/>
              <w:ind w:right="130"/>
              <w:spacing w:after="0"/>
              <w:rPr>
                <w:sz w:val="20"/>
                <w:szCs w:val="20"/>
                <w:color w:val="auto"/>
              </w:rPr>
            </w:pPr>
            <w:r>
              <w:rPr>
                <w:rFonts w:ascii="Arial" w:cs="Arial" w:eastAsia="Arial" w:hAnsi="Arial"/>
                <w:sz w:val="18"/>
                <w:szCs w:val="18"/>
                <w:color w:val="auto"/>
                <w:w w:val="90"/>
              </w:rPr>
              <w:t>Nasdaq Capital Market</w:t>
            </w:r>
          </w:p>
        </w:tc>
      </w:tr>
      <w:tr>
        <w:trPr>
          <w:trHeight w:val="216"/>
        </w:trPr>
        <w:tc>
          <w:tcPr>
            <w:tcW w:w="33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25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4040" w:type="dxa"/>
            <w:vAlign w:val="bottom"/>
            <w:tcBorders>
              <w:bottom w:val="single" w:sz="8" w:color="auto"/>
            </w:tcBorders>
          </w:tcPr>
          <w:p>
            <w:pPr>
              <w:spacing w:after="0"/>
              <w:rPr>
                <w:sz w:val="18"/>
                <w:szCs w:val="18"/>
                <w:color w:val="auto"/>
              </w:rPr>
            </w:pPr>
          </w:p>
        </w:tc>
      </w:tr>
      <w:tr>
        <w:trPr>
          <w:trHeight w:val="28"/>
        </w:trPr>
        <w:tc>
          <w:tcPr>
            <w:tcW w:w="33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5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4040" w:type="dxa"/>
            <w:vAlign w:val="bottom"/>
            <w:tcBorders>
              <w:bottom w:val="single" w:sz="8" w:color="auto"/>
            </w:tcBorders>
          </w:tcPr>
          <w:p>
            <w:pPr>
              <w:spacing w:after="0"/>
              <w:rPr>
                <w:sz w:val="2"/>
                <w:szCs w:val="2"/>
                <w:color w:val="auto"/>
              </w:rPr>
            </w:pPr>
          </w:p>
        </w:tc>
      </w:tr>
      <w:tr>
        <w:trPr>
          <w:trHeight w:val="682"/>
        </w:trPr>
        <w:tc>
          <w:tcPr>
            <w:tcW w:w="33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5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40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13" w:right="3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SECTION 8 – Other Events</w:t>
      </w:r>
    </w:p>
    <w:p>
      <w:pPr>
        <w:spacing w:after="0" w:line="22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8.01</w:t>
      </w:r>
      <w:r>
        <w:rPr>
          <w:sz w:val="20"/>
          <w:szCs w:val="20"/>
          <w:color w:val="auto"/>
        </w:rPr>
        <w:tab/>
      </w:r>
      <w:r>
        <w:rPr>
          <w:rFonts w:ascii="Arial" w:cs="Arial" w:eastAsia="Arial" w:hAnsi="Arial"/>
          <w:sz w:val="16"/>
          <w:szCs w:val="16"/>
          <w:b w:val="1"/>
          <w:bCs w:val="1"/>
          <w:color w:val="auto"/>
        </w:rPr>
        <w:t>Other Events</w:t>
      </w:r>
    </w:p>
    <w:p>
      <w:pPr>
        <w:spacing w:after="0" w:line="229"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On March 18, 2020, we issued a press release about hosting an online discussion on how to navigate the Coronavirus (COVID-19) pandemic with clinical leaders at Microsoft, Massachusetts General Hospital and from the global medical technology company, BD. A copy of the press release is attached as Exhibit 99.1 to this Current Report on Form 8-K.</w:t>
      </w:r>
    </w:p>
    <w:p>
      <w:pPr>
        <w:spacing w:after="0" w:line="18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information in Item 8.01 of this Current Report on Form 8-K (including Exhibit 99.1) shall not be deemed “filed” for purposes of Section 18 of the Securities Exchange Act of 1934 (the “Exchange Act”) or otherwise subject to the liabilities of that section, nor shall it be deemed incorporated by reference in any filing under the Securities Act of 1933 or the Exchange Act, except as expressly set forth by specific reference in such a filing.</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9 – Financial Statements and Exhibits</w:t>
      </w:r>
    </w:p>
    <w:p>
      <w:pPr>
        <w:spacing w:after="0" w:line="22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29" w:lineRule="exact"/>
        <w:rPr>
          <w:sz w:val="20"/>
          <w:szCs w:val="20"/>
          <w:color w:val="auto"/>
        </w:rPr>
      </w:pPr>
    </w:p>
    <w:p>
      <w:pPr>
        <w:spacing w:after="0"/>
        <w:tabs>
          <w:tab w:leader="none" w:pos="1280" w:val="left"/>
        </w:tabs>
        <w:rPr>
          <w:rFonts w:ascii="Arial" w:cs="Arial" w:eastAsia="Arial" w:hAnsi="Arial"/>
          <w:sz w:val="15"/>
          <w:szCs w:val="15"/>
          <w:u w:val="single" w:color="auto"/>
          <w:color w:val="0000EE"/>
        </w:rPr>
      </w:pPr>
      <w:r>
        <w:rPr>
          <w:rFonts w:ascii="Arial" w:cs="Arial" w:eastAsia="Arial" w:hAnsi="Arial"/>
          <w:sz w:val="18"/>
          <w:szCs w:val="18"/>
          <w:color w:val="auto"/>
        </w:rPr>
        <w:t>99.1</w:t>
      </w:r>
      <w:r>
        <w:rPr>
          <w:sz w:val="20"/>
          <w:szCs w:val="20"/>
          <w:color w:val="auto"/>
        </w:rPr>
        <w:tab/>
      </w:r>
      <w:hyperlink w:anchor="page4">
        <w:r>
          <w:rPr>
            <w:rFonts w:ascii="Arial" w:cs="Arial" w:eastAsia="Arial" w:hAnsi="Arial"/>
            <w:sz w:val="15"/>
            <w:szCs w:val="15"/>
            <w:u w:val="single" w:color="auto"/>
            <w:color w:val="0000EE"/>
          </w:rPr>
          <w:t>Press release, dated March 18, 2020</w:t>
        </w:r>
      </w:hyperlink>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 w:name="page3"/>
    <w:bookmarkEnd w:id="2"/>
    <w:p>
      <w:pPr>
        <w:jc w:val="center"/>
        <w:ind w:right="-3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OptimizeRx Corporation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 Douglas Baker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2854325"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854325" cy="17145"/>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color w:val="auto"/>
        </w:rPr>
        <w:t>Douglas Baker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March 18, 2020</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904" w:right="379" w:bottom="1440" w:gutter="0" w:footer="0" w:header="0"/>
        </w:sectPr>
      </w:pPr>
    </w:p>
    <w:bookmarkStart w:id="3" w:name="page4"/>
    <w:bookmarkEnd w:id="3"/>
    <w:p>
      <w:pPr>
        <w:jc w:val="right"/>
        <w:spacing w:after="0"/>
        <w:rPr>
          <w:sz w:val="20"/>
          <w:szCs w:val="20"/>
          <w:color w:val="auto"/>
        </w:rPr>
      </w:pPr>
      <w:r>
        <w:rPr>
          <w:rFonts w:ascii="Arial" w:cs="Arial" w:eastAsia="Arial" w:hAnsi="Arial"/>
          <w:sz w:val="22"/>
          <w:szCs w:val="2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2559685</wp:posOffset>
            </wp:positionH>
            <wp:positionV relativeFrom="paragraph">
              <wp:posOffset>165735</wp:posOffset>
            </wp:positionV>
            <wp:extent cx="1877060" cy="43688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877060" cy="436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OptimizeRx to Host Online Session with Clinical Leaders at Microsoft, Massachusetts General Hospital and BD</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Session to Focus on Sharing Ideas for Healthcare Organizations Trying to Navigate the Coronavirus Pandemic</w:t>
      </w:r>
    </w:p>
    <w:p>
      <w:pPr>
        <w:spacing w:after="0" w:line="154" w:lineRule="exact"/>
        <w:rPr>
          <w:sz w:val="20"/>
          <w:szCs w:val="20"/>
          <w:color w:val="auto"/>
        </w:rPr>
      </w:pPr>
    </w:p>
    <w:p>
      <w:pPr>
        <w:ind w:right="200"/>
        <w:spacing w:after="0" w:line="266" w:lineRule="auto"/>
        <w:rPr>
          <w:sz w:val="20"/>
          <w:szCs w:val="20"/>
          <w:color w:val="auto"/>
        </w:rPr>
      </w:pPr>
      <w:r>
        <w:rPr>
          <w:rFonts w:ascii="Arial" w:cs="Arial" w:eastAsia="Arial" w:hAnsi="Arial"/>
          <w:sz w:val="18"/>
          <w:szCs w:val="18"/>
          <w:b w:val="1"/>
          <w:bCs w:val="1"/>
          <w:color w:val="auto"/>
        </w:rPr>
        <w:t xml:space="preserve">ROCHESTER, Mich. – March 18, 2020 – </w:t>
      </w:r>
      <w:r>
        <w:rPr>
          <w:rFonts w:ascii="Arial" w:cs="Arial" w:eastAsia="Arial" w:hAnsi="Arial"/>
          <w:sz w:val="18"/>
          <w:szCs w:val="18"/>
          <w:color w:val="auto"/>
        </w:rPr>
        <w:t>OptimizeRx Corp. (Nasdaq: OPRX), a leading provider of digital health solutions for life science companies</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and payers, will host an online discussion on how to navigate the Coronavirus (COVID-19) pandemic with clinical leaders at </w:t>
      </w:r>
      <w:r>
        <w:rPr>
          <w:rFonts w:ascii="Arial" w:cs="Arial" w:eastAsia="Arial" w:hAnsi="Arial"/>
          <w:sz w:val="18"/>
          <w:szCs w:val="18"/>
          <w:u w:val="single" w:color="auto"/>
          <w:color w:val="auto"/>
        </w:rPr>
        <w:t>Microsoft</w:t>
      </w:r>
      <w:r>
        <w:rPr>
          <w:rFonts w:ascii="Arial" w:cs="Arial" w:eastAsia="Arial" w:hAnsi="Arial"/>
          <w:sz w:val="18"/>
          <w:szCs w:val="18"/>
          <w:color w:val="auto"/>
        </w:rPr>
        <w:t xml:space="preserve">, </w:t>
      </w:r>
      <w:r>
        <w:rPr>
          <w:rFonts w:ascii="Arial" w:cs="Arial" w:eastAsia="Arial" w:hAnsi="Arial"/>
          <w:sz w:val="18"/>
          <w:szCs w:val="18"/>
          <w:u w:val="single" w:color="auto"/>
          <w:color w:val="auto"/>
        </w:rPr>
        <w:t>Massachusetts</w:t>
      </w:r>
      <w:r>
        <w:rPr>
          <w:rFonts w:ascii="Arial" w:cs="Arial" w:eastAsia="Arial" w:hAnsi="Arial"/>
          <w:sz w:val="18"/>
          <w:szCs w:val="18"/>
          <w:color w:val="auto"/>
        </w:rPr>
        <w:t xml:space="preserve"> </w:t>
      </w:r>
      <w:r>
        <w:rPr>
          <w:rFonts w:ascii="Arial" w:cs="Arial" w:eastAsia="Arial" w:hAnsi="Arial"/>
          <w:sz w:val="18"/>
          <w:szCs w:val="18"/>
          <w:u w:val="single" w:color="auto"/>
          <w:color w:val="auto"/>
        </w:rPr>
        <w:t>General Hospital</w:t>
      </w:r>
      <w:r>
        <w:rPr>
          <w:rFonts w:ascii="Arial" w:cs="Arial" w:eastAsia="Arial" w:hAnsi="Arial"/>
          <w:sz w:val="18"/>
          <w:szCs w:val="18"/>
          <w:color w:val="auto"/>
        </w:rPr>
        <w:t xml:space="preserve"> and from the global medical technology company, </w:t>
      </w:r>
      <w:r>
        <w:rPr>
          <w:rFonts w:ascii="Arial" w:cs="Arial" w:eastAsia="Arial" w:hAnsi="Arial"/>
          <w:sz w:val="18"/>
          <w:szCs w:val="18"/>
          <w:u w:val="single" w:color="auto"/>
          <w:color w:val="auto"/>
        </w:rPr>
        <w:t>BD</w:t>
      </w:r>
      <w:r>
        <w:rPr>
          <w:rFonts w:ascii="Arial" w:cs="Arial" w:eastAsia="Arial" w:hAnsi="Arial"/>
          <w:sz w:val="18"/>
          <w:szCs w:val="18"/>
          <w:color w:val="auto"/>
        </w:rPr>
        <w: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The conversation is part of OptimizeRx’s initiative to facilitate industry collaboration to help stop the spread of the virus.</w:t>
      </w:r>
    </w:p>
    <w:p>
      <w:pPr>
        <w:spacing w:after="0" w:line="225" w:lineRule="exact"/>
        <w:rPr>
          <w:sz w:val="20"/>
          <w:szCs w:val="20"/>
          <w:color w:val="auto"/>
        </w:rPr>
      </w:pPr>
    </w:p>
    <w:p>
      <w:pPr>
        <w:ind w:right="460"/>
        <w:spacing w:after="0" w:line="311" w:lineRule="auto"/>
        <w:rPr>
          <w:sz w:val="20"/>
          <w:szCs w:val="20"/>
          <w:color w:val="auto"/>
        </w:rPr>
      </w:pPr>
      <w:r>
        <w:rPr>
          <w:rFonts w:ascii="Arial" w:cs="Arial" w:eastAsia="Arial" w:hAnsi="Arial"/>
          <w:sz w:val="16"/>
          <w:szCs w:val="16"/>
          <w:color w:val="auto"/>
        </w:rPr>
        <w:t>The panel will be moderated by Rebecca Love, MSN, RN and VP of customer strategy and engagement for OptimizeRx. She will be joined by Molly McCarthy MBA, BSN, Microsoft’s national director for U.S. Health and chief nursing officer; Kelly Robke MBA, MS, RN, VP of clinical thought leadership at BD; and Hiyam Nadel MBA, BSN, director of the Center of Innovations in Care Delivery at Massachusetts General Hospital.</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Topic: Learning Together: Navigating the COVID-19 Pandemic</w:t>
      </w:r>
    </w:p>
    <w:p>
      <w:pPr>
        <w:spacing w:after="0" w:line="229" w:lineRule="exact"/>
        <w:rPr>
          <w:sz w:val="20"/>
          <w:szCs w:val="20"/>
          <w:color w:val="auto"/>
        </w:rPr>
      </w:pPr>
    </w:p>
    <w:p>
      <w:pPr>
        <w:ind w:right="240"/>
        <w:spacing w:after="0" w:line="263" w:lineRule="auto"/>
        <w:rPr>
          <w:sz w:val="20"/>
          <w:szCs w:val="20"/>
          <w:color w:val="auto"/>
        </w:rPr>
      </w:pPr>
      <w:r>
        <w:rPr>
          <w:rFonts w:ascii="Arial" w:cs="Arial" w:eastAsia="Arial" w:hAnsi="Arial"/>
          <w:sz w:val="18"/>
          <w:szCs w:val="18"/>
          <w:color w:val="auto"/>
        </w:rPr>
        <w:t>This webinar is designed to share the knowledge, insight and expertise of these leading nurse executives as they navigate the COVID-19 pandemic. Connected by their nursing backgrounds and representing three different healthcare verticals (hospitals, healthcare technology and medical devices), this unique panel will provide a valuable opportunity for participants to learn and engage.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Date: </w:t>
      </w:r>
      <w:r>
        <w:rPr>
          <w:rFonts w:ascii="Arial" w:cs="Arial" w:eastAsia="Arial" w:hAnsi="Arial"/>
          <w:sz w:val="18"/>
          <w:szCs w:val="18"/>
          <w:color w:val="auto"/>
        </w:rPr>
        <w:t>Thursday, March 19</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Time: </w:t>
      </w:r>
      <w:r>
        <w:rPr>
          <w:rFonts w:ascii="Arial" w:cs="Arial" w:eastAsia="Arial" w:hAnsi="Arial"/>
          <w:sz w:val="18"/>
          <w:szCs w:val="18"/>
          <w:color w:val="auto"/>
        </w:rPr>
        <w:t>3:00 p.m. ET</w:t>
      </w:r>
    </w:p>
    <w:p>
      <w:pPr>
        <w:spacing w:after="0" w:line="211" w:lineRule="exact"/>
        <w:rPr>
          <w:sz w:val="20"/>
          <w:szCs w:val="20"/>
          <w:color w:val="auto"/>
        </w:rPr>
      </w:pPr>
    </w:p>
    <w:p>
      <w:pPr>
        <w:ind w:right="40"/>
        <w:spacing w:after="0" w:line="342" w:lineRule="auto"/>
        <w:rPr>
          <w:sz w:val="20"/>
          <w:szCs w:val="20"/>
          <w:color w:val="auto"/>
        </w:rPr>
      </w:pPr>
      <w:r>
        <w:rPr>
          <w:rFonts w:ascii="Arial" w:cs="Arial" w:eastAsia="Arial" w:hAnsi="Arial"/>
          <w:sz w:val="16"/>
          <w:szCs w:val="16"/>
          <w:color w:val="auto"/>
        </w:rPr>
        <w:t>The webinar is free and open to anyone in the industry and will provide an opportunity to communicate directly with the panelists. Over the coming weeks, OptimizeRx plans to host a series of crucial conversations connecting various healthcare stakeholders to drive innovation, collaboration and education.</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Register today at </w:t>
      </w:r>
      <w:r>
        <w:rPr>
          <w:rFonts w:ascii="Arial" w:cs="Arial" w:eastAsia="Arial" w:hAnsi="Arial"/>
          <w:sz w:val="18"/>
          <w:szCs w:val="18"/>
          <w:u w:val="single" w:color="auto"/>
          <w:color w:val="auto"/>
        </w:rPr>
        <w:t>www.optimizerx.com/webinars</w:t>
      </w: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For more information about OptimizeRx’s webinar sessions, contact media relations at (754) 245-7070 or </w:t>
      </w:r>
      <w:r>
        <w:rPr>
          <w:rFonts w:ascii="Arial" w:cs="Arial" w:eastAsia="Arial" w:hAnsi="Arial"/>
          <w:sz w:val="18"/>
          <w:szCs w:val="18"/>
          <w:u w:val="single" w:color="auto"/>
          <w:color w:val="auto"/>
        </w:rPr>
        <w:t>malejandra@optimizerx.com</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220345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About OptimizeRx</w:t>
      </w:r>
    </w:p>
    <w:p>
      <w:pPr>
        <w:spacing w:after="0" w:line="229"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OptimizeRx® (NASDAQ: OPRX), a digital health company, connects pharmaceutical companies to patients and providers, offering greater affordability, adherence and brand awareness at the point-of-care. As the nation’s largest digital platform connecting life sciences to the point-of-care, OptimizeRx provides a direct channel for pharma companies, payers, medtech, and medical associations to communicate with healthcare providers right within their workflow and also directly to patients.</w:t>
      </w:r>
    </w:p>
    <w:p>
      <w:pPr>
        <w:spacing w:after="0" w:line="187" w:lineRule="exact"/>
        <w:rPr>
          <w:sz w:val="20"/>
          <w:szCs w:val="20"/>
          <w:color w:val="auto"/>
        </w:rPr>
      </w:pPr>
    </w:p>
    <w:p>
      <w:pPr>
        <w:ind w:right="420"/>
        <w:spacing w:after="0" w:line="259" w:lineRule="auto"/>
        <w:rPr>
          <w:sz w:val="20"/>
          <w:szCs w:val="20"/>
          <w:color w:val="auto"/>
        </w:rPr>
      </w:pPr>
      <w:r>
        <w:rPr>
          <w:rFonts w:ascii="Arial" w:cs="Arial" w:eastAsia="Arial" w:hAnsi="Arial"/>
          <w:sz w:val="18"/>
          <w:szCs w:val="18"/>
          <w:color w:val="auto"/>
        </w:rPr>
        <w:t>The cloud-based solution supports patient adherence to medications and better healthcare outcomes with real-time access to financial assistance, prior authorization, education and critical clinical information. OptimizeRx provides more than half of the ambulatory patient market with access to these benefits through leading EHR platforms like Allscripts, Amazing Charts and Quest, and directly via its mobile communications platform and digital therapeutics SaaS platform.</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For more information, follow the company on </w:t>
      </w:r>
      <w:r>
        <w:rPr>
          <w:rFonts w:ascii="Arial" w:cs="Arial" w:eastAsia="Arial" w:hAnsi="Arial"/>
          <w:sz w:val="18"/>
          <w:szCs w:val="18"/>
          <w:u w:val="single" w:color="auto"/>
          <w:color w:val="auto"/>
        </w:rPr>
        <w:t>Twitter</w:t>
      </w:r>
      <w:r>
        <w:rPr>
          <w:rFonts w:ascii="Arial" w:cs="Arial" w:eastAsia="Arial" w:hAnsi="Arial"/>
          <w:sz w:val="18"/>
          <w:szCs w:val="18"/>
          <w:color w:val="auto"/>
        </w:rPr>
        <w:t xml:space="preserve">, </w:t>
      </w:r>
      <w:r>
        <w:rPr>
          <w:rFonts w:ascii="Arial" w:cs="Arial" w:eastAsia="Arial" w:hAnsi="Arial"/>
          <w:sz w:val="18"/>
          <w:szCs w:val="18"/>
          <w:u w:val="single" w:color="auto"/>
          <w:color w:val="auto"/>
        </w:rPr>
        <w:t>LinkedIn</w:t>
      </w:r>
      <w:r>
        <w:rPr>
          <w:rFonts w:ascii="Arial" w:cs="Arial" w:eastAsia="Arial" w:hAnsi="Arial"/>
          <w:sz w:val="18"/>
          <w:szCs w:val="18"/>
          <w:color w:val="auto"/>
        </w:rPr>
        <w:t xml:space="preserve"> or visit </w:t>
      </w:r>
      <w:r>
        <w:rPr>
          <w:rFonts w:ascii="Arial" w:cs="Arial" w:eastAsia="Arial" w:hAnsi="Arial"/>
          <w:sz w:val="18"/>
          <w:szCs w:val="18"/>
          <w:u w:val="single" w:color="auto"/>
          <w:color w:val="auto"/>
        </w:rPr>
        <w:t>www.OptimizeRx.com.</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Important Cautions Regarding Forward Looking Statements</w:t>
      </w:r>
    </w:p>
    <w:p>
      <w:pPr>
        <w:spacing w:after="0" w:line="229"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This press release contains forward-looking statements within the definition of Section 27A of the Securities Act of 1933, as amended, and such as in section 21E of the Securities Act of 1934, as amended. These forward-looking statements should not be used to make an investment decision. The words 'estimate,' 'possible' and 'seeking' and similar expressions identify forward-looking statements, which speak only as to the date the statement was made. The company undertakes no obligation to publicly update or revise any forward-looking statements, whether because of new information, future events, or otherwise. Forward-looking statements are inherently subject to risks and uncertainties, some of which cannot be predicted, or quantified. Future events and actual results could differ materially from those set forth in, contemplated by, or underlying the forward-looking statements. The risks and uncertainties to which forward-looking statements are subject include, but are not limited to, the effect of government regulation, competition, and other material risks.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OptimizeRx 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Doug Baker, CFO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 (248) 651-6568 x807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dbaker@optimizerx.com</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 Relations 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Maira Alejandra, Media Relations Manager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 (754) 245-7070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malejandra@optimizerx.com</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Relations 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Ron Both, CMA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 (949) 432-7557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oprx@cma.team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211455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20"/>
      </w:cols>
      <w:pgMar w:left="320" w:top="796"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2020-03-18T12:11:45Z</dcterms:created>
  <dcterms:modified xsi:type="dcterms:W3CDTF">2020-03-18T12:11:45Z</dcterms:modified>
</cp:coreProperties>
</file>