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WASSON GREGORY D</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20"/>
        <w:spacing w:after="0" w:line="409" w:lineRule="auto"/>
        <w:rPr>
          <w:sz w:val="20"/>
          <w:szCs w:val="20"/>
          <w:color w:val="auto"/>
        </w:rPr>
      </w:pPr>
      <w:r>
        <w:rPr>
          <w:rFonts w:ascii="Arial" w:cs="Arial" w:eastAsia="Arial" w:hAnsi="Arial"/>
          <w:sz w:val="15"/>
          <w:szCs w:val="15"/>
          <w:color w:val="0000FF"/>
        </w:rPr>
        <w:t>C/O OPTIMIZERX CORPORATION 260 CHARLES STREET, SUITE 302</w:t>
      </w: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1520" w:type="dxa"/>
            <w:vAlign w:val="bottom"/>
            <w:gridSpan w:val="3"/>
          </w:tcPr>
          <w:p>
            <w:pPr>
              <w:ind w:left="60"/>
              <w:spacing w:after="0"/>
              <w:rPr>
                <w:sz w:val="20"/>
                <w:szCs w:val="20"/>
                <w:color w:val="auto"/>
              </w:rPr>
            </w:pPr>
            <w:r>
              <w:rPr>
                <w:rFonts w:ascii="Arial" w:cs="Arial" w:eastAsia="Arial" w:hAnsi="Arial"/>
                <w:sz w:val="17"/>
                <w:szCs w:val="17"/>
                <w:color w:val="0000FF"/>
              </w:rPr>
              <w:t>06/07/2023</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5"/>
              <w:spacing w:after="0"/>
              <w:rPr>
                <w:sz w:val="20"/>
                <w:szCs w:val="20"/>
                <w:color w:val="auto"/>
              </w:rPr>
            </w:pPr>
            <w:r>
              <w:rPr>
                <w:rFonts w:ascii="Arial" w:cs="Arial" w:eastAsia="Arial" w:hAnsi="Arial"/>
                <w:sz w:val="17"/>
                <w:szCs w:val="17"/>
                <w:color w:val="0000FF"/>
                <w:w w:val="89"/>
              </w:rPr>
              <w:t>06/07/2023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4,637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23,968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4,637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4,637</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0"/>
              <w:spacing w:after="0" w:line="124"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10"/>
                <w:szCs w:val="10"/>
                <w:color w:val="auto"/>
              </w:rPr>
            </w:pPr>
          </w:p>
        </w:tc>
        <w:tc>
          <w:tcPr>
            <w:tcW w:w="760" w:type="dxa"/>
            <w:vAlign w:val="bottom"/>
          </w:tcPr>
          <w:p>
            <w:pPr>
              <w:jc w:val="center"/>
              <w:ind w:right="281"/>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0000FF"/>
              </w:rPr>
              <w:t>10,061</w:t>
            </w: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24" w:lineRule="exact"/>
              <w:rPr>
                <w:sz w:val="20"/>
                <w:szCs w:val="20"/>
                <w:color w:val="auto"/>
              </w:rPr>
            </w:pPr>
            <w:r>
              <w:rPr>
                <w:rFonts w:ascii="Arial" w:cs="Arial" w:eastAsia="Arial" w:hAnsi="Arial"/>
                <w:sz w:val="13"/>
                <w:szCs w:val="13"/>
                <w:color w:val="0000FF"/>
              </w:rPr>
              <w:t>10,061</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7, 2022 the reporting person was granted 4,637 restricted stock units which vested in full on June 7,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full on the earlier of the first anniversary of the date of grant or the date of the Company's next annual meeting of shareholders.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460"/>
        <w:spacing w:after="0" w:line="245"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Marion Odence-Ford,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08/17/2023</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2023-08-18T08:30:20Z</dcterms:created>
  <dcterms:modified xsi:type="dcterms:W3CDTF">2023-08-18T08:30:20Z</dcterms:modified>
</cp:coreProperties>
</file>