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rPr>
              <w:t>FORM 8-K</w:t>
            </w:r>
          </w:p>
        </w:tc>
        <w:tc>
          <w:tcPr>
            <w:tcW w:w="3200" w:type="dxa"/>
            <w:vAlign w:val="bottom"/>
          </w:tcPr>
          <w:p>
            <w:pPr>
              <w:spacing w:after="0"/>
              <w:rPr>
                <w:sz w:val="20"/>
                <w:szCs w:val="20"/>
                <w:color w:val="auto"/>
              </w:rPr>
            </w:pPr>
          </w:p>
        </w:tc>
      </w:tr>
      <w:tr>
        <w:trPr>
          <w:trHeight w:val="52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0" w:type="dxa"/>
            <w:vAlign w:val="bottom"/>
            <w:gridSpan w:val="5"/>
          </w:tcPr>
          <w:p>
            <w:pPr>
              <w:jc w:val="center"/>
              <w:ind w:right="1600"/>
              <w:spacing w:after="0"/>
              <w:rPr>
                <w:sz w:val="20"/>
                <w:szCs w:val="20"/>
                <w:color w:val="auto"/>
              </w:rPr>
            </w:pPr>
            <w:r>
              <w:rPr>
                <w:rFonts w:ascii="Arial" w:cs="Arial" w:eastAsia="Arial" w:hAnsi="Arial"/>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7"/>
              </w:rPr>
              <w:t>PURSUANT TO SECTION 13 OR 15(d) OF</w:t>
            </w:r>
          </w:p>
        </w:tc>
        <w:tc>
          <w:tcPr>
            <w:tcW w:w="32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456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00" w:type="dxa"/>
            <w:vAlign w:val="bottom"/>
          </w:tcPr>
          <w:p>
            <w:pPr>
              <w:spacing w:after="0"/>
              <w:rPr>
                <w:sz w:val="20"/>
                <w:szCs w:val="20"/>
                <w:color w:val="auto"/>
              </w:rPr>
            </w:pPr>
          </w:p>
        </w:tc>
      </w:tr>
      <w:tr>
        <w:trPr>
          <w:trHeight w:val="432"/>
        </w:trPr>
        <w:tc>
          <w:tcPr>
            <w:tcW w:w="8220" w:type="dxa"/>
            <w:vAlign w:val="bottom"/>
            <w:gridSpan w:val="8"/>
          </w:tcPr>
          <w:p>
            <w:pPr>
              <w:jc w:val="center"/>
              <w:ind w:left="3130"/>
              <w:spacing w:after="0"/>
              <w:rPr>
                <w:sz w:val="20"/>
                <w:szCs w:val="20"/>
                <w:color w:val="auto"/>
              </w:rPr>
            </w:pPr>
            <w:r>
              <w:rPr>
                <w:rFonts w:ascii="Arial" w:cs="Arial" w:eastAsia="Arial" w:hAnsi="Arial"/>
                <w:sz w:val="18"/>
                <w:szCs w:val="18"/>
                <w:color w:val="auto"/>
                <w:w w:val="90"/>
              </w:rPr>
              <w:t>Date of Report (Date of earliest event reported): February 14, 2017</w:t>
            </w:r>
          </w:p>
        </w:tc>
        <w:tc>
          <w:tcPr>
            <w:tcW w:w="3200" w:type="dxa"/>
            <w:vAlign w:val="bottom"/>
          </w:tcPr>
          <w:p>
            <w:pPr>
              <w:spacing w:after="0"/>
              <w:rPr>
                <w:sz w:val="24"/>
                <w:szCs w:val="24"/>
                <w:color w:val="auto"/>
              </w:rPr>
            </w:pPr>
          </w:p>
        </w:tc>
      </w:tr>
      <w:tr>
        <w:trPr>
          <w:trHeight w:val="392"/>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600" w:type="dxa"/>
            <w:vAlign w:val="bottom"/>
            <w:gridSpan w:val="4"/>
          </w:tcPr>
          <w:p>
            <w:pPr>
              <w:spacing w:after="0"/>
              <w:rPr>
                <w:sz w:val="24"/>
                <w:szCs w:val="24"/>
                <w:color w:val="auto"/>
              </w:rPr>
            </w:pPr>
          </w:p>
        </w:tc>
        <w:tc>
          <w:tcPr>
            <w:tcW w:w="3200" w:type="dxa"/>
            <w:vAlign w:val="bottom"/>
          </w:tcPr>
          <w:p>
            <w:pPr>
              <w:spacing w:after="0"/>
              <w:rPr>
                <w:sz w:val="24"/>
                <w:szCs w:val="24"/>
                <w:color w:val="auto"/>
              </w:rPr>
            </w:pPr>
          </w:p>
        </w:tc>
      </w:tr>
      <w:tr>
        <w:trPr>
          <w:trHeight w:val="237"/>
        </w:trPr>
        <w:tc>
          <w:tcPr>
            <w:tcW w:w="3660" w:type="dxa"/>
            <w:vAlign w:val="bottom"/>
          </w:tcPr>
          <w:p>
            <w:pPr>
              <w:spacing w:after="0"/>
              <w:rPr>
                <w:sz w:val="20"/>
                <w:szCs w:val="20"/>
                <w:color w:val="auto"/>
              </w:rPr>
            </w:pPr>
          </w:p>
        </w:tc>
        <w:tc>
          <w:tcPr>
            <w:tcW w:w="4560" w:type="dxa"/>
            <w:vAlign w:val="bottom"/>
            <w:gridSpan w:val="7"/>
          </w:tcPr>
          <w:p>
            <w:pPr>
              <w:jc w:val="center"/>
              <w:ind w:right="4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00" w:type="dxa"/>
            <w:vAlign w:val="bottom"/>
          </w:tcPr>
          <w:p>
            <w:pPr>
              <w:spacing w:after="0"/>
              <w:rPr>
                <w:sz w:val="20"/>
                <w:szCs w:val="20"/>
                <w:color w:val="auto"/>
              </w:rPr>
            </w:pPr>
          </w:p>
        </w:tc>
      </w:tr>
      <w:tr>
        <w:trPr>
          <w:trHeight w:val="432"/>
        </w:trPr>
        <w:tc>
          <w:tcPr>
            <w:tcW w:w="36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60" w:type="dxa"/>
            <w:vAlign w:val="bottom"/>
            <w:gridSpan w:val="3"/>
          </w:tcPr>
          <w:p>
            <w:pPr>
              <w:jc w:val="center"/>
              <w:ind w:left="109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3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8220" w:type="dxa"/>
            <w:vAlign w:val="bottom"/>
            <w:gridSpan w:val="8"/>
          </w:tcPr>
          <w:p>
            <w:pPr>
              <w:jc w:val="center"/>
              <w:ind w:right="680"/>
              <w:spacing w:after="0"/>
              <w:rPr>
                <w:sz w:val="20"/>
                <w:szCs w:val="20"/>
                <w:color w:val="auto"/>
              </w:rPr>
            </w:pPr>
            <w:r>
              <w:rPr>
                <w:rFonts w:ascii="Arial" w:cs="Arial" w:eastAsia="Arial" w:hAnsi="Arial"/>
                <w:sz w:val="18"/>
                <w:szCs w:val="18"/>
                <w:color w:val="auto"/>
                <w:w w:val="90"/>
              </w:rPr>
              <w:t>400 Water Street, Suite 200, Rochester, MI</w:t>
            </w:r>
          </w:p>
        </w:tc>
        <w:tc>
          <w:tcPr>
            <w:tcW w:w="320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24"/>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1274445</wp:posOffset>
            </wp:positionH>
            <wp:positionV relativeFrom="paragraph">
              <wp:posOffset>-130175</wp:posOffset>
            </wp:positionV>
            <wp:extent cx="4707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14, 2017, we issued a press release concerning expanding our Electronic Health Record channel partnerships.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February 14, 2017</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165735</wp:posOffset>
            </wp:positionV>
            <wp:extent cx="3035935"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Continues EHR Channel Partnership Expansion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OptimizeRx Reaches More than 500,000 Healthcare Providers in the U.S.</w:t>
      </w:r>
    </w:p>
    <w:p>
      <w:pPr>
        <w:spacing w:after="0" w:line="22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Rochester, MI (February 14, 2017) </w:t>
      </w:r>
      <w:r>
        <w:rPr>
          <w:rFonts w:ascii="Arial" w:cs="Arial" w:eastAsia="Arial" w:hAnsi="Arial"/>
          <w:sz w:val="18"/>
          <w:szCs w:val="18"/>
          <w:color w:val="auto"/>
        </w:rPr>
        <w:t>OptimizeRx Corp. (OTCQB: OPRX), the leading aggregator of pharmaceutical-sponsored services in Electronic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Record (EHR) platforms, has been significantly expanding its EHR channel partnerships. This has more than doubled its healthcare provider reach in the U.S. to more than 500,000 since 2014.</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most recent partnership additions include exclusive access to Allscripts EHR TouchWorks, with its advanced platform that supports some of the largest integrated delivery networks in the country. It has also signed Eye Care Leaders, a leading provider of practice performance solutions for ophthalmologists and optometrists. OptimizeRx has grown to more than 370 EHR and eRx network partnerships that allow access at point of prescribe to over half of the HCPs in the U.S.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lead physician and patient access company for pharma in the EHR industry, we welcome the new EHR partners to our growing OptimizeRx family, which now represents the healthcare industry’s largest point-of-prescribe promotional network,” said OptimizeRx CEO, William Febbo. “Given how healthcare providers are now spending more than three hours a day on average engaged in their EHR, these additional partners further our mission of enabling physicians to better connect with their patients and help them save money. In the increasingly complex and expensive world of healthcare, we provide a valuable service needed by millions of consumers.”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OptimizeRx’s core services are focused on financial messaging, providing physicians with e-Copay offers and e-vouchers to provide to patients at the point of care. These programs have been successful for many brands, yielding returns on investment from 300 to 1,200 percent. While e-Copay and e-voucher programs has proven to be one of the most effective digital tactics available, brands can be most successful when integrating a suite of digital offerings designed to make the right brand information and services available in the right place to the right customer at the right time.</w:t>
      </w:r>
    </w:p>
    <w:p>
      <w:pPr>
        <w:spacing w:after="0" w:line="17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“Regardless of where a brand is in its lifecycle, an EHR program can help drive better patient outcomes and a strong ROI,” said Febbo. “Given the fragmented nature of the EHR industry, healthcare marketers are looking for a partner that can lead them through this maze of digital brand strategies. OptimizeRx is uniquely positioned to be that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Lilly, Novartis, AstraZeneca and many others. For more information, visit www.optimizerx.com.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OptimizeRx’s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1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2019-12-07T10:13:59Z</dcterms:created>
  <dcterms:modified xsi:type="dcterms:W3CDTF">2019-12-07T10:13:59Z</dcterms:modified>
</cp:coreProperties>
</file>