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23,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1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Nevada</w:t>
            </w:r>
          </w:p>
        </w:tc>
        <w:tc>
          <w:tcPr>
            <w:tcW w:w="3220" w:type="dxa"/>
            <w:vAlign w:val="bottom"/>
          </w:tcPr>
          <w:p>
            <w:pPr>
              <w:jc w:val="right"/>
              <w:ind w:right="1130"/>
              <w:spacing w:after="0"/>
              <w:rPr>
                <w:sz w:val="20"/>
                <w:szCs w:val="20"/>
                <w:color w:val="auto"/>
              </w:rPr>
            </w:pPr>
            <w:r>
              <w:rPr>
                <w:rFonts w:ascii="Arial" w:cs="Arial" w:eastAsia="Arial" w:hAnsi="Arial"/>
                <w:sz w:val="18"/>
                <w:szCs w:val="18"/>
                <w:color w:val="auto"/>
              </w:rPr>
              <w:t>000-53605</w:t>
            </w:r>
          </w:p>
        </w:tc>
        <w:tc>
          <w:tcPr>
            <w:tcW w:w="120" w:type="dxa"/>
            <w:vAlign w:val="bottom"/>
          </w:tcPr>
          <w:p>
            <w:pPr>
              <w:spacing w:after="0"/>
              <w:rPr>
                <w:sz w:val="20"/>
                <w:szCs w:val="20"/>
                <w:color w:val="auto"/>
              </w:rPr>
            </w:pPr>
          </w:p>
        </w:tc>
        <w:tc>
          <w:tcPr>
            <w:tcW w:w="3980" w:type="dxa"/>
            <w:vAlign w:val="bottom"/>
          </w:tcPr>
          <w:p>
            <w:pPr>
              <w:jc w:val="right"/>
              <w:ind w:right="1470"/>
              <w:spacing w:after="0"/>
              <w:rPr>
                <w:sz w:val="20"/>
                <w:szCs w:val="20"/>
                <w:color w:val="auto"/>
              </w:rPr>
            </w:pPr>
            <w:r>
              <w:rPr>
                <w:rFonts w:ascii="Arial" w:cs="Arial" w:eastAsia="Arial" w:hAnsi="Arial"/>
                <w:sz w:val="18"/>
                <w:szCs w:val="18"/>
                <w:color w:val="auto"/>
              </w:rPr>
              <w:t>26-1265381</w:t>
            </w:r>
          </w:p>
        </w:tc>
      </w:tr>
      <w:tr>
        <w:trPr>
          <w:trHeight w:val="230"/>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0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(Commission File Number)</w:t>
            </w:r>
          </w:p>
        </w:tc>
        <w:tc>
          <w:tcPr>
            <w:tcW w:w="12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74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400 Water Street, Suite 200, Rochester, MI</w:t>
            </w:r>
          </w:p>
        </w:tc>
        <w:tc>
          <w:tcPr>
            <w:tcW w:w="3980" w:type="dxa"/>
            <w:vAlign w:val="bottom"/>
          </w:tcPr>
          <w:p>
            <w:pPr>
              <w:jc w:val="right"/>
              <w:ind w:right="1670"/>
              <w:spacing w:after="0"/>
              <w:rPr>
                <w:sz w:val="20"/>
                <w:szCs w:val="20"/>
                <w:color w:val="auto"/>
              </w:rPr>
            </w:pPr>
            <w:r>
              <w:rPr>
                <w:rFonts w:ascii="Arial" w:cs="Arial" w:eastAsia="Arial" w:hAnsi="Arial"/>
                <w:sz w:val="18"/>
                <w:szCs w:val="18"/>
                <w:color w:val="auto"/>
              </w:rPr>
              <w:t>48307</w:t>
            </w:r>
          </w:p>
        </w:tc>
      </w:tr>
      <w:tr>
        <w:trPr>
          <w:trHeight w:val="230"/>
        </w:trPr>
        <w:tc>
          <w:tcPr>
            <w:tcW w:w="73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April 23, 2018, we issued a press release about our partnership with EvidenceCare, a Nashville-based provider of a cloud-based clinical decision support (CDS) tool for individual clinicians, hospitals and clinics. A copy of the press release is attached as Exhibit 99.1 to this Current Report on Form 8-K.</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EE"/>
          </w:rPr>
          <w:t>Press release, dated April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2018</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187960</wp:posOffset>
            </wp:positionV>
            <wp:extent cx="22637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7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Partners with EvidenceCare to Deliver Real-time Medication Messaging to Hospitals</w:t>
      </w:r>
    </w:p>
    <w:p>
      <w:pPr>
        <w:spacing w:after="0" w:line="225"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ROCHESTER, Mich., &amp; NASHVILLE, Tenn., (April 23, 2018) — </w:t>
      </w:r>
      <w:r>
        <w:rPr>
          <w:rFonts w:ascii="Arial" w:cs="Arial" w:eastAsia="Arial" w:hAnsi="Arial"/>
          <w:sz w:val="18"/>
          <w:szCs w:val="18"/>
          <w:color w:val="auto"/>
        </w:rPr>
        <w:t>OptimizeRx Corp</w:t>
      </w:r>
      <w:r>
        <w:rPr>
          <w:rFonts w:ascii="Arial" w:cs="Arial" w:eastAsia="Arial" w:hAnsi="Arial"/>
          <w:sz w:val="18"/>
          <w:szCs w:val="18"/>
          <w:color w:val="1155CC"/>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(OTCQB: OPRX), the nation’s leading provider of digital health</w:t>
      </w:r>
      <w:r>
        <w:rPr>
          <w:rFonts w:ascii="Arial" w:cs="Arial" w:eastAsia="Arial" w:hAnsi="Arial"/>
          <w:sz w:val="18"/>
          <w:szCs w:val="18"/>
          <w:b w:val="1"/>
          <w:bCs w:val="1"/>
          <w:color w:val="auto"/>
        </w:rPr>
        <w:t xml:space="preserve"> </w:t>
      </w:r>
      <w:r>
        <w:rPr>
          <w:rFonts w:ascii="Arial" w:cs="Arial" w:eastAsia="Arial" w:hAnsi="Arial"/>
          <w:sz w:val="18"/>
          <w:szCs w:val="18"/>
          <w:color w:val="auto"/>
        </w:rPr>
        <w:t>messaging for the pharmaceutical industry, has partnered with EvidenceCare, a Nashville-based provider of a cloud-based clinical decision support (CDS) tool for individual clinicians, hospitals and clinics.</w:t>
      </w:r>
    </w:p>
    <w:p>
      <w:pPr>
        <w:spacing w:after="0" w:line="1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EvidenceCare’s network consists of more than 5,000 users, including hospitals, that layer the EvidenceCare CDS tool onto electronic health records (EHRs). The partnership allows EvidenceCare to deliver OptimizeRx’s digital health messaging to healthcare providers at the point-of-care, including financial, clinical and brand messaging for pharmaceutical companies. The integration is expected to be complete by the end of April.</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partnership with EvidenceCare represents a major milestone in terms of expanding our distribution of digital health messaging beyond the ambulatory setting and into hospitals,” noted OptimizeRx president, Miriam Paramore. “It also means we will be able to integrate for the first time with industry-leading EHR vendors that have a strong presence in the hospital space. Together with EvidenceCare and these EHRs, we increase the likelihood that healthcare providers select the best medication for their patients, while helping patients save money and be better educated about their prescriptions.”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Unlike any other tool on the market, EvidenceCare provides clinicians with access to reliable, evidence-based treatment recommendations at the bedside in as little as 30 seconds. Designed by physicians and curated by leading physician experts and medical societies, patient-specific protocols are made available to healthcare providers via a web-based application with EHR integration that streamlines workflows. The company launched its enterprise version to hospitals in 2017.</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“EvidenceCare and OptimizeRx will provide information in a way that enhances the care process at hospitals for both patients and providers,” said EvidenceCare CEO, Brian Fengler, MD. “Partnering with OptimizeRx allows us to deliver valuable messaging that can help clinicians provide better quality care, as well as incredible financial value to the patient. This has always been the goal of our technology.”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an ER physician, I realized early on that it is impossible for even the best-trained physician to know everything, and few have ready access to information that supports timely evidence-based decisions,” continued Dr. Fengler. “Our clinical decision support tool, which has now been further enhanced by OptimizeRx, puts this information into their hands when they need it most.”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EvidenceCare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Nashville-based EvidenceCare is a clinical decision support publishing platform designed by emergency physician Dr. Brian Fengler. Unlike any tool on the market, EvidenceCare provides clinicians with access to patient-specific, evidence-based treatment recommendations at the bedside in as little as 30 seconds. Since its launch in July 2016, the company’s proprietary content publishing platform is delivering protocols authored by industry-leading experts to healthcare providers worldwide. To learn more, visit www.evidence.care.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education, and critical clinical information. The company’s network is comprised of leading EHR platforms like Allscripts, Amazing Charts and Quest, and provides more than half a million healthcare providers access to these benefits within their workflow at the point of care. For more information, follow the company on Twitter, LinkedIn or visit www.optimizerx.com.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2019-12-28T22:57:10Z</dcterms:created>
  <dcterms:modified xsi:type="dcterms:W3CDTF">2019-12-28T22:57:10Z</dcterms:modified>
</cp:coreProperties>
</file>