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200" w:type="dxa"/>
            <w:vAlign w:val="bottom"/>
            <w:gridSpan w:val="9"/>
          </w:tcPr>
          <w:p>
            <w:pPr>
              <w:jc w:val="center"/>
              <w:ind w:left="150"/>
              <w:spacing w:after="0"/>
              <w:rPr>
                <w:sz w:val="20"/>
                <w:szCs w:val="20"/>
                <w:color w:val="auto"/>
              </w:rPr>
            </w:pPr>
            <w:r>
              <w:rPr>
                <w:rFonts w:ascii="Arial" w:cs="Arial" w:eastAsia="Arial" w:hAnsi="Arial"/>
                <w:sz w:val="18"/>
                <w:szCs w:val="18"/>
                <w:color w:val="auto"/>
                <w:w w:val="90"/>
              </w:rPr>
              <w:t>Date of Report (Date of earliest event reported): December 17, 2018</w:t>
            </w:r>
          </w:p>
        </w:tc>
        <w:tc>
          <w:tcPr>
            <w:tcW w:w="322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620" w:type="dxa"/>
            <w:vAlign w:val="bottom"/>
            <w:gridSpan w:val="6"/>
          </w:tcPr>
          <w:p>
            <w:pPr>
              <w:jc w:val="center"/>
              <w:ind w:left="17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5"/>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December 18, 2018, OptimizeRx Corporation (the “Company”) and WPP Luxembourg Gamma Three S.à r.l. (the “Selling Shareholder”) entered into an underwriting agreement (the “Underwriting Agreement”) with William Blair &amp; Company L.L.C. and B. Riley FBR, Inc., as representatives of the several underwriters (collectively, the “Underwriters”), relating to an underwritten public offering of 2,103,702 shares (the “Shares”) of the Company’s common stock, par value $0.001 per share (the “Common Stock”), all of which are being sold by the Selling Shareholder (the “Offering”). The offering price of the Shares to the public is $10.00 per share. The Company will not receive any of the proceeds from the sale of the Shares by the Selling Shareholder.</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terms of the Underwriting Agreement, the Company has granted the Underwriters an option, exercisable for 30 days, to purchase up to an additional 315,555 shares of Common Stock from the Company (the “Additional Shares”) on the same terms and conditions as the sale of the Shares. If the Underwriters’ option to purchase the Additional Shares is exercised in full, the Company expects to receive net proceeds of approximately $2.9 million, after underwriting discounts and commissions and estimated offering expenses.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and the Selling Shareholder, indemnification obligations of the Company, Selling Shareholder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Underwriting Agreement is attached as Exhibit 1.1 hereto, and the description of the terms of the Underwriting Agreement is qualified in its entirety by reference to such exhibit. A copy of the opinion of The Doney Law Firm relating to the legality of the issuance and sale of the Shares and Additional Shares is attached as Exhibit 5.1 hereto.</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December 17, 2018, the Company issued a press release announcing that it had commenced the Offering. On December 18, 2018, the Company issued a press release announcing the pricing of the Offering. Copies of these press releases are attached as Exhibits 99.1 and 99.2 hereto.</w:t>
      </w:r>
    </w:p>
    <w:p>
      <w:pPr>
        <w:spacing w:after="0" w:line="12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Neither the disclosures on this Form 8-K nor the attached press releases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ectPr>
          <w:pgSz w:w="11900" w:h="16838" w:orient="portrait"/>
          <w:cols w:equalWidth="0" w:num="1">
            <w:col w:w="11380"/>
          </w:cols>
          <w:pgMar w:left="240" w:top="904" w:right="279" w:bottom="1440" w:gutter="0" w:footer="0" w:header="0"/>
        </w:sectPr>
      </w:pP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60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39370</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5180" w:space="720"/>
            <w:col w:w="5480"/>
          </w:cols>
          <w:pgMar w:left="240" w:top="904" w:right="279" w:bottom="1440" w:gutter="0" w:footer="0" w:header="0"/>
          <w:type w:val="continuous"/>
        </w:sectPr>
      </w:pPr>
    </w:p>
    <w:p>
      <w:pPr>
        <w:ind w:left="460"/>
        <w:spacing w:after="0"/>
        <w:tabs>
          <w:tab w:leader="none" w:pos="12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Underwriting Agreement dated December 18, 2018</w:t>
      </w:r>
    </w:p>
    <w:p>
      <w:pPr>
        <w:spacing w:after="0" w:line="23"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The Doney Law Firm</w:t>
      </w:r>
    </w:p>
    <w:p>
      <w:pPr>
        <w:spacing w:after="0" w:line="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The Doney Law Firm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December 17, 2018</w:t>
      </w:r>
    </w:p>
    <w:p>
      <w:pPr>
        <w:spacing w:after="0" w:line="9"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u w:val="single" w:color="auto"/>
          <w:color w:val="0000EE"/>
        </w:rPr>
        <w:t>Press Release dated December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December 18, 2018</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2,103,702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December 18,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RILEY FBR,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FBR,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1300 17th Street N.,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Arlington, VA 22209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The selling shareholder named in Schedule I hereto (the </w:t>
      </w:r>
      <w:r>
        <w:rPr>
          <w:rFonts w:ascii="Arial" w:cs="Arial" w:eastAsia="Arial" w:hAnsi="Arial"/>
          <w:sz w:val="16"/>
          <w:szCs w:val="16"/>
          <w:b w:val="1"/>
          <w:bCs w:val="1"/>
          <w:i w:val="1"/>
          <w:iCs w:val="1"/>
          <w:color w:val="auto"/>
        </w:rPr>
        <w:t>“Selling Shareholder</w:t>
      </w:r>
      <w:r>
        <w:rPr>
          <w:rFonts w:ascii="Arial" w:cs="Arial" w:eastAsia="Arial" w:hAnsi="Arial"/>
          <w:sz w:val="16"/>
          <w:szCs w:val="16"/>
          <w:color w:val="auto"/>
        </w:rPr>
        <w:t xml:space="preserve">”) proposes to sell to the several Underwriters named in Schedule II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xml:space="preserve">) an aggregate of 2,103,702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xml:space="preserve">) of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of OptimizeRx Corporation,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The Company has also granted to the several Underwriters an option to purchase up to 315,555 additional shares of Common Stock on the terms and for the purposes set forth in Section 4 hereof (collectively, the </w:t>
      </w:r>
      <w:r>
        <w:rPr>
          <w:rFonts w:ascii="Arial" w:cs="Arial" w:eastAsia="Arial" w:hAnsi="Arial"/>
          <w:sz w:val="16"/>
          <w:szCs w:val="16"/>
          <w:b w:val="1"/>
          <w:bCs w:val="1"/>
          <w:i w:val="1"/>
          <w:iCs w:val="1"/>
          <w:color w:val="auto"/>
        </w:rPr>
        <w:t>“Option Shares”</w:t>
      </w:r>
      <w:r>
        <w:rPr>
          <w:rFonts w:ascii="Arial" w:cs="Arial" w:eastAsia="Arial" w:hAnsi="Arial"/>
          <w:sz w:val="16"/>
          <w:szCs w:val="16"/>
          <w:color w:val="auto"/>
        </w:rPr>
        <w:t xml:space="preserve">). The Firm Shares and any Option Shares purchased pursuant to this Underwriting Agreement are herein collectively called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p>
    <w:p>
      <w:pPr>
        <w:spacing w:after="0" w:line="15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The Company and the Selling Shareholder hereby confirm their agreement with respect to the sale of the Securities to the several Underwriters, for whom William Blair &amp; Company, L.L.C. and B. Riley FBR, Inc.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“you”</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60" w:hanging="4"/>
        <w:spacing w:after="0" w:line="284" w:lineRule="auto"/>
        <w:tabs>
          <w:tab w:leader="none" w:pos="840" w:val="left"/>
        </w:tabs>
        <w:numPr>
          <w:ilvl w:val="0"/>
          <w:numId w:val="3"/>
        </w:numPr>
        <w:rPr>
          <w:rFonts w:ascii="Arial" w:cs="Arial" w:eastAsia="Arial" w:hAnsi="Arial"/>
          <w:sz w:val="16"/>
          <w:szCs w:val="16"/>
          <w:color w:val="010000"/>
        </w:rPr>
      </w:pPr>
      <w:r>
        <w:rPr>
          <w:rFonts w:ascii="Arial" w:cs="Arial" w:eastAsia="Arial" w:hAnsi="Arial"/>
          <w:sz w:val="16"/>
          <w:szCs w:val="16"/>
          <w:b w:val="1"/>
          <w:bCs w:val="1"/>
          <w:i w:val="1"/>
          <w:iCs w:val="1"/>
          <w:color w:val="auto"/>
        </w:rPr>
        <w:t>Registration Statement and Prospectus</w:t>
      </w:r>
      <w:r>
        <w:rPr>
          <w:rFonts w:ascii="Arial" w:cs="Arial" w:eastAsia="Arial" w:hAnsi="Arial"/>
          <w:sz w:val="16"/>
          <w:szCs w:val="16"/>
          <w:color w:val="auto"/>
        </w:rPr>
        <w:t>. A shelf registration statement on Form S-3 (File No. 333-228357) with respect to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preliminary form of base prospectus, has been prepared by the Company in conformity with the requirements of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rules and regulations (</w:t>
      </w:r>
      <w:r>
        <w:rPr>
          <w:rFonts w:ascii="Arial" w:cs="Arial" w:eastAsia="Arial" w:hAnsi="Arial"/>
          <w:sz w:val="16"/>
          <w:szCs w:val="16"/>
          <w:b w:val="1"/>
          <w:bCs w:val="1"/>
          <w:i w:val="1"/>
          <w:iCs w:val="1"/>
          <w:color w:val="auto"/>
        </w:rPr>
        <w:t>“Rules and Regulations”</w:t>
      </w:r>
      <w:r>
        <w:rPr>
          <w:rFonts w:ascii="Arial" w:cs="Arial" w:eastAsia="Arial" w:hAnsi="Arial"/>
          <w:sz w:val="16"/>
          <w:szCs w:val="16"/>
          <w:color w:val="auto"/>
        </w:rPr>
        <w:t xml:space="preserve">)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thereunder and has been filed with the Commission. Such registration statement, including the amendments, exhibits and schedules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thereto, as of the time it became effective, including the Rule 430B Information (as defined below), is referred to herein as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prepare and file a prospectus supplement pursuant to Rule 424(b) of the Rules and Regulations that discloses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previously omitted from the Base Prospectus (as defined below) in the Registration Statement in reliance upon Rule 430B of the Rules and Regulations, which information will be deemed retroactively to be a part of the Registration Statement in accordance with Rule 430B of the Rules and Regulations (</w:t>
      </w:r>
      <w:r>
        <w:rPr>
          <w:rFonts w:ascii="Arial" w:cs="Arial" w:eastAsia="Arial" w:hAnsi="Arial"/>
          <w:sz w:val="16"/>
          <w:szCs w:val="16"/>
          <w:b w:val="1"/>
          <w:bCs w:val="1"/>
          <w:i w:val="1"/>
          <w:iCs w:val="1"/>
          <w:color w:val="auto"/>
        </w:rPr>
        <w:t>“Rule 430B Information”</w:t>
      </w:r>
      <w:r>
        <w:rPr>
          <w:rFonts w:ascii="Arial" w:cs="Arial" w:eastAsia="Arial" w:hAnsi="Arial"/>
          <w:sz w:val="16"/>
          <w:szCs w:val="16"/>
          <w:color w:val="auto"/>
        </w:rPr>
        <w:t xml:space="preserve">). If the Company has elected to rely upon Rule 462(b) of the Rules and Regulations to increase the size of the offering registered under the Act, the Company will prepare and file with the Commission a registration statement with respect to such increase pursuant to Rule 462(b) of the Rules and Regulations (such registration statement, including the contents of the Registration Statement incorporated by reference therein is the </w:t>
      </w:r>
      <w:r>
        <w:rPr>
          <w:rFonts w:ascii="Arial" w:cs="Arial" w:eastAsia="Arial" w:hAnsi="Arial"/>
          <w:sz w:val="16"/>
          <w:szCs w:val="16"/>
          <w:b w:val="1"/>
          <w:bCs w:val="1"/>
          <w:i w:val="1"/>
          <w:iCs w:val="1"/>
          <w:color w:val="auto"/>
        </w:rPr>
        <w:t>“Rule 462(b) Registration Statement”</w:t>
      </w:r>
      <w:r>
        <w:rPr>
          <w:rFonts w:ascii="Arial" w:cs="Arial" w:eastAsia="Arial" w:hAnsi="Arial"/>
          <w:sz w:val="16"/>
          <w:szCs w:val="16"/>
          <w:color w:val="auto"/>
        </w:rPr>
        <w:t xml:space="preserve">). References herein to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xml:space="preserve"> will be deemed to include the Rule 462(b) Registration Statement at and after the time of filing of the Rule 462(b) Registration Statement. </w:t>
      </w:r>
      <w:r>
        <w:rPr>
          <w:rFonts w:ascii="Arial" w:cs="Arial" w:eastAsia="Arial" w:hAnsi="Arial"/>
          <w:sz w:val="16"/>
          <w:szCs w:val="16"/>
          <w:b w:val="1"/>
          <w:bCs w:val="1"/>
          <w:i w:val="1"/>
          <w:iCs w:val="1"/>
          <w:color w:val="auto"/>
        </w:rPr>
        <w:t>“Base Prospectus</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base prospectus contained in the Registration Statement at the time of effectiveness of the Registration Statement.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xml:space="preserve"> means any preliminary prospectus supplement to the Base Prospectus which is used prior to the filing of the Prospectus, together with the Base Prospectus.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means the prospectus supplement that discloses the public offering price and other final terms of the Securities and the offering and otherwise satisfies Section 10(a) of the Act that is filed pursuant to Rule 424(b) after the execution of this Agreement, together with the Base Prospectus. Any reference herein to the Registration Statement, the Base Prospectus, any Preliminary Prospectus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on or before the effective date of the Registration Statement or the issue date of the Base Prospectus, any Preliminary Prospectus or the Prospectus, as the case may be; and any reference herein to the terms “amend,” “amendment” or “supplement” with respect to the Registration Statement, the Base Prospectus, any Preliminary Prospectus or the Prospectus shall be deemed to refer to and include the filing of any document under the Exchange Act after the effective date of the Registration Statement or the issue date of the Base Prospectus, any Preliminary Prospectus or the Prospectus, as the case may be, deemed to be incorporated by reference therein. All references in this Agreement to the Registration Statement, Base Prospectus, any Preliminary Prospectus, the Prospectus or any amendment or supplement to any of the foregoing, is deemed to include the copy filed with the Commission pursuant to its Electronic Data Gathering, Analysis and Retrieval System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or any successor system thereto.</w:t>
      </w:r>
    </w:p>
    <w:p>
      <w:pPr>
        <w:spacing w:after="0" w:line="39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All references herein to the Registration Statement, any Preliminary Prospectus or a Prospectus shall be deemed as of any time to include the documents and information incorporated therein by reference in accordance with the Rules and Regulations.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184" w:hanging="184"/>
        <w:spacing w:after="0"/>
        <w:tabs>
          <w:tab w:leader="none" w:pos="184" w:val="left"/>
        </w:tabs>
        <w:numPr>
          <w:ilvl w:val="0"/>
          <w:numId w:val="4"/>
        </w:numPr>
        <w:rPr>
          <w:rFonts w:ascii="Arial" w:cs="Arial" w:eastAsia="Arial" w:hAnsi="Arial"/>
          <w:sz w:val="16"/>
          <w:szCs w:val="16"/>
          <w:color w:val="010000"/>
        </w:rPr>
      </w:pPr>
      <w:r>
        <w:rPr>
          <w:rFonts w:ascii="Arial" w:cs="Arial" w:eastAsia="Arial" w:hAnsi="Arial"/>
          <w:sz w:val="16"/>
          <w:szCs w:val="16"/>
          <w:b w:val="1"/>
          <w:bCs w:val="1"/>
          <w:i w:val="1"/>
          <w:iCs w:val="1"/>
          <w:color w:val="auto"/>
        </w:rPr>
        <w:t xml:space="preserve">Representations and Warranties of the Company. </w:t>
      </w:r>
      <w:r>
        <w:rPr>
          <w:rFonts w:ascii="Arial" w:cs="Arial" w:eastAsia="Arial" w:hAnsi="Arial"/>
          <w:sz w:val="16"/>
          <w:szCs w:val="16"/>
          <w:color w:val="auto"/>
        </w:rPr>
        <w:t>The Company represents and warrants to, and agrees with, each Underwriter as follows:</w:t>
      </w:r>
    </w:p>
    <w:p>
      <w:pPr>
        <w:spacing w:after="0" w:line="248" w:lineRule="exact"/>
        <w:rPr>
          <w:rFonts w:ascii="Arial" w:cs="Arial" w:eastAsia="Arial" w:hAnsi="Arial"/>
          <w:sz w:val="16"/>
          <w:szCs w:val="16"/>
          <w:color w:val="010000"/>
        </w:rPr>
      </w:pPr>
    </w:p>
    <w:p>
      <w:pPr>
        <w:ind w:left="4" w:right="60" w:firstLine="645"/>
        <w:spacing w:after="0" w:line="270" w:lineRule="auto"/>
        <w:tabs>
          <w:tab w:leader="none" w:pos="897" w:val="left"/>
        </w:tabs>
        <w:numPr>
          <w:ilvl w:val="1"/>
          <w:numId w:val="4"/>
        </w:numPr>
        <w:rPr>
          <w:rFonts w:ascii="Arial" w:cs="Arial" w:eastAsia="Arial" w:hAnsi="Arial"/>
          <w:sz w:val="17"/>
          <w:szCs w:val="17"/>
          <w:color w:val="010000"/>
        </w:rPr>
      </w:pPr>
      <w:r>
        <w:rPr>
          <w:rFonts w:ascii="Arial" w:cs="Arial" w:eastAsia="Arial" w:hAnsi="Arial"/>
          <w:sz w:val="17"/>
          <w:szCs w:val="17"/>
          <w:i w:val="1"/>
          <w:iCs w:val="1"/>
          <w:u w:val="single" w:color="auto"/>
          <w:color w:val="auto"/>
        </w:rPr>
        <w:t>Registration Statement and Prospectuses</w:t>
      </w:r>
      <w:r>
        <w:rPr>
          <w:rFonts w:ascii="Arial" w:cs="Arial" w:eastAsia="Arial" w:hAnsi="Arial"/>
          <w:sz w:val="17"/>
          <w:szCs w:val="17"/>
          <w:color w:val="auto"/>
        </w:rPr>
        <w:t>. The Registration Statement and any post-effective amendment thereto has become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Act. No stop order suspending the effectiveness of the Registration Statement or any post-effective amendment thereto has been issued, and no proceeding for that purpose has been initiated or, to the Company’s knowledge, threatened by the Commission. No order preventing or suspending the use of any Preliminary Prospectus or the Prospectus (or any supplement thereto) has been issued by the Commission and no proceeding for that purpose has been initiated or, to the Company’s knowledge, threatened by the Commission. As of the time each part of the Registration Statement (or any post-effective amendment thereto) became or becomes effective,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conditions to the use of Form S-3 in connection with the offering and sale of the Securities as contemplated hereby have been satisfied.</w:t>
      </w:r>
    </w:p>
    <w:p>
      <w:pPr>
        <w:spacing w:after="0" w:line="177" w:lineRule="exact"/>
        <w:rPr>
          <w:rFonts w:ascii="Arial" w:cs="Arial" w:eastAsia="Arial" w:hAnsi="Arial"/>
          <w:sz w:val="17"/>
          <w:szCs w:val="17"/>
          <w:color w:val="010000"/>
        </w:rPr>
      </w:pPr>
    </w:p>
    <w:p>
      <w:pPr>
        <w:ind w:left="4" w:firstLine="645"/>
        <w:spacing w:after="0" w:line="285" w:lineRule="auto"/>
        <w:tabs>
          <w:tab w:leader="none" w:pos="907" w:val="left"/>
        </w:tabs>
        <w:numPr>
          <w:ilvl w:val="1"/>
          <w:numId w:val="4"/>
        </w:numPr>
        <w:rPr>
          <w:rFonts w:ascii="Arial" w:cs="Arial" w:eastAsia="Arial" w:hAnsi="Arial"/>
          <w:sz w:val="16"/>
          <w:szCs w:val="16"/>
          <w:color w:val="010000"/>
        </w:rPr>
      </w:pPr>
      <w:r>
        <w:rPr>
          <w:rFonts w:ascii="Arial" w:cs="Arial" w:eastAsia="Arial" w:hAnsi="Arial"/>
          <w:sz w:val="16"/>
          <w:szCs w:val="16"/>
          <w:i w:val="1"/>
          <w:iCs w:val="1"/>
          <w:u w:val="single" w:color="auto"/>
          <w:color w:val="auto"/>
        </w:rPr>
        <w:t>Accurate Disclosure</w:t>
      </w:r>
      <w:r>
        <w:rPr>
          <w:rFonts w:ascii="Arial" w:cs="Arial" w:eastAsia="Arial" w:hAnsi="Arial"/>
          <w:sz w:val="16"/>
          <w:szCs w:val="16"/>
          <w:color w:val="auto"/>
        </w:rPr>
        <w:t>. Each Preliminary Prospectus, at the time of filing thereof or the time of first use within the meaning of the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Date,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2(b)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8(f) (the “</w:t>
      </w:r>
      <w:r>
        <w:rPr>
          <w:rFonts w:ascii="Arial" w:cs="Arial" w:eastAsia="Arial" w:hAnsi="Arial"/>
          <w:sz w:val="16"/>
          <w:szCs w:val="16"/>
          <w:b w:val="1"/>
          <w:bCs w:val="1"/>
          <w:i w:val="1"/>
          <w:iCs w:val="1"/>
          <w:color w:val="auto"/>
        </w:rPr>
        <w:t>Underwriters Information</w:t>
      </w:r>
      <w:r>
        <w:rPr>
          <w:rFonts w:ascii="Arial" w:cs="Arial" w:eastAsia="Arial" w:hAnsi="Arial"/>
          <w:sz w:val="16"/>
          <w:szCs w:val="16"/>
          <w:color w:val="auto"/>
        </w:rPr>
        <w:t>”).</w:t>
      </w:r>
    </w:p>
    <w:p>
      <w:pPr>
        <w:spacing w:after="0" w:line="384"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Each reference to an </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xml:space="preserve"> herein means an issuer free writing prospectus as defined in Rule 433 of the Rules and Regulations.</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December 17, 2018, any free writing prospectus set forth on Schedule IV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information on Schedule V, all considered together.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reference to a </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xml:space="preserve"> herein means a free writing prospectus as defined in Rule 405 of the Rules and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8:30 a.m. (New York time) on the date of this Agreement.</w:t>
      </w:r>
    </w:p>
    <w:p>
      <w:pPr>
        <w:spacing w:after="0" w:line="225" w:lineRule="exact"/>
        <w:rPr>
          <w:sz w:val="20"/>
          <w:szCs w:val="20"/>
          <w:color w:val="auto"/>
        </w:rPr>
      </w:pPr>
    </w:p>
    <w:p>
      <w:pPr>
        <w:ind w:left="1540" w:hanging="235"/>
        <w:spacing w:after="0"/>
        <w:tabs>
          <w:tab w:leader="none" w:pos="1540" w:val="left"/>
        </w:tabs>
        <w:numPr>
          <w:ilvl w:val="0"/>
          <w:numId w:val="5"/>
        </w:numPr>
        <w:rPr>
          <w:rFonts w:ascii="Arial" w:cs="Arial" w:eastAsia="Arial" w:hAnsi="Arial"/>
          <w:sz w:val="18"/>
          <w:szCs w:val="18"/>
          <w:color w:val="010000"/>
        </w:rPr>
      </w:pPr>
      <w:r>
        <w:rPr>
          <w:rFonts w:ascii="Arial" w:cs="Arial" w:eastAsia="Arial" w:hAnsi="Arial"/>
          <w:sz w:val="18"/>
          <w:szCs w:val="18"/>
          <w:i w:val="1"/>
          <w:iCs w:val="1"/>
          <w:u w:val="single" w:color="auto"/>
          <w:color w:val="auto"/>
        </w:rPr>
        <w:t>Issuer Free Writing Prospectuses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80" w:firstLine="653"/>
        <w:spacing w:after="0" w:line="255" w:lineRule="auto"/>
        <w:tabs>
          <w:tab w:leader="none" w:pos="2163" w:val="left"/>
        </w:tabs>
        <w:numPr>
          <w:ilvl w:val="1"/>
          <w:numId w:val="5"/>
        </w:numPr>
        <w:rPr>
          <w:rFonts w:ascii="Arial" w:cs="Arial" w:eastAsia="Arial" w:hAnsi="Arial"/>
          <w:sz w:val="18"/>
          <w:szCs w:val="18"/>
          <w:color w:val="010000"/>
        </w:rPr>
      </w:pPr>
      <w:r>
        <w:rPr>
          <w:rFonts w:ascii="Arial" w:cs="Arial" w:eastAsia="Arial" w:hAnsi="Arial"/>
          <w:sz w:val="18"/>
          <w:szCs w:val="18"/>
          <w:color w:val="auto"/>
        </w:rPr>
        <w:t>Each issuer free writing prospectus, as of its issue date and at all subsequent times through the completion of the public offer and sale of the Securities or until any earlier date that the Company notified or notifies the Representatives as described in Section 5(c)(ii), did not, does not and will not include any information that conflicted, conflicts or will conflict with the information contained in the Registration Statement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Underwriters Information.</w:t>
      </w:r>
    </w:p>
    <w:p>
      <w:pPr>
        <w:spacing w:after="0" w:line="189" w:lineRule="exact"/>
        <w:rPr>
          <w:rFonts w:ascii="Arial" w:cs="Arial" w:eastAsia="Arial" w:hAnsi="Arial"/>
          <w:sz w:val="18"/>
          <w:szCs w:val="18"/>
          <w:color w:val="010000"/>
        </w:rPr>
      </w:pPr>
    </w:p>
    <w:p>
      <w:pPr>
        <w:ind w:left="1300" w:firstLine="653"/>
        <w:spacing w:after="0" w:line="259" w:lineRule="auto"/>
        <w:tabs>
          <w:tab w:leader="none" w:pos="2213" w:val="left"/>
        </w:tabs>
        <w:numPr>
          <w:ilvl w:val="1"/>
          <w:numId w:val="5"/>
        </w:numPr>
        <w:rPr>
          <w:rFonts w:ascii="Arial" w:cs="Arial" w:eastAsia="Arial" w:hAnsi="Arial"/>
          <w:sz w:val="18"/>
          <w:szCs w:val="18"/>
          <w:color w:val="010000"/>
        </w:rPr>
      </w:pPr>
      <w:r>
        <w:rPr>
          <w:rFonts w:ascii="Arial" w:cs="Arial" w:eastAsia="Arial" w:hAnsi="Arial"/>
          <w:sz w:val="18"/>
          <w:szCs w:val="18"/>
          <w:color w:val="auto"/>
        </w:rPr>
        <w:t>At the time of filing the Registration Statement and any post-effective amendment thereto, and at the date hereof, the Company was not and is not an “ineligible issuer,” as defined in Rule 405 of the Rules and Regulations, without taking account of any determination by the Commission pursuant to Rule 405 of the Rules and Regulations that it is not necessary that the Company be considered an ineligible issuer.</w:t>
      </w:r>
    </w:p>
    <w:p>
      <w:pPr>
        <w:spacing w:after="0" w:line="186" w:lineRule="exact"/>
        <w:rPr>
          <w:rFonts w:ascii="Arial" w:cs="Arial" w:eastAsia="Arial" w:hAnsi="Arial"/>
          <w:sz w:val="18"/>
          <w:szCs w:val="18"/>
          <w:color w:val="010000"/>
        </w:rPr>
      </w:pPr>
    </w:p>
    <w:p>
      <w:pPr>
        <w:ind w:left="1300" w:right="360" w:firstLine="653"/>
        <w:spacing w:after="0" w:line="308" w:lineRule="auto"/>
        <w:tabs>
          <w:tab w:leader="none" w:pos="2263" w:val="left"/>
        </w:tabs>
        <w:numPr>
          <w:ilvl w:val="1"/>
          <w:numId w:val="5"/>
        </w:numPr>
        <w:rPr>
          <w:rFonts w:ascii="Arial" w:cs="Arial" w:eastAsia="Arial" w:hAnsi="Arial"/>
          <w:sz w:val="17"/>
          <w:szCs w:val="17"/>
          <w:color w:val="010000"/>
        </w:rPr>
      </w:pPr>
      <w:r>
        <w:rPr>
          <w:rFonts w:ascii="Arial" w:cs="Arial" w:eastAsia="Arial" w:hAnsi="Arial"/>
          <w:sz w:val="17"/>
          <w:szCs w:val="17"/>
          <w:color w:val="auto"/>
        </w:rPr>
        <w:t>Each issuer free writing prospectus satisfied, as of its issue date and at all subsequent times through the completion of the public offer and sale of the Securities, all other conditions to use thereof as set forth in Rules 164 and 433 under the Act.</w:t>
      </w:r>
    </w:p>
    <w:p>
      <w:pPr>
        <w:spacing w:after="0" w:line="146" w:lineRule="exact"/>
        <w:rPr>
          <w:rFonts w:ascii="Arial" w:cs="Arial" w:eastAsia="Arial" w:hAnsi="Arial"/>
          <w:sz w:val="17"/>
          <w:szCs w:val="17"/>
          <w:color w:val="010000"/>
        </w:rPr>
      </w:pPr>
    </w:p>
    <w:p>
      <w:pPr>
        <w:ind w:left="660" w:right="20" w:firstLine="645"/>
        <w:spacing w:after="0" w:line="272" w:lineRule="auto"/>
        <w:tabs>
          <w:tab w:leader="none" w:pos="1563" w:val="left"/>
        </w:tabs>
        <w:numPr>
          <w:ilvl w:val="0"/>
          <w:numId w:val="5"/>
        </w:numPr>
        <w:rPr>
          <w:rFonts w:ascii="Arial" w:cs="Arial" w:eastAsia="Arial" w:hAnsi="Arial"/>
          <w:sz w:val="17"/>
          <w:szCs w:val="17"/>
          <w:color w:val="010000"/>
        </w:rPr>
      </w:pPr>
      <w:r>
        <w:rPr>
          <w:rFonts w:ascii="Arial" w:cs="Arial" w:eastAsia="Arial" w:hAnsi="Arial"/>
          <w:sz w:val="17"/>
          <w:szCs w:val="17"/>
          <w:i w:val="1"/>
          <w:iCs w:val="1"/>
          <w:u w:val="single" w:color="auto"/>
          <w:color w:val="auto"/>
        </w:rPr>
        <w:t>No Other Offering Materials</w:t>
      </w:r>
      <w:r>
        <w:rPr>
          <w:rFonts w:ascii="Arial" w:cs="Arial" w:eastAsia="Arial" w:hAnsi="Arial"/>
          <w:sz w:val="17"/>
          <w:szCs w:val="17"/>
          <w:color w:val="auto"/>
        </w:rPr>
        <w:t>. The Company has not distributed and will not distribute any prospectus or other offering material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connection with the offering and sale of the Securities other than any Preliminary Prospectus, the Time of Sale Disclosure Package or the Prospectus or other materials permitted by the Act to be distributed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except as set forth on Schedule IV hereto and in accordance with the provisions of Section 5(o) of this Agreement, the Company has not made and will not make any offer relating to the Securities that would constitute a free writing prospectus. The Company has not made and will not make any communication relating to the Securities that would constitute a Testing-the-Waters Communication. </w:t>
      </w:r>
      <w:r>
        <w:rPr>
          <w:rFonts w:ascii="Arial" w:cs="Arial" w:eastAsia="Arial" w:hAnsi="Arial"/>
          <w:sz w:val="17"/>
          <w:szCs w:val="17"/>
          <w:b w:val="1"/>
          <w:bCs w:val="1"/>
          <w:i w:val="1"/>
          <w:iCs w:val="1"/>
          <w:color w:val="auto"/>
        </w:rPr>
        <w:t>“Testing-the-Waters Communication”</w:t>
      </w:r>
      <w:r>
        <w:rPr>
          <w:rFonts w:ascii="Arial" w:cs="Arial" w:eastAsia="Arial" w:hAnsi="Arial"/>
          <w:sz w:val="17"/>
          <w:szCs w:val="17"/>
          <w:color w:val="auto"/>
        </w:rPr>
        <w:t xml:space="preserve"> means any oral or written communication with potential investors undertaken in reliance on Section 5(d) of the Act.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 w:name="page8"/>
    <w:bookmarkEnd w:id="7"/>
    <w:p>
      <w:pPr>
        <w:ind w:left="4" w:right="100" w:firstLine="645"/>
        <w:spacing w:after="0" w:line="291" w:lineRule="auto"/>
        <w:tabs>
          <w:tab w:leader="none" w:pos="897" w:val="left"/>
        </w:tabs>
        <w:numPr>
          <w:ilvl w:val="1"/>
          <w:numId w:val="6"/>
        </w:numPr>
        <w:rPr>
          <w:rFonts w:ascii="Arial" w:cs="Arial" w:eastAsia="Arial" w:hAnsi="Arial"/>
          <w:sz w:val="16"/>
          <w:szCs w:val="16"/>
          <w:color w:val="010000"/>
        </w:rPr>
      </w:pPr>
      <w:r>
        <w:rPr>
          <w:rFonts w:ascii="Arial" w:cs="Arial" w:eastAsia="Arial" w:hAnsi="Arial"/>
          <w:sz w:val="16"/>
          <w:szCs w:val="16"/>
          <w:i w:val="1"/>
          <w:iCs w:val="1"/>
          <w:u w:val="single" w:color="auto"/>
          <w:color w:val="auto"/>
        </w:rPr>
        <w:t>Incorporated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documents incorporated by reference in the Registration Statement, the Time of Sale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Prospectus,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Time of Sale Disclosure Package and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67" w:lineRule="exact"/>
        <w:rPr>
          <w:rFonts w:ascii="Arial" w:cs="Arial" w:eastAsia="Arial" w:hAnsi="Arial"/>
          <w:sz w:val="16"/>
          <w:szCs w:val="16"/>
          <w:color w:val="010000"/>
        </w:rPr>
      </w:pPr>
    </w:p>
    <w:p>
      <w:pPr>
        <w:ind w:left="4" w:firstLine="645"/>
        <w:spacing w:after="0" w:line="282" w:lineRule="auto"/>
        <w:tabs>
          <w:tab w:leader="none" w:pos="877" w:val="left"/>
        </w:tabs>
        <w:numPr>
          <w:ilvl w:val="1"/>
          <w:numId w:val="6"/>
        </w:numPr>
        <w:rPr>
          <w:rFonts w:ascii="Arial" w:cs="Arial" w:eastAsia="Arial" w:hAnsi="Arial"/>
          <w:sz w:val="16"/>
          <w:szCs w:val="16"/>
          <w:color w:val="010000"/>
        </w:rPr>
      </w:pPr>
      <w:r>
        <w:rPr>
          <w:rFonts w:ascii="Arial" w:cs="Arial" w:eastAsia="Arial" w:hAnsi="Arial"/>
          <w:sz w:val="16"/>
          <w:szCs w:val="16"/>
          <w:i w:val="1"/>
          <w:iCs w:val="1"/>
          <w:u w:val="single" w:color="auto"/>
          <w:color w:val="auto"/>
        </w:rPr>
        <w:t>Financial Statements</w:t>
      </w:r>
      <w:r>
        <w:rPr>
          <w:rFonts w:ascii="Arial" w:cs="Arial" w:eastAsia="Arial" w:hAnsi="Arial"/>
          <w:sz w:val="16"/>
          <w:szCs w:val="16"/>
          <w:color w:val="auto"/>
        </w:rPr>
        <w:t>. The financial statements of the Company, together with the related notes, set forth in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Disclosure Package and Prospectus comply in all material respects with the requirements of the Act and the Rules and Regulations and fairly present in all material respects the financial condition of the Company and its consolidated subsidiaries as of the dates indicated and the results of operations, cash flows and changes in stockholders’ equity for the periods therein specified. The financial statements of the Company, together with the related notes, set forth in the Registration Statement, the Time of Sale Disclosure Package and Prospectus are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consistently applied throughout the periods involved. The supporting schedules of the Company included or incorporated by reference in the Registration Statement present fairly in all material respects the information required to be stated therein. All non-GAAP financial information included in the Registration Statement, the Time of Sale Disclosure Package and the Prospectus complies with the applicable requirements of Regulation G and Item 10 of Regulation S-K under the Act. There is no pro forma or as adjusted financial information which is required to be included in the Registration Statement, the Time of Sale Disclosure Package or and the Prospectus or a document incorporated by reference therein in accordance with Regulation S-X which has not been included or incorporated as so required. Except as disclosed in the Registration Statement,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or incorporated by reference in the Registration Statement, the Time of Sale Disclosure Package or the Prospectus. Sadler, Gibb &amp; Associates, LLC, which has expressed its opinion with respect to the financial statements of the Company and related schedules filed as a part of the Registration Statement and included or incorporated by reference in the Registration Statement, the Time of Sale Disclosure Package and the Prospectus, is (x) an independent public accounting firm within the meaning of the Act and the Rules and Regulations,</w:t>
      </w:r>
    </w:p>
    <w:p>
      <w:pPr>
        <w:spacing w:after="0" w:line="12" w:lineRule="exact"/>
        <w:rPr>
          <w:rFonts w:ascii="Arial" w:cs="Arial" w:eastAsia="Arial" w:hAnsi="Arial"/>
          <w:sz w:val="16"/>
          <w:szCs w:val="16"/>
          <w:color w:val="010000"/>
        </w:rPr>
      </w:pPr>
    </w:p>
    <w:p>
      <w:pPr>
        <w:ind w:left="4" w:right="40" w:hanging="4"/>
        <w:spacing w:after="0" w:line="261"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registered public accounting firm (as defined in Section 2(a)(12) of the Sarbanes-Oxley Act of 2002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and (z) not in violation of the auditor independence requirements of the Sarbanes-Oxley Act.</w:t>
      </w:r>
    </w:p>
    <w:p>
      <w:pPr>
        <w:spacing w:after="0" w:line="393"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 w:name="page9"/>
    <w:bookmarkEnd w:id="8"/>
    <w:p>
      <w:pPr>
        <w:ind w:left="-540" w:right="120" w:firstLine="645"/>
        <w:spacing w:after="0" w:line="291" w:lineRule="auto"/>
        <w:tabs>
          <w:tab w:leader="none" w:pos="363" w:val="left"/>
        </w:tabs>
        <w:numPr>
          <w:ilvl w:val="0"/>
          <w:numId w:val="8"/>
        </w:numPr>
        <w:rPr>
          <w:rFonts w:ascii="Arial" w:cs="Arial" w:eastAsia="Arial" w:hAnsi="Arial"/>
          <w:sz w:val="16"/>
          <w:szCs w:val="16"/>
          <w:color w:val="010000"/>
        </w:rPr>
      </w:pPr>
      <w:r>
        <w:rPr>
          <w:rFonts w:ascii="Arial" w:cs="Arial" w:eastAsia="Arial" w:hAnsi="Arial"/>
          <w:sz w:val="16"/>
          <w:szCs w:val="16"/>
          <w:i w:val="1"/>
          <w:iCs w:val="1"/>
          <w:u w:val="single" w:color="auto"/>
          <w:color w:val="auto"/>
        </w:rPr>
        <w:t>Organization and Good Standing</w:t>
      </w:r>
      <w:r>
        <w:rPr>
          <w:rFonts w:ascii="Arial" w:cs="Arial" w:eastAsia="Arial" w:hAnsi="Arial"/>
          <w:sz w:val="16"/>
          <w:szCs w:val="16"/>
          <w:color w:val="auto"/>
        </w:rPr>
        <w:t>. Each of the Company and its subsidiaries has been duly organized and is validly existing as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in good standing under the laws of its jurisdiction of organization and reorganization, as applicable. Each of the Company and its subsidiaries has full corporate power and authority to own its properties and conduct its business as currently being carried on and as described in the Registration Statement, the Time of Sale Disclosure Package and Prospectus, and is duly qualified to do business as a foreign entity in good standing in each jurisdiction in which it owns or leases real property or in which the conduct of its business makes such qualification necessary and in which the failure to so qualify or be in good standing would have a material adverse effect upon the business, management, properties, operations, condition (financial or otherwise) or results of operations of the Company and its subsidiaries, taken as a whole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67" w:lineRule="exact"/>
        <w:rPr>
          <w:rFonts w:ascii="Arial" w:cs="Arial" w:eastAsia="Arial" w:hAnsi="Arial"/>
          <w:sz w:val="16"/>
          <w:szCs w:val="16"/>
          <w:color w:val="010000"/>
        </w:rPr>
      </w:pPr>
    </w:p>
    <w:p>
      <w:pPr>
        <w:ind w:left="-540" w:firstLine="645"/>
        <w:spacing w:after="0" w:line="269" w:lineRule="auto"/>
        <w:tabs>
          <w:tab w:leader="none" w:pos="363" w:val="left"/>
        </w:tabs>
        <w:numPr>
          <w:ilvl w:val="0"/>
          <w:numId w:val="8"/>
        </w:numPr>
        <w:rPr>
          <w:rFonts w:ascii="Arial" w:cs="Arial" w:eastAsia="Arial" w:hAnsi="Arial"/>
          <w:sz w:val="17"/>
          <w:szCs w:val="17"/>
          <w:color w:val="010000"/>
        </w:rPr>
      </w:pPr>
      <w:r>
        <w:rPr>
          <w:rFonts w:ascii="Arial" w:cs="Arial" w:eastAsia="Arial" w:hAnsi="Arial"/>
          <w:sz w:val="17"/>
          <w:szCs w:val="17"/>
          <w:i w:val="1"/>
          <w:iCs w:val="1"/>
          <w:u w:val="single" w:color="auto"/>
          <w:color w:val="auto"/>
        </w:rPr>
        <w:t>Absence of Certain Events</w:t>
      </w:r>
      <w:r>
        <w:rPr>
          <w:rFonts w:ascii="Arial" w:cs="Arial" w:eastAsia="Arial" w:hAnsi="Arial"/>
          <w:sz w:val="17"/>
          <w:szCs w:val="17"/>
          <w:color w:val="auto"/>
        </w:rPr>
        <w:t>. Except as contemplated in the Registration Statement,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due to the issuance of shares of Common Stock to the directors in satisfaction of their compensation for serving as a director),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or any development which could reasonably be expected to result in any Material Adverse Change.</w:t>
      </w:r>
    </w:p>
    <w:p>
      <w:pPr>
        <w:spacing w:after="0" w:line="182" w:lineRule="exact"/>
        <w:rPr>
          <w:rFonts w:ascii="Arial" w:cs="Arial" w:eastAsia="Arial" w:hAnsi="Arial"/>
          <w:sz w:val="17"/>
          <w:szCs w:val="17"/>
          <w:color w:val="010000"/>
        </w:rPr>
      </w:pPr>
    </w:p>
    <w:p>
      <w:pPr>
        <w:ind w:left="-540" w:right="80" w:firstLine="645"/>
        <w:spacing w:after="0" w:line="269" w:lineRule="auto"/>
        <w:tabs>
          <w:tab w:leader="none" w:pos="323" w:val="left"/>
        </w:tabs>
        <w:numPr>
          <w:ilvl w:val="0"/>
          <w:numId w:val="8"/>
        </w:numPr>
        <w:rPr>
          <w:rFonts w:ascii="Arial" w:cs="Arial" w:eastAsia="Arial" w:hAnsi="Arial"/>
          <w:sz w:val="17"/>
          <w:szCs w:val="17"/>
          <w:color w:val="010000"/>
        </w:rPr>
      </w:pPr>
      <w:r>
        <w:rPr>
          <w:rFonts w:ascii="Arial" w:cs="Arial" w:eastAsia="Arial" w:hAnsi="Arial"/>
          <w:sz w:val="17"/>
          <w:szCs w:val="17"/>
          <w:i w:val="1"/>
          <w:iCs w:val="1"/>
          <w:u w:val="single" w:color="auto"/>
          <w:color w:val="auto"/>
        </w:rPr>
        <w:t>Absence of Proceedings</w:t>
      </w:r>
      <w:r>
        <w:rPr>
          <w:rFonts w:ascii="Arial" w:cs="Arial" w:eastAsia="Arial" w:hAnsi="Arial"/>
          <w:sz w:val="17"/>
          <w:szCs w:val="17"/>
          <w:color w:val="auto"/>
        </w:rPr>
        <w:t>. Except as set forth in the Time of Sale Disclosure Package and in the Prospectus, there is not pending 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threatened or contemplated, any action, suit or proceeding (a) to which the Company or any of its subsidiaries is a party or (b) which, to the knowledge of the Company, has as the subject thereof any officer or director of the Company or its subsidiaries, any employee benefit plan sponsored by the Company or its subsidiaries or any property or assets owned or leased by the Company or its subsidiaries before or by any court or Governmental Authority (as defined below), or any arbitrator, which, individually or in the aggregate, might result in any Material Adverse Change, or would materially and adversely affect the ability of the Company to perform its obligations under this Agreement. There are no current or, to the knowledge of the Company, pending, legal, governmental or regulatory actions, suits or proceedings (x) to which the Company or its subsidiaries is subject or (y) which has as the subject thereof any officer or director of the Company or its subsidiaries, any employee plan sponsored by the Company or its subsidiaries or any property or assets owned or leased by the Company or its subsidiaries, that are required to be described in the Registration Statement, Time of Sale Disclosure Package and Prospectus by the Act or by the Rules and Regulations and that have not been so described.</w:t>
      </w:r>
    </w:p>
    <w:p>
      <w:pPr>
        <w:spacing w:after="0" w:line="39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ind w:left="4" w:firstLine="645"/>
        <w:spacing w:after="0" w:line="283" w:lineRule="auto"/>
        <w:tabs>
          <w:tab w:leader="none" w:pos="867" w:val="left"/>
        </w:tabs>
        <w:numPr>
          <w:ilvl w:val="1"/>
          <w:numId w:val="9"/>
        </w:numPr>
        <w:rPr>
          <w:rFonts w:ascii="Arial" w:cs="Arial" w:eastAsia="Arial" w:hAnsi="Arial"/>
          <w:sz w:val="16"/>
          <w:szCs w:val="16"/>
          <w:color w:val="010000"/>
        </w:rPr>
      </w:pPr>
      <w:r>
        <w:rPr>
          <w:rFonts w:ascii="Arial" w:cs="Arial" w:eastAsia="Arial" w:hAnsi="Arial"/>
          <w:sz w:val="16"/>
          <w:szCs w:val="16"/>
          <w:i w:val="1"/>
          <w:iCs w:val="1"/>
          <w:u w:val="single" w:color="auto"/>
          <w:color w:val="auto"/>
        </w:rPr>
        <w:t>Authorization; No Conflicts; Authority</w:t>
      </w:r>
      <w:r>
        <w:rPr>
          <w:rFonts w:ascii="Arial" w:cs="Arial" w:eastAsia="Arial" w:hAnsi="Arial"/>
          <w:sz w:val="16"/>
          <w:szCs w:val="16"/>
          <w:color w:val="auto"/>
        </w:rPr>
        <w:t>. This Agreement has been duly authorized, executed and delivered by the Company.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its subsidiaries pursuant to any indenture, mortgage, deed of trust, loan agreement or other agreement or instrument to which the Company or its subsidiaries is a party or by which the Company or its subsidiaries is bound or to which any of the property or assets of the Company or its subsidiaries is subject, (B) result in any violation of the provisions of the Company’s charter or by-laws or</w:t>
      </w:r>
    </w:p>
    <w:p>
      <w:pPr>
        <w:spacing w:after="0" w:line="6" w:lineRule="exact"/>
        <w:rPr>
          <w:rFonts w:ascii="Arial" w:cs="Arial" w:eastAsia="Arial" w:hAnsi="Arial"/>
          <w:sz w:val="16"/>
          <w:szCs w:val="16"/>
          <w:color w:val="010000"/>
        </w:rPr>
      </w:pPr>
    </w:p>
    <w:p>
      <w:pPr>
        <w:ind w:left="4" w:right="100" w:hanging="4"/>
        <w:spacing w:after="0" w:line="268" w:lineRule="auto"/>
        <w:tabs>
          <w:tab w:leader="none" w:pos="2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result in the violation of any law or statute or any judgment, order, rule, regulation or decree of any court or arbitrator or federal, state, local or foreign governmental agency or regulatory authority having jurisdiction over the Company or its subsidiaries or any of their properties or assets (each, a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except in the case of clauses (A) and (C) as would not result in a Material Adverse Effect. No consent, approval, authorization or order of, or registration or filing with any Governmental Authority is required to be obtained by the Company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the rules of The Nasdaq Stock Market LLC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39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10" w:name="page11"/>
    <w:bookmarkEnd w:id="10"/>
    <w:p>
      <w:pPr>
        <w:ind w:left="-540" w:firstLine="645"/>
        <w:spacing w:after="0" w:line="285" w:lineRule="auto"/>
        <w:tabs>
          <w:tab w:leader="none" w:pos="363" w:val="left"/>
        </w:tabs>
        <w:numPr>
          <w:ilvl w:val="0"/>
          <w:numId w:val="11"/>
        </w:numPr>
        <w:rPr>
          <w:rFonts w:ascii="Arial" w:cs="Arial" w:eastAsia="Arial" w:hAnsi="Arial"/>
          <w:sz w:val="16"/>
          <w:szCs w:val="16"/>
          <w:color w:val="010000"/>
        </w:rPr>
      </w:pPr>
      <w:r>
        <w:rPr>
          <w:rFonts w:ascii="Arial" w:cs="Arial" w:eastAsia="Arial" w:hAnsi="Arial"/>
          <w:sz w:val="16"/>
          <w:szCs w:val="16"/>
          <w:i w:val="1"/>
          <w:iCs w:val="1"/>
          <w:u w:val="single" w:color="auto"/>
          <w:color w:val="auto"/>
        </w:rPr>
        <w:t>Capitalization; the Securities; Registration Rights</w:t>
      </w:r>
      <w:r>
        <w:rPr>
          <w:rFonts w:ascii="Arial" w:cs="Arial" w:eastAsia="Arial" w:hAnsi="Arial"/>
          <w:sz w:val="16"/>
          <w:szCs w:val="16"/>
          <w:color w:val="auto"/>
        </w:rPr>
        <w:t>. All of the issued and outstanding shares of capital stock of the Company,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Underwriters), and the holders thereof are not subject to personal liability by reason of being such holders; the Securities which may be sold hereunder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in all material respects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its subsidiaries is a party or by which the Company or its subsidiaries is bound, (B) none of the filing of the Registration Statement, the offering, or the sale of the Securities as contemplated by this Agreement give rise to any rights for or relating to the registration of any shares of Common Stock or other securities of the Company (collectively </w:t>
      </w:r>
      <w:r>
        <w:rPr>
          <w:rFonts w:ascii="Arial" w:cs="Arial" w:eastAsia="Arial" w:hAnsi="Arial"/>
          <w:sz w:val="16"/>
          <w:szCs w:val="16"/>
          <w:b w:val="1"/>
          <w:bCs w:val="1"/>
          <w:i w:val="1"/>
          <w:iCs w:val="1"/>
          <w:color w:val="auto"/>
        </w:rPr>
        <w:t>“Registration Rights”</w:t>
      </w:r>
      <w:r>
        <w:rPr>
          <w:rFonts w:ascii="Arial" w:cs="Arial" w:eastAsia="Arial" w:hAnsi="Arial"/>
          <w:sz w:val="16"/>
          <w:szCs w:val="16"/>
          <w:color w:val="auto"/>
        </w:rPr>
        <w:t>) and (C) any person to whom the Company has granted Registration Rights has agreed not to exercise such rights until after expiration of the Lock-Up Period (as defined below). All of the issued and outstanding shares of capital stock of each of the Company’s subsidiaries has been duly and validly authorized and issued and is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“Description of Share Capital.”</w:t>
      </w:r>
    </w:p>
    <w:p>
      <w:pPr>
        <w:spacing w:after="0" w:line="168" w:lineRule="exact"/>
        <w:rPr>
          <w:rFonts w:ascii="Arial" w:cs="Arial" w:eastAsia="Arial" w:hAnsi="Arial"/>
          <w:sz w:val="16"/>
          <w:szCs w:val="16"/>
          <w:color w:val="010000"/>
        </w:rPr>
      </w:pPr>
    </w:p>
    <w:p>
      <w:pPr>
        <w:ind w:left="-540" w:right="20" w:firstLine="645"/>
        <w:spacing w:after="0" w:line="269" w:lineRule="auto"/>
        <w:tabs>
          <w:tab w:leader="none" w:pos="323" w:val="left"/>
        </w:tabs>
        <w:numPr>
          <w:ilvl w:val="0"/>
          <w:numId w:val="11"/>
        </w:numPr>
        <w:rPr>
          <w:rFonts w:ascii="Arial" w:cs="Arial" w:eastAsia="Arial" w:hAnsi="Arial"/>
          <w:sz w:val="17"/>
          <w:szCs w:val="17"/>
          <w:color w:val="010000"/>
        </w:rPr>
      </w:pPr>
      <w:r>
        <w:rPr>
          <w:rFonts w:ascii="Arial" w:cs="Arial" w:eastAsia="Arial" w:hAnsi="Arial"/>
          <w:sz w:val="17"/>
          <w:szCs w:val="17"/>
          <w:i w:val="1"/>
          <w:iCs w:val="1"/>
          <w:u w:val="single" w:color="auto"/>
          <w:color w:val="auto"/>
        </w:rPr>
        <w:t>Stock Options</w:t>
      </w:r>
      <w:r>
        <w:rPr>
          <w:rFonts w:ascii="Arial" w:cs="Arial" w:eastAsia="Arial" w:hAnsi="Arial"/>
          <w:sz w:val="17"/>
          <w:szCs w:val="17"/>
          <w:color w:val="auto"/>
        </w:rPr>
        <w:t>. Except as described in the Registration Statement, in the Time of Sale Disclosure Package, in the Prospectus,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options, warrants, agreements, contracts or other rights in existence to purchase or acquire from the Company or any subsidiaries of the Company any shares of the capital stock of the Company or the subsidiaries of the Company. The description of the Company’s stock option, stock bonus and other stock plans or arrangements (the </w:t>
      </w:r>
      <w:r>
        <w:rPr>
          <w:rFonts w:ascii="Arial" w:cs="Arial" w:eastAsia="Arial" w:hAnsi="Arial"/>
          <w:sz w:val="17"/>
          <w:szCs w:val="17"/>
          <w:b w:val="1"/>
          <w:bCs w:val="1"/>
          <w:i w:val="1"/>
          <w:iCs w:val="1"/>
          <w:color w:val="auto"/>
        </w:rPr>
        <w:t>“Company Stock Plans”</w:t>
      </w:r>
      <w:r>
        <w:rPr>
          <w:rFonts w:ascii="Arial" w:cs="Arial" w:eastAsia="Arial" w:hAnsi="Arial"/>
          <w:sz w:val="17"/>
          <w:szCs w:val="17"/>
          <w:color w:val="auto"/>
        </w:rPr>
        <w:t xml:space="preserve">), and the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or other rights granted thereunder, set forth in the Time of Sale Disclosure Package and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39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908" w:right="279" w:bottom="1440" w:gutter="0" w:footer="0" w:header="0"/>
        </w:sectPr>
      </w:pPr>
    </w:p>
    <w:bookmarkStart w:id="11" w:name="page12"/>
    <w:bookmarkEnd w:id="11"/>
    <w:p>
      <w:pPr>
        <w:ind w:left="4" w:right="20" w:firstLine="645"/>
        <w:spacing w:after="0" w:line="289" w:lineRule="auto"/>
        <w:tabs>
          <w:tab w:leader="none" w:pos="957" w:val="left"/>
        </w:tabs>
        <w:numPr>
          <w:ilvl w:val="1"/>
          <w:numId w:val="12"/>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Compliance with Laws</w:t>
      </w:r>
      <w:r>
        <w:rPr>
          <w:rFonts w:ascii="Arial" w:cs="Arial" w:eastAsia="Arial" w:hAnsi="Arial"/>
          <w:sz w:val="16"/>
          <w:szCs w:val="16"/>
          <w:color w:val="auto"/>
        </w:rPr>
        <w:t>. The Company and its subsidiaries holds, and is operating in compliance with, all franchises, grants,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licenses, permits, easements, consents, certificates and orders of any Governmental Authority or self-regulatory body required for the conduct of its business, except where the failure to do so would not, individually or in the aggregate, result in or reasonably be expected to have a Material Adverse Effect, and all such franchises, grants, authorizations, licenses, permits, easements, consents, certifications and orders are valid and in full force and effect, except where failure to be valid and in full force and effect would not, individually or in the aggregate, result in or reasonably be expected to have a Material Adverse Effect; and neither the Company nor its subsidiaries have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its subsidiaries is in compliance in all material respects with all applicable federal, state, local and foreign laws, regulations, orders and decrees.</w:t>
      </w:r>
    </w:p>
    <w:p>
      <w:pPr>
        <w:spacing w:after="0" w:line="166" w:lineRule="exact"/>
        <w:rPr>
          <w:rFonts w:ascii="Arial" w:cs="Arial" w:eastAsia="Arial" w:hAnsi="Arial"/>
          <w:sz w:val="16"/>
          <w:szCs w:val="16"/>
          <w:color w:val="010000"/>
        </w:rPr>
      </w:pPr>
    </w:p>
    <w:p>
      <w:pPr>
        <w:ind w:left="4" w:firstLine="645"/>
        <w:spacing w:after="0" w:line="284" w:lineRule="auto"/>
        <w:tabs>
          <w:tab w:leader="none" w:pos="907" w:val="left"/>
        </w:tabs>
        <w:numPr>
          <w:ilvl w:val="1"/>
          <w:numId w:val="12"/>
        </w:numPr>
        <w:rPr>
          <w:rFonts w:ascii="Arial" w:cs="Arial" w:eastAsia="Arial" w:hAnsi="Arial"/>
          <w:sz w:val="16"/>
          <w:szCs w:val="16"/>
          <w:color w:val="010000"/>
        </w:rPr>
      </w:pPr>
      <w:r>
        <w:rPr>
          <w:rFonts w:ascii="Arial" w:cs="Arial" w:eastAsia="Arial" w:hAnsi="Arial"/>
          <w:sz w:val="16"/>
          <w:szCs w:val="16"/>
          <w:i w:val="1"/>
          <w:iCs w:val="1"/>
          <w:u w:val="single" w:color="auto"/>
          <w:color w:val="auto"/>
        </w:rPr>
        <w:t>Ownership of Assets</w:t>
      </w:r>
      <w:r>
        <w:rPr>
          <w:rFonts w:ascii="Arial" w:cs="Arial" w:eastAsia="Arial" w:hAnsi="Arial"/>
          <w:sz w:val="16"/>
          <w:szCs w:val="16"/>
          <w:color w:val="auto"/>
        </w:rPr>
        <w:t>. The Company and its subsidiaries do not own any real property. The Company and its subsidiaries have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personal property described in the Registration Statement, in the Time of Sale Disclosure Package and in the Prospectus as being owned by them, in each case free and clear of all liens, claims, security interests, other encumbrances or defects except such as are described in the Registration Statement, in the Time of Sale Disclosure Package and in the Prospectus. The property held under lease by the Company and its subsidiaries is held by them under valid, subsisting and enforceable leases (subject to the effects of (A) bankruptcy, insolvency, fraudulent conveyance, fraudulent transfer, reorganization, moratorium or other similar laws relating to or affecting rights or remedies of creditors generally;</w:t>
      </w:r>
    </w:p>
    <w:p>
      <w:pPr>
        <w:spacing w:after="0" w:line="4" w:lineRule="exact"/>
        <w:rPr>
          <w:rFonts w:ascii="Arial" w:cs="Arial" w:eastAsia="Arial" w:hAnsi="Arial"/>
          <w:sz w:val="16"/>
          <w:szCs w:val="16"/>
          <w:color w:val="010000"/>
        </w:rPr>
      </w:pPr>
    </w:p>
    <w:p>
      <w:pPr>
        <w:jc w:val="both"/>
        <w:ind w:left="4" w:right="120" w:hanging="4"/>
        <w:spacing w:after="0" w:line="254" w:lineRule="auto"/>
        <w:tabs>
          <w:tab w:leader="none" w:pos="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application of general principles of equity (including without limitation, concepts of materiality, reasonableness, good faith and fair dealing, regardless of whether enforcement is considered in proceedings at law or in equity); and (C) applicable laws and public policy with respect to rights to indemnify and contribution) with such exceptions with respect to any particular lease as do not interfere in any material respect with the conduct of the business of the Company or its subsidiaries.</w:t>
      </w:r>
    </w:p>
    <w:p>
      <w:pPr>
        <w:spacing w:after="0" w:line="39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2" w:name="page13"/>
    <w:bookmarkEnd w:id="12"/>
    <w:p>
      <w:pPr>
        <w:ind w:left="4" w:right="40" w:firstLine="645"/>
        <w:spacing w:after="0" w:line="288" w:lineRule="auto"/>
        <w:tabs>
          <w:tab w:leader="none" w:pos="907" w:val="left"/>
        </w:tabs>
        <w:numPr>
          <w:ilvl w:val="1"/>
          <w:numId w:val="14"/>
        </w:numPr>
        <w:rPr>
          <w:rFonts w:ascii="Arial" w:cs="Arial" w:eastAsia="Arial" w:hAnsi="Arial"/>
          <w:sz w:val="16"/>
          <w:szCs w:val="16"/>
          <w:color w:val="010000"/>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The Company and its subsidiaries owns, possesses, or, to the knowledge of the Company, can acquire on</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terms, all material Intellectual Property (as defined below) necessary for the conduct of the Company’s and it subsidiaries’ business as now conducted or as described in the Registration Statement, the Time of Sale Disclosure Package and the Prospectus to be conducted. Furthermore,</w:t>
      </w:r>
    </w:p>
    <w:p>
      <w:pPr>
        <w:ind w:left="4" w:right="20" w:hanging="4"/>
        <w:spacing w:after="0" w:line="266" w:lineRule="auto"/>
        <w:tabs>
          <w:tab w:leader="none" w:pos="299"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to the knowledge of the Company, and except as described in the Registration Statement, in the Time of Sale Disclosure Package and in the Prospectus, there is no infringement, misappropriation or violation by third parties of any such Intellectual Property, except as such infringement, misappropriation or violation would not result in or reasonably be expected to have a Material Adverse Effect; (B) there is no pending or, to the knowledge of the Company, threatened, action, suit, proceeding or claim by others challenging the Company’s or any of its subsidiaries’ rights in or to any such Intellectual Property, except as such action, suit, proceeding or claim would not result in or reasonably be expected to have a Material Adverse Effect,, and the Company is unaware of any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subsidiaries infringes, misappropriates or otherwise violates any Intellectual Property or other proprietary rights of others, neither the Company or its subsidiaries has received any written notice of such claim, except as such action, suit, proceeding or claim would not result in or reasonably be expected to have a Material Adverse Effect, and the Company is unaware of any other fact which would form a reasonable basis for any such claim; and (E) to the Company’s knowledge, no employee of the Company or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its subsidiaries or actions undertaken by the employee while employed with the Company or its subsidiaries, except as such violation would not result in or reasonably be expected to have a Material Adverse Effect.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189" w:lineRule="exact"/>
        <w:rPr>
          <w:rFonts w:ascii="Arial" w:cs="Arial" w:eastAsia="Arial" w:hAnsi="Arial"/>
          <w:sz w:val="17"/>
          <w:szCs w:val="17"/>
          <w:color w:val="auto"/>
        </w:rPr>
      </w:pPr>
    </w:p>
    <w:p>
      <w:pPr>
        <w:ind w:left="4" w:firstLine="645"/>
        <w:spacing w:after="0" w:line="255" w:lineRule="auto"/>
        <w:tabs>
          <w:tab w:leader="none" w:pos="907" w:val="left"/>
        </w:tabs>
        <w:numPr>
          <w:ilvl w:val="1"/>
          <w:numId w:val="15"/>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Violations or Defaults</w:t>
      </w:r>
      <w:r>
        <w:rPr>
          <w:rFonts w:ascii="Arial" w:cs="Arial" w:eastAsia="Arial" w:hAnsi="Arial"/>
          <w:sz w:val="18"/>
          <w:szCs w:val="18"/>
          <w:color w:val="auto"/>
        </w:rPr>
        <w:t>. Neither the Company nor its subsidiaries is (A) in violation of its respective charter, bylaws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or (B) except as would not result in or reasonably be expected to have a Material Adverse Effect,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its subsidiaries is subject.</w:t>
      </w:r>
    </w:p>
    <w:p>
      <w:pPr>
        <w:spacing w:after="0" w:line="193" w:lineRule="exact"/>
        <w:rPr>
          <w:rFonts w:ascii="Arial" w:cs="Arial" w:eastAsia="Arial" w:hAnsi="Arial"/>
          <w:sz w:val="18"/>
          <w:szCs w:val="18"/>
          <w:color w:val="010000"/>
        </w:rPr>
      </w:pPr>
    </w:p>
    <w:p>
      <w:pPr>
        <w:ind w:left="4" w:right="80" w:firstLine="645"/>
        <w:spacing w:after="0" w:line="272" w:lineRule="auto"/>
        <w:tabs>
          <w:tab w:leader="none" w:pos="907" w:val="left"/>
        </w:tabs>
        <w:numPr>
          <w:ilvl w:val="1"/>
          <w:numId w:val="15"/>
        </w:numPr>
        <w:rPr>
          <w:rFonts w:ascii="Arial" w:cs="Arial" w:eastAsia="Arial" w:hAnsi="Arial"/>
          <w:sz w:val="17"/>
          <w:szCs w:val="17"/>
          <w:color w:val="010000"/>
        </w:rPr>
      </w:pPr>
      <w:r>
        <w:rPr>
          <w:rFonts w:ascii="Arial" w:cs="Arial" w:eastAsia="Arial" w:hAnsi="Arial"/>
          <w:sz w:val="17"/>
          <w:szCs w:val="17"/>
          <w:i w:val="1"/>
          <w:iCs w:val="1"/>
          <w:u w:val="single" w:color="auto"/>
          <w:color w:val="auto"/>
        </w:rPr>
        <w:t>Taxes</w:t>
      </w:r>
      <w:r>
        <w:rPr>
          <w:rFonts w:ascii="Arial" w:cs="Arial" w:eastAsia="Arial" w:hAnsi="Arial"/>
          <w:sz w:val="17"/>
          <w:szCs w:val="17"/>
          <w:color w:val="auto"/>
        </w:rPr>
        <w:t>. The Company and its subsidiaries have timely, or pursuant to a permitted extension, filed all federal, state, local and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franchise tax returns required to be filed (except in any case in which the failure to so file is not material) and are not in default in the payment of any taxes which were payable pursuant to said returns or any assessments with respect thereto, other than any which the Company or its subsidiaries is contesting in good faith, or to the extent such default is not material. There is no pending dispute with any taxing authority relating to any of such returns, and the Company has no knowledge of any proposed liability for any tax to be imposed upon the properties or assets of the Company or its subsidiaries for which there is not an adequate reserve reflected in the Company’s financial statements included in the Registration Statement, the Time of Sale Disclosure Package and the Prospectus.</w:t>
      </w:r>
    </w:p>
    <w:p>
      <w:pPr>
        <w:spacing w:after="0" w:line="387"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13" w:name="page14"/>
    <w:bookmarkEnd w:id="13"/>
    <w:p>
      <w:pPr>
        <w:ind w:left="-540" w:firstLine="645"/>
        <w:spacing w:after="0" w:line="289" w:lineRule="auto"/>
        <w:tabs>
          <w:tab w:leader="none" w:pos="333" w:val="left"/>
        </w:tabs>
        <w:numPr>
          <w:ilvl w:val="0"/>
          <w:numId w:val="16"/>
        </w:numPr>
        <w:rPr>
          <w:rFonts w:ascii="Arial" w:cs="Arial" w:eastAsia="Arial" w:hAnsi="Arial"/>
          <w:sz w:val="16"/>
          <w:szCs w:val="16"/>
          <w:color w:val="010000"/>
        </w:rPr>
      </w:pPr>
      <w:r>
        <w:rPr>
          <w:rFonts w:ascii="Arial" w:cs="Arial" w:eastAsia="Arial" w:hAnsi="Arial"/>
          <w:sz w:val="16"/>
          <w:szCs w:val="16"/>
          <w:i w:val="1"/>
          <w:iCs w:val="1"/>
          <w:u w:val="single" w:color="auto"/>
          <w:color w:val="auto"/>
        </w:rPr>
        <w:t>Exchange Listing and Exchange Act Registration</w:t>
      </w:r>
      <w:r>
        <w:rPr>
          <w:rFonts w:ascii="Arial" w:cs="Arial" w:eastAsia="Arial" w:hAnsi="Arial"/>
          <w:sz w:val="16"/>
          <w:szCs w:val="16"/>
          <w:color w:val="auto"/>
        </w:rPr>
        <w:t>. The Common Stock is registered pursuant to Section 12(b) of the Exchange Act, and</w:t>
      </w:r>
      <w:r>
        <w:rPr>
          <w:rFonts w:ascii="Arial" w:cs="Arial" w:eastAsia="Arial" w:hAnsi="Arial"/>
          <w:sz w:val="16"/>
          <w:szCs w:val="16"/>
          <w:i w:val="1"/>
          <w:iCs w:val="1"/>
          <w:color w:val="auto"/>
        </w:rPr>
        <w:t xml:space="preserve"> </w:t>
      </w:r>
      <w:r>
        <w:rPr>
          <w:rFonts w:ascii="Arial" w:cs="Arial" w:eastAsia="Arial" w:hAnsi="Arial"/>
          <w:sz w:val="16"/>
          <w:szCs w:val="16"/>
          <w:color w:val="auto"/>
        </w:rPr>
        <w:t>is included or approved for listing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The Nasdaq Capital Market is contemplating terminating such registration or listing. Except as previously disclosed to counsel for the Underwriters or as set forth in the Time of Sale Disclosure Package and the Prospectus, there are no affiliations with members of FINRA among the Company’s officers or directors or, to the knowledge of the Company, any five percent or greater holders of capital stock of the Company or any beneficial owner of the Company’s unregistered equity securities that were acquired during the 180-day period immediately preceding the initial filing date of the Registration Statement. The Company is currently in compliance in all material respects with the applicable requirements of The Nasdaq Capital Market for maintenance of inclusion of the Common Stock thereon.</w:t>
      </w:r>
    </w:p>
    <w:p>
      <w:pPr>
        <w:spacing w:after="0" w:line="166" w:lineRule="exact"/>
        <w:rPr>
          <w:rFonts w:ascii="Arial" w:cs="Arial" w:eastAsia="Arial" w:hAnsi="Arial"/>
          <w:sz w:val="16"/>
          <w:szCs w:val="16"/>
          <w:color w:val="010000"/>
        </w:rPr>
      </w:pPr>
    </w:p>
    <w:p>
      <w:pPr>
        <w:ind w:left="-540" w:right="300" w:firstLine="645"/>
        <w:spacing w:after="0" w:line="312" w:lineRule="auto"/>
        <w:tabs>
          <w:tab w:leader="none" w:pos="343" w:val="left"/>
        </w:tabs>
        <w:numPr>
          <w:ilvl w:val="0"/>
          <w:numId w:val="16"/>
        </w:numPr>
        <w:rPr>
          <w:rFonts w:ascii="Arial" w:cs="Arial" w:eastAsia="Arial" w:hAnsi="Arial"/>
          <w:sz w:val="16"/>
          <w:szCs w:val="16"/>
          <w:color w:val="010000"/>
        </w:rPr>
      </w:pPr>
      <w:r>
        <w:rPr>
          <w:rFonts w:ascii="Arial" w:cs="Arial" w:eastAsia="Arial" w:hAnsi="Arial"/>
          <w:sz w:val="16"/>
          <w:szCs w:val="16"/>
          <w:i w:val="1"/>
          <w:iCs w:val="1"/>
          <w:u w:val="single" w:color="auto"/>
          <w:color w:val="auto"/>
        </w:rPr>
        <w:t>Ownership of Other Entities</w:t>
      </w:r>
      <w:r>
        <w:rPr>
          <w:rFonts w:ascii="Arial" w:cs="Arial" w:eastAsia="Arial" w:hAnsi="Arial"/>
          <w:sz w:val="16"/>
          <w:szCs w:val="16"/>
          <w:color w:val="auto"/>
        </w:rPr>
        <w:t>. Other than the subsidiaries of the Company listed in Exhibit 21.1 to the Registration Statement or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disclosed in the Registration Statement, Time of Sale Disclosure Package and Prospectus, the Company, directly or indirectly, owns no capital stock or other equity or ownership or proprietary interest in any corporation, partnership, association, trust or other entity.</w:t>
      </w:r>
    </w:p>
    <w:p>
      <w:pPr>
        <w:spacing w:after="0" w:line="146" w:lineRule="exact"/>
        <w:rPr>
          <w:rFonts w:ascii="Arial" w:cs="Arial" w:eastAsia="Arial" w:hAnsi="Arial"/>
          <w:sz w:val="16"/>
          <w:szCs w:val="16"/>
          <w:color w:val="010000"/>
        </w:rPr>
      </w:pPr>
    </w:p>
    <w:p>
      <w:pPr>
        <w:ind w:left="-540" w:right="160" w:firstLine="645"/>
        <w:spacing w:after="0" w:line="286" w:lineRule="auto"/>
        <w:tabs>
          <w:tab w:leader="none" w:pos="323" w:val="left"/>
        </w:tabs>
        <w:numPr>
          <w:ilvl w:val="0"/>
          <w:numId w:val="16"/>
        </w:numPr>
        <w:rPr>
          <w:rFonts w:ascii="Arial" w:cs="Arial" w:eastAsia="Arial" w:hAnsi="Arial"/>
          <w:sz w:val="16"/>
          <w:szCs w:val="16"/>
          <w:color w:val="010000"/>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and audit committee is aware of any “material weaknesses” (as defined by the Public Company Accounting Oversight Board) in its internal control over financial reporting, or any fraud, whether or not material, that involves management or other employees of the Company or its subsidiaries who have a significant role in the Company’s internal controls; and since the end of the latest audited fiscal year, there has been no change in the Company’s internal control over financial reporting (whether or not remediated) that has materially adversely affected, or is reasonably likely to materially adversely affect, the Company’s internal control over financial reporting. The Company’s board of directors has, subject to the exceptions, cure periods and the phase-in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37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4" w:name="page15"/>
    <w:bookmarkEnd w:id="14"/>
    <w:p>
      <w:pPr>
        <w:ind w:left="-540" w:firstLine="645"/>
        <w:spacing w:after="0" w:line="264" w:lineRule="auto"/>
        <w:tabs>
          <w:tab w:leader="none" w:pos="363" w:val="left"/>
        </w:tabs>
        <w:numPr>
          <w:ilvl w:val="0"/>
          <w:numId w:val="17"/>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Brokers or Finders</w:t>
      </w:r>
      <w:r>
        <w:rPr>
          <w:rFonts w:ascii="Arial" w:cs="Arial" w:eastAsia="Arial" w:hAnsi="Arial"/>
          <w:sz w:val="18"/>
          <w:szCs w:val="18"/>
          <w:color w:val="auto"/>
        </w:rPr>
        <w:t>. Other than as contemplated by this Agreement, the Company has not incurred and will not incur any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finder’s or broker’s fee or agent’s commission in connection with the execution and delivery of this Agreement or the consummation of the transactions contemplated hereby.</w:t>
      </w:r>
    </w:p>
    <w:p>
      <w:pPr>
        <w:spacing w:after="0" w:line="181" w:lineRule="exact"/>
        <w:rPr>
          <w:rFonts w:ascii="Arial" w:cs="Arial" w:eastAsia="Arial" w:hAnsi="Arial"/>
          <w:sz w:val="18"/>
          <w:szCs w:val="18"/>
          <w:color w:val="010000"/>
        </w:rPr>
      </w:pPr>
    </w:p>
    <w:p>
      <w:pPr>
        <w:ind w:left="-540" w:right="60" w:firstLine="645"/>
        <w:spacing w:after="0" w:line="289" w:lineRule="auto"/>
        <w:tabs>
          <w:tab w:leader="none" w:pos="363" w:val="left"/>
        </w:tabs>
        <w:numPr>
          <w:ilvl w:val="0"/>
          <w:numId w:val="17"/>
        </w:numPr>
        <w:rPr>
          <w:rFonts w:ascii="Arial" w:cs="Arial" w:eastAsia="Arial" w:hAnsi="Arial"/>
          <w:sz w:val="16"/>
          <w:szCs w:val="16"/>
          <w:color w:val="010000"/>
        </w:rPr>
      </w:pPr>
      <w:r>
        <w:rPr>
          <w:rFonts w:ascii="Arial" w:cs="Arial" w:eastAsia="Arial" w:hAnsi="Arial"/>
          <w:sz w:val="16"/>
          <w:szCs w:val="16"/>
          <w:i w:val="1"/>
          <w:iCs w:val="1"/>
          <w:u w:val="single" w:color="auto"/>
          <w:color w:val="auto"/>
        </w:rPr>
        <w:t>Insurance</w:t>
      </w:r>
      <w:r>
        <w:rPr>
          <w:rFonts w:ascii="Arial" w:cs="Arial" w:eastAsia="Arial" w:hAnsi="Arial"/>
          <w:sz w:val="16"/>
          <w:szCs w:val="16"/>
          <w:color w:val="auto"/>
        </w:rPr>
        <w:t>. The Company and each of its subsidiaries carry, or are covered by, insurance from reputable insurers in such amounts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covering such risks as is adequate for the conduct of its business and the value of its properties as is customary for companies engaged in similar businesses in similar industries; all policies of insurance and any fidelity or surety bonds insuring the Company or its subsidiaries or its business, assets, employees, officers and directors are in full force and effect; the Company and its subsidiaries are in compliance with the terms of such policies and instruments in all material respects; there are no claims by the Company or its subsidiaries under any such policy or instrument as to which any insurance company is denying liability or defending under a reservation of rights clause; neither the Company nor its subsidiaries has been refused any insurance coverage sought or applied for; and neither the Company nor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66" w:lineRule="exact"/>
        <w:rPr>
          <w:rFonts w:ascii="Arial" w:cs="Arial" w:eastAsia="Arial" w:hAnsi="Arial"/>
          <w:sz w:val="16"/>
          <w:szCs w:val="16"/>
          <w:color w:val="010000"/>
        </w:rPr>
      </w:pPr>
    </w:p>
    <w:p>
      <w:pPr>
        <w:ind w:left="-540" w:right="760" w:firstLine="645"/>
        <w:spacing w:after="0" w:line="277" w:lineRule="auto"/>
        <w:tabs>
          <w:tab w:leader="none" w:pos="403" w:val="left"/>
        </w:tabs>
        <w:numPr>
          <w:ilvl w:val="0"/>
          <w:numId w:val="17"/>
        </w:numPr>
        <w:rPr>
          <w:rFonts w:ascii="Arial" w:cs="Arial" w:eastAsia="Arial" w:hAnsi="Arial"/>
          <w:sz w:val="18"/>
          <w:szCs w:val="18"/>
          <w:color w:val="010000"/>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will not be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as such term is defined in the Investment Company Act of 1940, as amended.</w:t>
      </w:r>
    </w:p>
    <w:p>
      <w:pPr>
        <w:spacing w:after="0" w:line="170" w:lineRule="exact"/>
        <w:rPr>
          <w:rFonts w:ascii="Arial" w:cs="Arial" w:eastAsia="Arial" w:hAnsi="Arial"/>
          <w:sz w:val="18"/>
          <w:szCs w:val="18"/>
          <w:color w:val="010000"/>
        </w:rPr>
      </w:pPr>
    </w:p>
    <w:p>
      <w:pPr>
        <w:ind w:left="-540" w:right="660" w:firstLine="645"/>
        <w:spacing w:after="0" w:line="277" w:lineRule="auto"/>
        <w:tabs>
          <w:tab w:leader="none" w:pos="363" w:val="left"/>
        </w:tabs>
        <w:numPr>
          <w:ilvl w:val="0"/>
          <w:numId w:val="17"/>
        </w:numPr>
        <w:rPr>
          <w:rFonts w:ascii="Arial" w:cs="Arial" w:eastAsia="Arial" w:hAnsi="Arial"/>
          <w:sz w:val="18"/>
          <w:szCs w:val="18"/>
          <w:color w:val="010000"/>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all applicable provisions of the Sarbanes-Oxley Act and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the Commission thereunder.</w:t>
      </w:r>
    </w:p>
    <w:p>
      <w:pPr>
        <w:spacing w:after="0" w:line="170" w:lineRule="exact"/>
        <w:rPr>
          <w:rFonts w:ascii="Arial" w:cs="Arial" w:eastAsia="Arial" w:hAnsi="Arial"/>
          <w:sz w:val="18"/>
          <w:szCs w:val="18"/>
          <w:color w:val="010000"/>
        </w:rPr>
      </w:pPr>
    </w:p>
    <w:p>
      <w:pPr>
        <w:ind w:left="-540" w:right="220" w:firstLine="645"/>
        <w:spacing w:after="0" w:line="276" w:lineRule="auto"/>
        <w:tabs>
          <w:tab w:leader="none" w:pos="363" w:val="left"/>
        </w:tabs>
        <w:numPr>
          <w:ilvl w:val="0"/>
          <w:numId w:val="17"/>
        </w:numPr>
        <w:rPr>
          <w:rFonts w:ascii="Arial" w:cs="Arial" w:eastAsia="Arial" w:hAnsi="Arial"/>
          <w:sz w:val="17"/>
          <w:szCs w:val="17"/>
          <w:color w:val="010000"/>
        </w:rPr>
      </w:pPr>
      <w:r>
        <w:rPr>
          <w:rFonts w:ascii="Arial" w:cs="Arial" w:eastAsia="Arial" w:hAnsi="Arial"/>
          <w:sz w:val="17"/>
          <w:szCs w:val="17"/>
          <w:i w:val="1"/>
          <w:iCs w:val="1"/>
          <w:u w:val="single" w:color="auto"/>
          <w:color w:val="auto"/>
        </w:rPr>
        <w:t>Disclosure Controls</w:t>
      </w:r>
      <w:r>
        <w:rPr>
          <w:rFonts w:ascii="Arial" w:cs="Arial" w:eastAsia="Arial" w:hAnsi="Arial"/>
          <w:sz w:val="17"/>
          <w:szCs w:val="17"/>
          <w:color w:val="auto"/>
        </w:rPr>
        <w:t>. The Company has established and maintains disclosure controls and procedures (as defined in Rules 13a-15 and</w:t>
      </w:r>
      <w:r>
        <w:rPr>
          <w:rFonts w:ascii="Arial" w:cs="Arial" w:eastAsia="Arial" w:hAnsi="Arial"/>
          <w:sz w:val="17"/>
          <w:szCs w:val="17"/>
          <w:i w:val="1"/>
          <w:iCs w:val="1"/>
          <w:color w:val="auto"/>
        </w:rPr>
        <w:t xml:space="preserve"> </w:t>
      </w:r>
      <w:r>
        <w:rPr>
          <w:rFonts w:ascii="Arial" w:cs="Arial" w:eastAsia="Arial" w:hAnsi="Arial"/>
          <w:sz w:val="17"/>
          <w:szCs w:val="17"/>
          <w:color w:val="auto"/>
        </w:rPr>
        <w:t>15d-15 under the Exchange Act) and, except as disclosed in the Registration Statement, in the Time of Sale Disclosure Package and in the Prospectus,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Company’s Exchange Act filings and other public disclosure documents.</w:t>
      </w:r>
    </w:p>
    <w:p>
      <w:pPr>
        <w:spacing w:after="0" w:line="38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908" w:right="279" w:bottom="1440" w:gutter="0" w:footer="0" w:header="0"/>
        </w:sectPr>
      </w:pPr>
    </w:p>
    <w:bookmarkStart w:id="15" w:name="page16"/>
    <w:bookmarkEnd w:id="15"/>
    <w:p>
      <w:pPr>
        <w:ind w:left="-540" w:firstLine="645"/>
        <w:spacing w:after="0" w:line="268" w:lineRule="auto"/>
        <w:tabs>
          <w:tab w:leader="none" w:pos="353" w:val="left"/>
        </w:tabs>
        <w:numPr>
          <w:ilvl w:val="0"/>
          <w:numId w:val="18"/>
        </w:numPr>
        <w:rPr>
          <w:rFonts w:ascii="Arial" w:cs="Arial" w:eastAsia="Arial" w:hAnsi="Arial"/>
          <w:sz w:val="17"/>
          <w:szCs w:val="17"/>
          <w:color w:val="010000"/>
        </w:rPr>
      </w:pPr>
      <w:r>
        <w:rPr>
          <w:rFonts w:ascii="Arial" w:cs="Arial" w:eastAsia="Arial" w:hAnsi="Arial"/>
          <w:sz w:val="17"/>
          <w:szCs w:val="17"/>
          <w:i w:val="1"/>
          <w:iCs w:val="1"/>
          <w:u w:val="single" w:color="auto"/>
          <w:color w:val="auto"/>
        </w:rPr>
        <w:t>Anti-Bribery and Anti-Money Laundering Laws</w:t>
      </w:r>
      <w:r>
        <w:rPr>
          <w:rFonts w:ascii="Arial" w:cs="Arial" w:eastAsia="Arial" w:hAnsi="Arial"/>
          <w:sz w:val="17"/>
          <w:szCs w:val="17"/>
          <w:color w:val="auto"/>
        </w:rPr>
        <w:t>. Each of the Company, its subsidiaries, or to the Company’s knowledge its affiliates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their respective officers, directors, supervisors, managers, agents, or employees, has not violated, its participation in the offering will not violate, and the Company and its subsidiaries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88" w:lineRule="exact"/>
        <w:rPr>
          <w:sz w:val="20"/>
          <w:szCs w:val="20"/>
          <w:color w:val="auto"/>
        </w:rPr>
      </w:pPr>
    </w:p>
    <w:p>
      <w:pPr>
        <w:ind w:left="420" w:hanging="315"/>
        <w:spacing w:after="0"/>
        <w:tabs>
          <w:tab w:leader="none" w:pos="420" w:val="left"/>
        </w:tabs>
        <w:numPr>
          <w:ilvl w:val="0"/>
          <w:numId w:val="19"/>
        </w:numPr>
        <w:rPr>
          <w:rFonts w:ascii="Arial" w:cs="Arial" w:eastAsia="Arial" w:hAnsi="Arial"/>
          <w:sz w:val="17"/>
          <w:szCs w:val="17"/>
          <w:color w:val="010000"/>
        </w:rPr>
      </w:pPr>
      <w:r>
        <w:rPr>
          <w:rFonts w:ascii="Arial" w:cs="Arial" w:eastAsia="Arial" w:hAnsi="Arial"/>
          <w:sz w:val="17"/>
          <w:szCs w:val="17"/>
          <w:i w:val="1"/>
          <w:iCs w:val="1"/>
          <w:u w:val="single" w:color="auto"/>
          <w:color w:val="auto"/>
        </w:rPr>
        <w:t>OFAC</w:t>
      </w:r>
      <w:r>
        <w:rPr>
          <w:rFonts w:ascii="Arial" w:cs="Arial" w:eastAsia="Arial" w:hAnsi="Arial"/>
          <w:sz w:val="17"/>
          <w:szCs w:val="17"/>
          <w:color w:val="auto"/>
        </w:rPr>
        <w:t>.</w:t>
      </w:r>
    </w:p>
    <w:p>
      <w:pPr>
        <w:spacing w:after="0" w:line="236" w:lineRule="exact"/>
        <w:rPr>
          <w:rFonts w:ascii="Arial" w:cs="Arial" w:eastAsia="Arial" w:hAnsi="Arial"/>
          <w:sz w:val="17"/>
          <w:szCs w:val="17"/>
          <w:color w:val="010000"/>
        </w:rPr>
      </w:pPr>
    </w:p>
    <w:p>
      <w:pPr>
        <w:ind w:left="100" w:right="200" w:firstLine="653"/>
        <w:spacing w:after="0" w:line="264" w:lineRule="auto"/>
        <w:tabs>
          <w:tab w:leader="none" w:pos="963"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Neither the Company nor its subsidiaries, nor any of their directors, officers or employees, nor, to the Company’s knowledge, any agent, affiliate or representative of the Company or its subsidiaries, is an individual or entity that is, or is owned or controlled by an individual or entity that is:</w:t>
      </w:r>
    </w:p>
    <w:p>
      <w:pPr>
        <w:spacing w:after="0" w:line="181" w:lineRule="exact"/>
        <w:rPr>
          <w:rFonts w:ascii="Arial" w:cs="Arial" w:eastAsia="Arial" w:hAnsi="Arial"/>
          <w:sz w:val="18"/>
          <w:szCs w:val="18"/>
          <w:color w:val="010000"/>
        </w:rPr>
      </w:pPr>
    </w:p>
    <w:p>
      <w:pPr>
        <w:ind w:left="2040" w:right="280" w:hanging="639"/>
        <w:spacing w:after="0" w:line="264" w:lineRule="auto"/>
        <w:tabs>
          <w:tab w:leader="none" w:pos="2040" w:val="left"/>
        </w:tabs>
        <w:numPr>
          <w:ilvl w:val="2"/>
          <w:numId w:val="19"/>
        </w:numPr>
        <w:rPr>
          <w:rFonts w:ascii="Arial" w:cs="Arial" w:eastAsia="Arial" w:hAnsi="Arial"/>
          <w:sz w:val="18"/>
          <w:szCs w:val="18"/>
          <w:color w:val="010000"/>
        </w:rPr>
      </w:pPr>
      <w:r>
        <w:rPr>
          <w:rFonts w:ascii="Arial" w:cs="Arial" w:eastAsia="Arial" w:hAnsi="Arial"/>
          <w:sz w:val="18"/>
          <w:szCs w:val="18"/>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181" w:lineRule="exact"/>
        <w:rPr>
          <w:rFonts w:ascii="Arial" w:cs="Arial" w:eastAsia="Arial" w:hAnsi="Arial"/>
          <w:sz w:val="18"/>
          <w:szCs w:val="18"/>
          <w:color w:val="010000"/>
        </w:rPr>
      </w:pPr>
    </w:p>
    <w:p>
      <w:pPr>
        <w:ind w:left="2040" w:right="620" w:hanging="639"/>
        <w:spacing w:after="0" w:line="308" w:lineRule="auto"/>
        <w:tabs>
          <w:tab w:leader="none" w:pos="2040" w:val="left"/>
        </w:tabs>
        <w:numPr>
          <w:ilvl w:val="2"/>
          <w:numId w:val="19"/>
        </w:numPr>
        <w:rPr>
          <w:rFonts w:ascii="Arial" w:cs="Arial" w:eastAsia="Arial" w:hAnsi="Arial"/>
          <w:sz w:val="17"/>
          <w:szCs w:val="17"/>
          <w:color w:val="010000"/>
        </w:rPr>
      </w:pPr>
      <w:r>
        <w:rPr>
          <w:rFonts w:ascii="Arial" w:cs="Arial" w:eastAsia="Arial" w:hAnsi="Arial"/>
          <w:sz w:val="17"/>
          <w:szCs w:val="17"/>
          <w:color w:val="auto"/>
        </w:rPr>
        <w:t>located, organized or resident in a country or territory that is the subject of Sanctions (including, without limitation, Burma/Myanmar, Cuba, Iran, Libya, North Korea, Sudan and Syria).</w:t>
      </w:r>
    </w:p>
    <w:p>
      <w:pPr>
        <w:spacing w:after="0" w:line="146" w:lineRule="exact"/>
        <w:rPr>
          <w:rFonts w:ascii="Arial" w:cs="Arial" w:eastAsia="Arial" w:hAnsi="Arial"/>
          <w:sz w:val="17"/>
          <w:szCs w:val="17"/>
          <w:color w:val="010000"/>
        </w:rPr>
      </w:pPr>
    </w:p>
    <w:p>
      <w:pPr>
        <w:ind w:left="100" w:right="380" w:firstLine="653"/>
        <w:spacing w:after="0" w:line="277" w:lineRule="auto"/>
        <w:tabs>
          <w:tab w:leader="none" w:pos="1013"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Neither the Company nor its subsidiaries will, directly or indirectly, use the proceeds of the offering, or lend, contribute or otherwise make available such proceeds to any subsidiary, joint venture partner or other individual or entity:</w:t>
      </w:r>
    </w:p>
    <w:p>
      <w:pPr>
        <w:spacing w:after="0" w:line="170" w:lineRule="exact"/>
        <w:rPr>
          <w:rFonts w:ascii="Arial" w:cs="Arial" w:eastAsia="Arial" w:hAnsi="Arial"/>
          <w:sz w:val="18"/>
          <w:szCs w:val="18"/>
          <w:color w:val="010000"/>
        </w:rPr>
      </w:pPr>
    </w:p>
    <w:p>
      <w:pPr>
        <w:ind w:left="2040" w:right="320" w:hanging="639"/>
        <w:spacing w:after="0" w:line="277" w:lineRule="auto"/>
        <w:tabs>
          <w:tab w:leader="none" w:pos="2040" w:val="left"/>
        </w:tabs>
        <w:numPr>
          <w:ilvl w:val="2"/>
          <w:numId w:val="19"/>
        </w:numPr>
        <w:rPr>
          <w:rFonts w:ascii="Arial" w:cs="Arial" w:eastAsia="Arial" w:hAnsi="Arial"/>
          <w:sz w:val="18"/>
          <w:szCs w:val="18"/>
          <w:color w:val="010000"/>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70" w:lineRule="exact"/>
        <w:rPr>
          <w:rFonts w:ascii="Arial" w:cs="Arial" w:eastAsia="Arial" w:hAnsi="Arial"/>
          <w:sz w:val="18"/>
          <w:szCs w:val="18"/>
          <w:color w:val="010000"/>
        </w:rPr>
      </w:pPr>
    </w:p>
    <w:p>
      <w:pPr>
        <w:jc w:val="both"/>
        <w:ind w:left="2040" w:right="640" w:hanging="639"/>
        <w:spacing w:after="0" w:line="342" w:lineRule="auto"/>
        <w:tabs>
          <w:tab w:leader="none" w:pos="2040" w:val="left"/>
        </w:tabs>
        <w:numPr>
          <w:ilvl w:val="2"/>
          <w:numId w:val="19"/>
        </w:numPr>
        <w:rPr>
          <w:rFonts w:ascii="Arial" w:cs="Arial" w:eastAsia="Arial" w:hAnsi="Arial"/>
          <w:sz w:val="16"/>
          <w:szCs w:val="16"/>
          <w:color w:val="010000"/>
        </w:rPr>
      </w:pPr>
      <w:r>
        <w:rPr>
          <w:rFonts w:ascii="Arial" w:cs="Arial" w:eastAsia="Arial" w:hAnsi="Arial"/>
          <w:sz w:val="16"/>
          <w:szCs w:val="16"/>
          <w:color w:val="auto"/>
        </w:rPr>
        <w:t>in any other manner that will result in a violation of Sanctions by any individual or entity (including any individual or entity participating in the offering, whether as underwriter, advisor, investor or otherwise).</w:t>
      </w:r>
    </w:p>
    <w:p>
      <w:pPr>
        <w:spacing w:after="0" w:line="33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6" w:name="page17"/>
    <w:bookmarkEnd w:id="16"/>
    <w:p>
      <w:pPr>
        <w:jc w:val="both"/>
        <w:ind w:left="100" w:firstLine="653"/>
        <w:spacing w:after="0" w:line="264" w:lineRule="auto"/>
        <w:tabs>
          <w:tab w:leader="none" w:pos="1063" w:val="left"/>
        </w:tabs>
        <w:numPr>
          <w:ilvl w:val="1"/>
          <w:numId w:val="20"/>
        </w:numPr>
        <w:rPr>
          <w:rFonts w:ascii="Arial" w:cs="Arial" w:eastAsia="Arial" w:hAnsi="Arial"/>
          <w:sz w:val="18"/>
          <w:szCs w:val="18"/>
          <w:color w:val="010000"/>
        </w:rPr>
      </w:pPr>
      <w:r>
        <w:rPr>
          <w:rFonts w:ascii="Arial" w:cs="Arial" w:eastAsia="Arial" w:hAnsi="Arial"/>
          <w:sz w:val="18"/>
          <w:szCs w:val="18"/>
          <w:color w:val="auto"/>
        </w:rPr>
        <w:t>For the past five years, neither the Company nor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181" w:lineRule="exact"/>
        <w:rPr>
          <w:rFonts w:ascii="Arial" w:cs="Arial" w:eastAsia="Arial" w:hAnsi="Arial"/>
          <w:sz w:val="18"/>
          <w:szCs w:val="18"/>
          <w:color w:val="010000"/>
        </w:rPr>
      </w:pPr>
    </w:p>
    <w:p>
      <w:pPr>
        <w:ind w:left="-540" w:right="20" w:firstLine="645"/>
        <w:spacing w:after="0" w:line="253" w:lineRule="auto"/>
        <w:tabs>
          <w:tab w:leader="none" w:pos="453" w:val="left"/>
        </w:tabs>
        <w:numPr>
          <w:ilvl w:val="0"/>
          <w:numId w:val="21"/>
        </w:numPr>
        <w:rPr>
          <w:rFonts w:ascii="Arial" w:cs="Arial" w:eastAsia="Arial" w:hAnsi="Arial"/>
          <w:sz w:val="18"/>
          <w:szCs w:val="18"/>
          <w:color w:val="010000"/>
        </w:rPr>
      </w:pPr>
      <w:r>
        <w:rPr>
          <w:rFonts w:ascii="Arial" w:cs="Arial" w:eastAsia="Arial" w:hAnsi="Arial"/>
          <w:sz w:val="18"/>
          <w:szCs w:val="18"/>
          <w:i w:val="1"/>
          <w:iCs w:val="1"/>
          <w:u w:val="single" w:color="auto"/>
          <w:color w:val="auto"/>
        </w:rPr>
        <w:t>Compliance with Environmental Laws</w:t>
      </w:r>
      <w:r>
        <w:rPr>
          <w:rFonts w:ascii="Arial" w:cs="Arial" w:eastAsia="Arial" w:hAnsi="Arial"/>
          <w:sz w:val="18"/>
          <w:szCs w:val="18"/>
          <w:color w:val="auto"/>
        </w:rPr>
        <w:t>. Except as disclosed in the Registration Statement, the Time of Sale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neither the Company nor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its subsidiaries anticipates incurring any material capital expenditures relating to compliance with Environmental Laws.</w:t>
      </w:r>
    </w:p>
    <w:p>
      <w:pPr>
        <w:spacing w:after="0" w:line="197" w:lineRule="exact"/>
        <w:rPr>
          <w:rFonts w:ascii="Arial" w:cs="Arial" w:eastAsia="Arial" w:hAnsi="Arial"/>
          <w:sz w:val="18"/>
          <w:szCs w:val="18"/>
          <w:color w:val="010000"/>
        </w:rPr>
      </w:pPr>
    </w:p>
    <w:p>
      <w:pPr>
        <w:ind w:left="-540" w:firstLine="645"/>
        <w:spacing w:after="0" w:line="290" w:lineRule="auto"/>
        <w:tabs>
          <w:tab w:leader="none" w:pos="433" w:val="left"/>
        </w:tabs>
        <w:numPr>
          <w:ilvl w:val="0"/>
          <w:numId w:val="21"/>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Compliance with Occupational Laws</w:t>
      </w:r>
      <w:r>
        <w:rPr>
          <w:rFonts w:ascii="Arial" w:cs="Arial" w:eastAsia="Arial" w:hAnsi="Arial"/>
          <w:sz w:val="16"/>
          <w:szCs w:val="16"/>
          <w:color w:val="auto"/>
        </w:rPr>
        <w:t>. The Company and its subsidiaries (A) is in compliance, in all material respects, with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6"/>
          <w:szCs w:val="16"/>
          <w:b w:val="1"/>
          <w:bCs w:val="1"/>
          <w:i w:val="1"/>
          <w:iCs w:val="1"/>
          <w:color w:val="auto"/>
        </w:rPr>
        <w:t>“Occupational Laws”</w:t>
      </w:r>
      <w:r>
        <w:rPr>
          <w:rFonts w:ascii="Arial" w:cs="Arial" w:eastAsia="Arial" w:hAnsi="Arial"/>
          <w:sz w:val="16"/>
          <w:szCs w:val="16"/>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its subsidiaries relating to Occupational Laws, and the Company does not have knowledge of any facts, circumstances or developments relating to its operations that could reasonably be expected to form the basis for or give rise to such actions, suits, investigations or proceedings.</w:t>
      </w:r>
    </w:p>
    <w:p>
      <w:pPr>
        <w:spacing w:after="0" w:line="37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7" w:name="page18"/>
    <w:bookmarkEnd w:id="17"/>
    <w:p>
      <w:pPr>
        <w:ind w:left="4" w:firstLine="645"/>
        <w:spacing w:after="0" w:line="282" w:lineRule="auto"/>
        <w:tabs>
          <w:tab w:leader="none" w:pos="997" w:val="left"/>
        </w:tabs>
        <w:numPr>
          <w:ilvl w:val="1"/>
          <w:numId w:val="22"/>
        </w:numPr>
        <w:rPr>
          <w:rFonts w:ascii="Arial" w:cs="Arial" w:eastAsia="Arial" w:hAnsi="Arial"/>
          <w:sz w:val="16"/>
          <w:szCs w:val="16"/>
          <w:color w:val="010000"/>
        </w:rPr>
      </w:pPr>
      <w:r>
        <w:rPr>
          <w:rFonts w:ascii="Arial" w:cs="Arial" w:eastAsia="Arial" w:hAnsi="Arial"/>
          <w:sz w:val="16"/>
          <w:szCs w:val="16"/>
          <w:i w:val="1"/>
          <w:iCs w:val="1"/>
          <w:u w:val="single" w:color="auto"/>
          <w:color w:val="auto"/>
        </w:rPr>
        <w:t>ERISA and Employee Benefits Matters</w:t>
      </w:r>
      <w:r>
        <w:rPr>
          <w:rFonts w:ascii="Arial" w:cs="Arial" w:eastAsia="Arial" w:hAnsi="Arial"/>
          <w:sz w:val="16"/>
          <w:szCs w:val="16"/>
          <w:color w:val="auto"/>
        </w:rPr>
        <w:t>. (A) To the knowledge of the Company, no “prohibited transaction” as defined under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subsidiaries;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i w:val="1"/>
          <w:iCs w:val="1"/>
          <w:color w:val="auto"/>
        </w:rPr>
        <w:t>“Employee Benefit Plan”</w:t>
      </w:r>
      <w:r>
        <w:rPr>
          <w:rFonts w:ascii="Arial" w:cs="Arial" w:eastAsia="Arial" w:hAnsi="Arial"/>
          <w:sz w:val="16"/>
          <w:szCs w:val="16"/>
          <w:color w:val="auto"/>
        </w:rPr>
        <w:t xml:space="preserve">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its subsidiaries has any present or future right to benefits and which are contributed to, sponsored by or maintained by the Company or its subsidiaries or (y) the Company or its subsidiaries has had or has any present or future obligation or liability;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means the Employee Retirement Income Security Act of 1974, as amended;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xml:space="preserve"> means any member of the Company’s controlled group as defined in Code Section 414(b), (c),</w:t>
      </w:r>
    </w:p>
    <w:p>
      <w:pPr>
        <w:spacing w:after="0" w:line="11" w:lineRule="exact"/>
        <w:rPr>
          <w:rFonts w:ascii="Arial" w:cs="Arial" w:eastAsia="Arial" w:hAnsi="Arial"/>
          <w:sz w:val="16"/>
          <w:szCs w:val="16"/>
          <w:color w:val="010000"/>
        </w:rPr>
      </w:pPr>
    </w:p>
    <w:p>
      <w:pPr>
        <w:ind w:left="4" w:right="140" w:hanging="4"/>
        <w:spacing w:after="0" w:line="261"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or (o); and </w:t>
      </w:r>
      <w:r>
        <w:rPr>
          <w:rFonts w:ascii="Arial" w:cs="Arial" w:eastAsia="Arial" w:hAnsi="Arial"/>
          <w:sz w:val="18"/>
          <w:szCs w:val="18"/>
          <w:b w:val="1"/>
          <w:bCs w:val="1"/>
          <w:i w:val="1"/>
          <w:iCs w:val="1"/>
          <w:color w:val="auto"/>
        </w:rPr>
        <w:t>“Foreign Benefit Plan”</w:t>
      </w:r>
      <w:r>
        <w:rPr>
          <w:rFonts w:ascii="Arial" w:cs="Arial" w:eastAsia="Arial" w:hAnsi="Arial"/>
          <w:sz w:val="18"/>
          <w:szCs w:val="18"/>
          <w:color w:val="auto"/>
        </w:rPr>
        <w:t xml:space="preserve"> means any Employee Benefit Plan established, maintained or contributed to outside of the United States of America or which covers any employee working or residing outside of the United States.</w:t>
      </w:r>
    </w:p>
    <w:p>
      <w:pPr>
        <w:spacing w:after="0" w:line="183" w:lineRule="exact"/>
        <w:rPr>
          <w:rFonts w:ascii="Arial" w:cs="Arial" w:eastAsia="Arial" w:hAnsi="Arial"/>
          <w:sz w:val="18"/>
          <w:szCs w:val="18"/>
          <w:color w:val="auto"/>
        </w:rPr>
      </w:pPr>
    </w:p>
    <w:p>
      <w:pPr>
        <w:jc w:val="both"/>
        <w:ind w:left="4" w:right="80" w:firstLine="645"/>
        <w:spacing w:after="0" w:line="279" w:lineRule="auto"/>
        <w:tabs>
          <w:tab w:leader="none" w:pos="977" w:val="left"/>
        </w:tabs>
        <w:numPr>
          <w:ilvl w:val="1"/>
          <w:numId w:val="23"/>
        </w:numPr>
        <w:rPr>
          <w:rFonts w:ascii="Arial" w:cs="Arial" w:eastAsia="Arial" w:hAnsi="Arial"/>
          <w:sz w:val="17"/>
          <w:szCs w:val="17"/>
          <w:color w:val="010000"/>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neither the Company nor its subsidiaries has granted any material rights to develop, manufacture, produce, assemble, distribute, license, market or sell its products to any other person and is not bound by any material agreement that affects the exclusive right of the Company or its subsidiaries to develop, manufacture, produce, assemble, distribute, license, market or sell its products.</w:t>
      </w:r>
    </w:p>
    <w:p>
      <w:pPr>
        <w:spacing w:after="0" w:line="38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18" w:name="page19"/>
    <w:bookmarkEnd w:id="18"/>
    <w:p>
      <w:pPr>
        <w:ind w:left="-540" w:right="100" w:firstLine="645"/>
        <w:spacing w:after="0" w:line="264" w:lineRule="auto"/>
        <w:tabs>
          <w:tab w:leader="none" w:pos="390" w:val="left"/>
        </w:tabs>
        <w:numPr>
          <w:ilvl w:val="0"/>
          <w:numId w:val="24"/>
        </w:numPr>
        <w:rPr>
          <w:rFonts w:ascii="Arial" w:cs="Arial" w:eastAsia="Arial" w:hAnsi="Arial"/>
          <w:sz w:val="18"/>
          <w:szCs w:val="18"/>
          <w:color w:val="010000"/>
        </w:rPr>
      </w:pPr>
      <w:r>
        <w:rPr>
          <w:rFonts w:ascii="Arial" w:cs="Arial" w:eastAsia="Arial" w:hAnsi="Arial"/>
          <w:sz w:val="18"/>
          <w:szCs w:val="18"/>
          <w:i w:val="1"/>
          <w:iCs w:val="1"/>
          <w:u w:val="single" w:color="auto"/>
          <w:color w:val="auto"/>
        </w:rPr>
        <w:t>Labor Matters</w:t>
      </w:r>
      <w:r>
        <w:rPr>
          <w:rFonts w:ascii="Arial" w:cs="Arial" w:eastAsia="Arial" w:hAnsi="Arial"/>
          <w:sz w:val="18"/>
          <w:szCs w:val="18"/>
          <w:color w:val="auto"/>
        </w:rPr>
        <w:t>. No labor problem or dispute with the employees of the Company or its subsidiaries exists or is threatened or imminent,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 is not aware of any existing or imminent labor disturbance by the employees of any of its or its subsidiaries’ principal suppliers, contractors or customers, that could have a Material Adverse Effect.</w:t>
      </w:r>
    </w:p>
    <w:p>
      <w:pPr>
        <w:spacing w:after="0" w:line="181" w:lineRule="exact"/>
        <w:rPr>
          <w:rFonts w:ascii="Arial" w:cs="Arial" w:eastAsia="Arial" w:hAnsi="Arial"/>
          <w:sz w:val="18"/>
          <w:szCs w:val="18"/>
          <w:color w:val="010000"/>
        </w:rPr>
      </w:pPr>
    </w:p>
    <w:p>
      <w:pPr>
        <w:ind w:left="-540" w:right="20" w:firstLine="645"/>
        <w:spacing w:after="0" w:line="257" w:lineRule="auto"/>
        <w:tabs>
          <w:tab w:leader="none" w:pos="453" w:val="left"/>
        </w:tabs>
        <w:numPr>
          <w:ilvl w:val="0"/>
          <w:numId w:val="24"/>
        </w:numPr>
        <w:rPr>
          <w:rFonts w:ascii="Arial" w:cs="Arial" w:eastAsia="Arial" w:hAnsi="Arial"/>
          <w:sz w:val="18"/>
          <w:szCs w:val="18"/>
          <w:color w:val="010000"/>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 statements in Preliminary Prospectus, the Time of Sale Disclosure Package, and the Prospectus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heading “Description of Share Capital,” and under the heading “Business” in the Company’s annual report on Form 10-K for the year ended December 31, 2017, insofar as such statements purport to summarize such legal matters, agreements, documents, or proceedings discussed therein, are accurate in all material respects and fair summaries of such legal matters, agreements, documents, or proceedings, and present, in all material respects, the information required to be shown.</w:t>
      </w:r>
    </w:p>
    <w:p>
      <w:pPr>
        <w:spacing w:after="0" w:line="188" w:lineRule="exact"/>
        <w:rPr>
          <w:rFonts w:ascii="Arial" w:cs="Arial" w:eastAsia="Arial" w:hAnsi="Arial"/>
          <w:sz w:val="18"/>
          <w:szCs w:val="18"/>
          <w:color w:val="010000"/>
        </w:rPr>
      </w:pPr>
    </w:p>
    <w:p>
      <w:pPr>
        <w:ind w:left="-540" w:right="100" w:firstLine="645"/>
        <w:spacing w:after="0" w:line="264" w:lineRule="auto"/>
        <w:tabs>
          <w:tab w:leader="none" w:pos="453" w:val="left"/>
        </w:tabs>
        <w:numPr>
          <w:ilvl w:val="0"/>
          <w:numId w:val="24"/>
        </w:numPr>
        <w:rPr>
          <w:rFonts w:ascii="Arial" w:cs="Arial" w:eastAsia="Arial" w:hAnsi="Arial"/>
          <w:sz w:val="18"/>
          <w:szCs w:val="18"/>
          <w:color w:val="010000"/>
        </w:rPr>
      </w:pP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are based on or derived from sources that the Company reasonably believes to be reliable and accurate in all material respects.</w:t>
      </w:r>
    </w:p>
    <w:p>
      <w:pPr>
        <w:spacing w:after="0" w:line="181" w:lineRule="exact"/>
        <w:rPr>
          <w:rFonts w:ascii="Arial" w:cs="Arial" w:eastAsia="Arial" w:hAnsi="Arial"/>
          <w:sz w:val="18"/>
          <w:szCs w:val="18"/>
          <w:color w:val="010000"/>
        </w:rPr>
      </w:pPr>
    </w:p>
    <w:p>
      <w:pPr>
        <w:ind w:left="-540" w:right="60" w:firstLine="645"/>
        <w:spacing w:after="0" w:line="264" w:lineRule="auto"/>
        <w:tabs>
          <w:tab w:leader="none" w:pos="373" w:val="left"/>
        </w:tabs>
        <w:numPr>
          <w:ilvl w:val="0"/>
          <w:numId w:val="24"/>
        </w:numPr>
        <w:rPr>
          <w:rFonts w:ascii="Arial" w:cs="Arial" w:eastAsia="Arial" w:hAnsi="Arial"/>
          <w:sz w:val="18"/>
          <w:szCs w:val="18"/>
          <w:color w:val="010000"/>
        </w:rPr>
      </w:pP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Time of Sale Disclosure Package or the Prospectus has been made or reaffirmed without a reasonable basis or has been disclosed other than in good faith.</w:t>
      </w:r>
    </w:p>
    <w:p>
      <w:pPr>
        <w:spacing w:after="0" w:line="181" w:lineRule="exact"/>
        <w:rPr>
          <w:rFonts w:ascii="Arial" w:cs="Arial" w:eastAsia="Arial" w:hAnsi="Arial"/>
          <w:sz w:val="18"/>
          <w:szCs w:val="18"/>
          <w:color w:val="010000"/>
        </w:rPr>
      </w:pPr>
    </w:p>
    <w:p>
      <w:pPr>
        <w:ind w:left="-540" w:firstLine="645"/>
        <w:spacing w:after="0" w:line="268" w:lineRule="auto"/>
        <w:tabs>
          <w:tab w:leader="none" w:pos="373" w:val="left"/>
        </w:tabs>
        <w:numPr>
          <w:ilvl w:val="0"/>
          <w:numId w:val="24"/>
        </w:numPr>
        <w:rPr>
          <w:rFonts w:ascii="Arial" w:cs="Arial" w:eastAsia="Arial" w:hAnsi="Arial"/>
          <w:sz w:val="17"/>
          <w:szCs w:val="17"/>
          <w:color w:val="010000"/>
        </w:rPr>
      </w:pPr>
      <w:r>
        <w:rPr>
          <w:rFonts w:ascii="Arial" w:cs="Arial" w:eastAsia="Arial" w:hAnsi="Arial"/>
          <w:sz w:val="17"/>
          <w:szCs w:val="17"/>
          <w:i w:val="1"/>
          <w:iCs w:val="1"/>
          <w:u w:val="single" w:color="auto"/>
          <w:color w:val="auto"/>
        </w:rPr>
        <w:t>Exports and Imports</w:t>
      </w:r>
      <w:r>
        <w:rPr>
          <w:rFonts w:ascii="Arial" w:cs="Arial" w:eastAsia="Arial" w:hAnsi="Arial"/>
          <w:sz w:val="17"/>
          <w:szCs w:val="17"/>
          <w:color w:val="auto"/>
        </w:rPr>
        <w:t>. Except as disclosed in the Time of Sale Disclosure Package and the Prospectus, neither the Company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 (15 C.F.R. 730 et seq.), the Customs Laws of the United States (19 U.S.C. § 1 et seq.),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Time of Sale Disclosure Package and the Prospectus, to the Company’s knowledge, there has never been a claim or charge made in writing, investigation undertaken, violation found, or settlement of any enforcement action under any of the laws referred to herein by any governmental entity with respect to matters arising under such laws against the Company, or against its agents, distributors or representatives in connection with their relationship with the Company.</w:t>
      </w:r>
    </w:p>
    <w:p>
      <w:pPr>
        <w:spacing w:after="0" w:line="39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9" w:name="page20"/>
    <w:bookmarkEnd w:id="19"/>
    <w:p>
      <w:pPr>
        <w:ind w:left="4" w:firstLine="645"/>
        <w:spacing w:after="0" w:line="255" w:lineRule="auto"/>
        <w:tabs>
          <w:tab w:leader="none" w:pos="997" w:val="left"/>
        </w:tabs>
        <w:numPr>
          <w:ilvl w:val="1"/>
          <w:numId w:val="25"/>
        </w:numPr>
        <w:rPr>
          <w:rFonts w:ascii="Arial" w:cs="Arial" w:eastAsia="Arial" w:hAnsi="Arial"/>
          <w:sz w:val="18"/>
          <w:szCs w:val="18"/>
          <w:color w:val="010000"/>
        </w:rPr>
      </w:pPr>
      <w:r>
        <w:rPr>
          <w:rFonts w:ascii="Arial" w:cs="Arial" w:eastAsia="Arial" w:hAnsi="Arial"/>
          <w:sz w:val="18"/>
          <w:szCs w:val="18"/>
          <w:i w:val="1"/>
          <w:iCs w:val="1"/>
          <w:u w:val="single" w:color="auto"/>
          <w:color w:val="auto"/>
        </w:rPr>
        <w:t>Related Party Transactions</w:t>
      </w:r>
      <w:r>
        <w:rPr>
          <w:rFonts w:ascii="Arial" w:cs="Arial" w:eastAsia="Arial" w:hAnsi="Arial"/>
          <w:sz w:val="18"/>
          <w:szCs w:val="18"/>
          <w:color w:val="auto"/>
        </w:rPr>
        <w:t>. To the Company’s knowledge, no transaction has occurred between or among the Company,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any of the Company’s officers, directors or five percent or greater stockholders or any affiliate or affiliates of any such officer, director or five percent or greater stockholders that is required to be described that is not so described in the Registration Statement, the Time of Sale Disclosure Package and the Prospectus.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spacing w:after="0" w:line="193" w:lineRule="exact"/>
        <w:rPr>
          <w:rFonts w:ascii="Arial" w:cs="Arial" w:eastAsia="Arial" w:hAnsi="Arial"/>
          <w:sz w:val="18"/>
          <w:szCs w:val="18"/>
          <w:color w:val="010000"/>
        </w:rPr>
      </w:pPr>
    </w:p>
    <w:p>
      <w:pPr>
        <w:ind w:left="4" w:right="260" w:firstLine="645"/>
        <w:spacing w:after="0" w:line="342" w:lineRule="auto"/>
        <w:tabs>
          <w:tab w:leader="none" w:pos="917" w:val="left"/>
        </w:tabs>
        <w:numPr>
          <w:ilvl w:val="1"/>
          <w:numId w:val="25"/>
        </w:numPr>
        <w:rPr>
          <w:rFonts w:ascii="Arial" w:cs="Arial" w:eastAsia="Arial" w:hAnsi="Arial"/>
          <w:sz w:val="16"/>
          <w:szCs w:val="16"/>
          <w:color w:val="010000"/>
        </w:rPr>
      </w:pPr>
      <w:r>
        <w:rPr>
          <w:rFonts w:ascii="Arial" w:cs="Arial" w:eastAsia="Arial" w:hAnsi="Arial"/>
          <w:sz w:val="16"/>
          <w:szCs w:val="16"/>
          <w:i w:val="1"/>
          <w:iCs w:val="1"/>
          <w:u w:val="single" w:color="auto"/>
          <w:color w:val="auto"/>
        </w:rPr>
        <w:t>Effect of Certificates</w:t>
      </w:r>
      <w:r>
        <w:rPr>
          <w:rFonts w:ascii="Arial" w:cs="Arial" w:eastAsia="Arial" w:hAnsi="Arial"/>
          <w:sz w:val="16"/>
          <w:szCs w:val="16"/>
          <w:color w:val="auto"/>
        </w:rPr>
        <w:t>. Any certificate signed by any officer of the Company and delivered to the Representatives or to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shall be deemed a representation and warranty by the Company to each Underwriter as to the matters covered thereby.</w:t>
      </w:r>
    </w:p>
    <w:p>
      <w:pPr>
        <w:spacing w:after="0" w:line="123" w:lineRule="exact"/>
        <w:rPr>
          <w:rFonts w:ascii="Arial" w:cs="Arial" w:eastAsia="Arial" w:hAnsi="Arial"/>
          <w:sz w:val="16"/>
          <w:szCs w:val="16"/>
          <w:color w:val="010000"/>
        </w:rPr>
      </w:pPr>
    </w:p>
    <w:p>
      <w:pPr>
        <w:ind w:left="4" w:right="120" w:hanging="4"/>
        <w:spacing w:after="0" w:line="277" w:lineRule="auto"/>
        <w:tabs>
          <w:tab w:leader="none" w:pos="184" w:val="left"/>
        </w:tabs>
        <w:numPr>
          <w:ilvl w:val="0"/>
          <w:numId w:val="26"/>
        </w:numPr>
        <w:rPr>
          <w:rFonts w:ascii="Arial" w:cs="Arial" w:eastAsia="Arial" w:hAnsi="Arial"/>
          <w:sz w:val="18"/>
          <w:szCs w:val="18"/>
          <w:color w:val="010000"/>
        </w:rPr>
      </w:pPr>
      <w:r>
        <w:rPr>
          <w:rFonts w:ascii="Arial" w:cs="Arial" w:eastAsia="Arial" w:hAnsi="Arial"/>
          <w:sz w:val="18"/>
          <w:szCs w:val="18"/>
          <w:b w:val="1"/>
          <w:bCs w:val="1"/>
          <w:i w:val="1"/>
          <w:iCs w:val="1"/>
          <w:color w:val="auto"/>
        </w:rPr>
        <w:t>Representations and Warranties of the Selling Shareholder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Selling Shareholder represents and warrants to each Underwriter as of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the First Closing Date (as defined below) that:</w:t>
      </w:r>
    </w:p>
    <w:p>
      <w:pPr>
        <w:spacing w:after="0" w:line="170" w:lineRule="exact"/>
        <w:rPr>
          <w:rFonts w:ascii="Arial" w:cs="Arial" w:eastAsia="Arial" w:hAnsi="Arial"/>
          <w:sz w:val="18"/>
          <w:szCs w:val="18"/>
          <w:color w:val="010000"/>
        </w:rPr>
      </w:pPr>
    </w:p>
    <w:p>
      <w:pPr>
        <w:ind w:left="4" w:right="60" w:firstLine="645"/>
        <w:spacing w:after="0" w:line="283" w:lineRule="auto"/>
        <w:tabs>
          <w:tab w:leader="none" w:pos="897" w:val="left"/>
        </w:tabs>
        <w:numPr>
          <w:ilvl w:val="1"/>
          <w:numId w:val="26"/>
        </w:numPr>
        <w:rPr>
          <w:rFonts w:ascii="Arial" w:cs="Arial" w:eastAsia="Arial" w:hAnsi="Arial"/>
          <w:sz w:val="16"/>
          <w:szCs w:val="16"/>
          <w:color w:val="010000"/>
        </w:rPr>
      </w:pPr>
      <w:r>
        <w:rPr>
          <w:rFonts w:ascii="Arial" w:cs="Arial" w:eastAsia="Arial" w:hAnsi="Arial"/>
          <w:sz w:val="16"/>
          <w:szCs w:val="16"/>
          <w:i w:val="1"/>
          <w:iCs w:val="1"/>
          <w:u w:val="single" w:color="auto"/>
          <w:color w:val="auto"/>
        </w:rPr>
        <w:t>Valid Title</w:t>
      </w:r>
      <w:r>
        <w:rPr>
          <w:rFonts w:ascii="Arial" w:cs="Arial" w:eastAsia="Arial" w:hAnsi="Arial"/>
          <w:sz w:val="16"/>
          <w:szCs w:val="16"/>
          <w:color w:val="auto"/>
        </w:rPr>
        <w:t>. Such Selling Shareholder has, and immediately prior to the First Closing Date, such Selling Shareholder will have,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 title to, or a valid “security entitlement” within the meaning of Section 8-501 of the New York Uniform Commercial Code (the </w:t>
      </w:r>
      <w:r>
        <w:rPr>
          <w:rFonts w:ascii="Arial" w:cs="Arial" w:eastAsia="Arial" w:hAnsi="Arial"/>
          <w:sz w:val="16"/>
          <w:szCs w:val="16"/>
          <w:b w:val="1"/>
          <w:bCs w:val="1"/>
          <w:i w:val="1"/>
          <w:iCs w:val="1"/>
          <w:color w:val="auto"/>
        </w:rPr>
        <w:t>“UCC”</w:t>
      </w:r>
      <w:r>
        <w:rPr>
          <w:rFonts w:ascii="Arial" w:cs="Arial" w:eastAsia="Arial" w:hAnsi="Arial"/>
          <w:sz w:val="16"/>
          <w:szCs w:val="16"/>
          <w:color w:val="auto"/>
        </w:rPr>
        <w:t>) in respect of, the Securities to be sold by such Selling Shareholder hereunder on such date, free and clear of all liens, security interests, encumbrances, equities or claims of any kind, other than pursuant to this Agreement; upon payment for the Securities to be sold by such Selling Shareholder pursuant to this Agreement, delivery of such Securities, as directed by the Underwriters, to Cede &amp; Co. (</w:t>
      </w:r>
      <w:r>
        <w:rPr>
          <w:rFonts w:ascii="Arial" w:cs="Arial" w:eastAsia="Arial" w:hAnsi="Arial"/>
          <w:sz w:val="16"/>
          <w:szCs w:val="16"/>
          <w:b w:val="1"/>
          <w:bCs w:val="1"/>
          <w:i w:val="1"/>
          <w:iCs w:val="1"/>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registration of such Securities in the name of Cede or such other nominee, and the crediting of such Securities on the books of DTC to securities accounts of the Underwriters (assuming that neither DTC nor any such Underwriter has notice of any “adverse claim,” within the meaning of Section 8-105 of the UCC to such Securities), (A) DTC shall be a “protected purchaser” of such Securities within the meaning of Section 8-303 of the UCC and will acquire its interest in the Securities (including without limitation, all rights that such Selling Shareholder had or has the power to transfer in such Securities) free and clear of any “adverse claim” within in the meaning of Section 8-102 of the UCC, (B) under Section 8-501 of the UCC, the Underwriters will acquire a valid security entitlement in respect of such Securities and</w:t>
      </w:r>
    </w:p>
    <w:p>
      <w:pPr>
        <w:spacing w:after="0" w:line="4" w:lineRule="exact"/>
        <w:rPr>
          <w:rFonts w:ascii="Arial" w:cs="Arial" w:eastAsia="Arial" w:hAnsi="Arial"/>
          <w:sz w:val="16"/>
          <w:szCs w:val="16"/>
          <w:color w:val="010000"/>
        </w:rPr>
      </w:pPr>
    </w:p>
    <w:p>
      <w:pPr>
        <w:ind w:left="4" w:right="260"/>
        <w:spacing w:after="0" w:line="270" w:lineRule="auto"/>
        <w:rPr>
          <w:rFonts w:ascii="Arial" w:cs="Arial" w:eastAsia="Arial" w:hAnsi="Arial"/>
          <w:sz w:val="16"/>
          <w:szCs w:val="16"/>
          <w:color w:val="010000"/>
        </w:rPr>
      </w:pPr>
      <w:r>
        <w:rPr>
          <w:rFonts w:ascii="Arial" w:cs="Arial" w:eastAsia="Arial" w:hAnsi="Arial"/>
          <w:sz w:val="17"/>
          <w:szCs w:val="17"/>
          <w:color w:val="auto"/>
        </w:rPr>
        <w:t>(C) no action based on any “adverse claim” within the meaning of Section 8-102 of the UCC to such Securities may be asserted against the Underwriters with respect to such security entitlement; for purposes of this Section 3(a), such Selling Shareholder may assume that when such payment, delivery (if necessary) and crediting occur, (x) such Securities will have been registered in the name of Cede or another nominee designated by DTC, in each case on the Company’s share registry in accordance with the Company’s charter,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38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20" w:name="page21"/>
    <w:bookmarkEnd w:id="20"/>
    <w:p>
      <w:pPr>
        <w:ind w:left="360" w:hanging="255"/>
        <w:spacing w:after="0"/>
        <w:tabs>
          <w:tab w:leader="none" w:pos="360" w:val="left"/>
        </w:tabs>
        <w:numPr>
          <w:ilvl w:val="0"/>
          <w:numId w:val="27"/>
        </w:numPr>
        <w:rPr>
          <w:rFonts w:ascii="Arial" w:cs="Arial" w:eastAsia="Arial" w:hAnsi="Arial"/>
          <w:sz w:val="16"/>
          <w:szCs w:val="16"/>
          <w:color w:val="010000"/>
        </w:rPr>
      </w:pPr>
      <w:r>
        <w:rPr>
          <w:rFonts w:ascii="Arial" w:cs="Arial" w:eastAsia="Arial" w:hAnsi="Arial"/>
          <w:sz w:val="16"/>
          <w:szCs w:val="16"/>
          <w:i w:val="1"/>
          <w:iCs w:val="1"/>
          <w:u w:val="single" w:color="auto"/>
          <w:color w:val="auto"/>
        </w:rPr>
        <w:t>Underwriting Agreement</w:t>
      </w:r>
      <w:r>
        <w:rPr>
          <w:rFonts w:ascii="Arial" w:cs="Arial" w:eastAsia="Arial" w:hAnsi="Arial"/>
          <w:sz w:val="16"/>
          <w:szCs w:val="16"/>
          <w:color w:val="auto"/>
        </w:rPr>
        <w:t>. This Agreement has been duly authorized, executed and delivered by or on behalf of such Selling Shareholder.</w:t>
      </w:r>
    </w:p>
    <w:p>
      <w:pPr>
        <w:spacing w:after="0" w:line="248" w:lineRule="exact"/>
        <w:rPr>
          <w:rFonts w:ascii="Arial" w:cs="Arial" w:eastAsia="Arial" w:hAnsi="Arial"/>
          <w:sz w:val="16"/>
          <w:szCs w:val="16"/>
          <w:color w:val="010000"/>
        </w:rPr>
      </w:pPr>
    </w:p>
    <w:p>
      <w:pPr>
        <w:jc w:val="both"/>
        <w:ind w:left="-540" w:right="220" w:firstLine="645"/>
        <w:spacing w:after="0" w:line="257" w:lineRule="auto"/>
        <w:tabs>
          <w:tab w:leader="none" w:pos="353" w:val="left"/>
        </w:tabs>
        <w:numPr>
          <w:ilvl w:val="0"/>
          <w:numId w:val="27"/>
        </w:numPr>
        <w:rPr>
          <w:rFonts w:ascii="Arial" w:cs="Arial" w:eastAsia="Arial" w:hAnsi="Arial"/>
          <w:sz w:val="18"/>
          <w:szCs w:val="18"/>
          <w:color w:val="010000"/>
        </w:rPr>
      </w:pPr>
      <w:r>
        <w:rPr>
          <w:rFonts w:ascii="Arial" w:cs="Arial" w:eastAsia="Arial" w:hAnsi="Arial"/>
          <w:sz w:val="18"/>
          <w:szCs w:val="18"/>
          <w:i w:val="1"/>
          <w:iCs w:val="1"/>
          <w:u w:val="single" w:color="auto"/>
          <w:color w:val="auto"/>
        </w:rPr>
        <w:t>Power of Attorney</w:t>
      </w:r>
      <w:r>
        <w:rPr>
          <w:rFonts w:ascii="Arial" w:cs="Arial" w:eastAsia="Arial" w:hAnsi="Arial"/>
          <w:sz w:val="18"/>
          <w:szCs w:val="18"/>
          <w:color w:val="auto"/>
        </w:rPr>
        <w:t>. Such Selling Shareholder has the full right, power and authority to enter into an irrevocable power of attorney (a</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“Power of Attorney”</w:t>
      </w:r>
      <w:r>
        <w:rPr>
          <w:rFonts w:ascii="Arial" w:cs="Arial" w:eastAsia="Arial" w:hAnsi="Arial"/>
          <w:sz w:val="18"/>
          <w:szCs w:val="18"/>
          <w:color w:val="auto"/>
        </w:rPr>
        <w:t>) authorizing and directing Tom Lobene, Mark Povey, Lance Maerov, Gaston Levin, Andrew Scott and any manager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Selling Shareholder, each acting individually in the name and on behalf of the Company, as attorney-in-fact (the </w:t>
      </w:r>
      <w:r>
        <w:rPr>
          <w:rFonts w:ascii="Arial" w:cs="Arial" w:eastAsia="Arial" w:hAnsi="Arial"/>
          <w:sz w:val="18"/>
          <w:szCs w:val="18"/>
          <w:b w:val="1"/>
          <w:bCs w:val="1"/>
          <w:i w:val="1"/>
          <w:iCs w:val="1"/>
          <w:color w:val="auto"/>
        </w:rPr>
        <w:t>“Attorney-in-Fact”</w:t>
      </w:r>
      <w:r>
        <w:rPr>
          <w:rFonts w:ascii="Arial" w:cs="Arial" w:eastAsia="Arial" w:hAnsi="Arial"/>
          <w:sz w:val="18"/>
          <w:szCs w:val="18"/>
          <w:color w:val="auto"/>
        </w:rPr>
        <w:t>), to effect the sale and delivery of the Securities being sold by such Selling Shareholder, to enter into this Agreement and to take all such other action as may be necessary hereunder.</w:t>
      </w:r>
    </w:p>
    <w:p>
      <w:pPr>
        <w:spacing w:after="0" w:line="188" w:lineRule="exact"/>
        <w:rPr>
          <w:rFonts w:ascii="Arial" w:cs="Arial" w:eastAsia="Arial" w:hAnsi="Arial"/>
          <w:sz w:val="18"/>
          <w:szCs w:val="18"/>
          <w:color w:val="010000"/>
        </w:rPr>
      </w:pPr>
    </w:p>
    <w:p>
      <w:pPr>
        <w:ind w:left="-540" w:right="240" w:firstLine="645"/>
        <w:spacing w:after="0" w:line="277" w:lineRule="auto"/>
        <w:tabs>
          <w:tab w:leader="none" w:pos="363" w:val="left"/>
        </w:tabs>
        <w:numPr>
          <w:ilvl w:val="0"/>
          <w:numId w:val="27"/>
        </w:numPr>
        <w:rPr>
          <w:rFonts w:ascii="Arial" w:cs="Arial" w:eastAsia="Arial" w:hAnsi="Arial"/>
          <w:sz w:val="18"/>
          <w:szCs w:val="18"/>
          <w:color w:val="010000"/>
        </w:rPr>
      </w:pPr>
      <w:r>
        <w:rPr>
          <w:rFonts w:ascii="Arial" w:cs="Arial" w:eastAsia="Arial" w:hAnsi="Arial"/>
          <w:sz w:val="18"/>
          <w:szCs w:val="18"/>
          <w:i w:val="1"/>
          <w:iCs w:val="1"/>
          <w:u w:val="single" w:color="auto"/>
          <w:color w:val="auto"/>
        </w:rPr>
        <w:t>Payment of Expenses</w:t>
      </w:r>
      <w:r>
        <w:rPr>
          <w:rFonts w:ascii="Arial" w:cs="Arial" w:eastAsia="Arial" w:hAnsi="Arial"/>
          <w:sz w:val="18"/>
          <w:szCs w:val="18"/>
          <w:color w:val="auto"/>
        </w:rPr>
        <w:t>. Such Selling Shareholder will pay all taxes, if any, on the transfer and sale, respectively, of the Securities being</w:t>
      </w:r>
      <w:r>
        <w:rPr>
          <w:rFonts w:ascii="Arial" w:cs="Arial" w:eastAsia="Arial" w:hAnsi="Arial"/>
          <w:sz w:val="18"/>
          <w:szCs w:val="18"/>
          <w:i w:val="1"/>
          <w:iCs w:val="1"/>
          <w:color w:val="auto"/>
        </w:rPr>
        <w:t xml:space="preserve"> </w:t>
      </w:r>
      <w:r>
        <w:rPr>
          <w:rFonts w:ascii="Arial" w:cs="Arial" w:eastAsia="Arial" w:hAnsi="Arial"/>
          <w:sz w:val="18"/>
          <w:szCs w:val="18"/>
          <w:color w:val="auto"/>
        </w:rPr>
        <w:t>sold by such Selling Shareholder and the fees of such Selling Shareholder’s counsel, accountant or other adviser.</w:t>
      </w:r>
    </w:p>
    <w:p>
      <w:pPr>
        <w:spacing w:after="0" w:line="170" w:lineRule="exact"/>
        <w:rPr>
          <w:rFonts w:ascii="Arial" w:cs="Arial" w:eastAsia="Arial" w:hAnsi="Arial"/>
          <w:sz w:val="18"/>
          <w:szCs w:val="18"/>
          <w:color w:val="010000"/>
        </w:rPr>
      </w:pPr>
    </w:p>
    <w:p>
      <w:pPr>
        <w:ind w:left="-540" w:right="20" w:firstLine="645"/>
        <w:spacing w:after="0" w:line="285" w:lineRule="auto"/>
        <w:tabs>
          <w:tab w:leader="none" w:pos="353" w:val="left"/>
        </w:tabs>
        <w:numPr>
          <w:ilvl w:val="0"/>
          <w:numId w:val="27"/>
        </w:numPr>
        <w:rPr>
          <w:rFonts w:ascii="Arial" w:cs="Arial" w:eastAsia="Arial" w:hAnsi="Arial"/>
          <w:sz w:val="16"/>
          <w:szCs w:val="16"/>
          <w:color w:val="010000"/>
        </w:rPr>
      </w:pPr>
      <w:r>
        <w:rPr>
          <w:rFonts w:ascii="Arial" w:cs="Arial" w:eastAsia="Arial" w:hAnsi="Arial"/>
          <w:sz w:val="16"/>
          <w:szCs w:val="16"/>
          <w:i w:val="1"/>
          <w:iCs w:val="1"/>
          <w:u w:val="single" w:color="auto"/>
          <w:color w:val="auto"/>
        </w:rPr>
        <w:t>Due Authorization; No Conflict; No Consent</w:t>
      </w:r>
      <w:r>
        <w:rPr>
          <w:rFonts w:ascii="Arial" w:cs="Arial" w:eastAsia="Arial" w:hAnsi="Arial"/>
          <w:sz w:val="16"/>
          <w:szCs w:val="16"/>
          <w:color w:val="auto"/>
        </w:rPr>
        <w:t>. Such Selling Shareholder has full right, power and authority to enter into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of this Agreement, the consummation by such Selling Shareholder of the transactions contemplated hereby and the compliance by such Selling Shareholder with its obligations hereunder have been duly authorized and do not and will not (with or without notice or lapse of time or both) (i) conflict with or result in a breach or violation of any of the terms or provisions of, constitute a default under, or result in the creation or imposition of any lien, encumbrance, security interest, claim or charge upon the Securities to be sold by such Selling Shareholder hereunder or any other property or assets of such Selling Shareholder pursuant to, any indenture, mortgage, deed of trust, loan agreement or other agreement or instrument to which such Selling Shareholder is a party or by which such Selling Shareholder is bound or to which any of the property or assets of such Selling Shareholder is subject, or (ii) result in any violation of any law, statute, rule, regulation, judgment, order or decree of any court or governmental agency or body, domestic or foreign, having jurisdiction over such Selling Shareholder or any property or assets of such Selling Shareholder, except, in the case of clauses (i) and (ii) above, for such conflicts, breaches or violations that would not, singly or in the aggregate, affect the validity of the Shares to be sold by the Selling Shareholder or impair the ability of the Selling Shareholder to consummate the transactions contemplated by this Agreement; and, except for the registration of the Securities under the Act and such consents, approvals, authorizations, registrations or qualifications as may be required under applicable state securities or blue sky laws in connection with the purchase and distribution of the Securities by the Underwriters, no consent, approval, authorization or order of, or filing or registration with, any such court or governmental or non-governmental agency or body is required for the execution, delivery and performance of this Agreement by such Selling Shareholder, and the consummation by such Selling Shareholder of the transactions contemplated hereby.</w:t>
      </w:r>
    </w:p>
    <w:p>
      <w:pPr>
        <w:spacing w:after="0" w:line="38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1" w:name="page22"/>
    <w:bookmarkEnd w:id="21"/>
    <w:p>
      <w:pPr>
        <w:ind w:left="4" w:firstLine="645"/>
        <w:spacing w:after="0" w:line="284" w:lineRule="auto"/>
        <w:tabs>
          <w:tab w:leader="none" w:pos="877" w:val="left"/>
        </w:tabs>
        <w:numPr>
          <w:ilvl w:val="1"/>
          <w:numId w:val="28"/>
        </w:numPr>
        <w:rPr>
          <w:rFonts w:ascii="Arial" w:cs="Arial" w:eastAsia="Arial" w:hAnsi="Arial"/>
          <w:sz w:val="16"/>
          <w:szCs w:val="16"/>
          <w:color w:val="010000"/>
        </w:rPr>
      </w:pPr>
      <w:r>
        <w:rPr>
          <w:rFonts w:ascii="Arial" w:cs="Arial" w:eastAsia="Arial" w:hAnsi="Arial"/>
          <w:sz w:val="16"/>
          <w:szCs w:val="16"/>
          <w:i w:val="1"/>
          <w:iCs w:val="1"/>
          <w:u w:val="single" w:color="auto"/>
          <w:color w:val="auto"/>
        </w:rPr>
        <w:t>No Material Misstatements</w:t>
      </w:r>
      <w:r>
        <w:rPr>
          <w:rFonts w:ascii="Arial" w:cs="Arial" w:eastAsia="Arial" w:hAnsi="Arial"/>
          <w:sz w:val="16"/>
          <w:szCs w:val="16"/>
          <w:color w:val="auto"/>
        </w:rPr>
        <w:t>. At the respective times the Registration Statement and any amendments thereto became or become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the date of this Agreement and at the First Closing Date, the Registration Statement and any amendments thereto did not and will not contain any untrue statement of a material fact or omit to state any material fact required to be stated therein or necessary to make the statements therein not misleading; and the Time of Sale Disclosure Package, the Prospectus and any amendments or supplements thereto, at time the Prospectus or any amendment or supplement thereto was issued and at the First Closing Date (as defined below), did not and will not contain an untrue statement of a material fact or omit to state a material fact required to be stated therein or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representations and warranties in this paragraph</w:t>
      </w:r>
    </w:p>
    <w:p>
      <w:pPr>
        <w:spacing w:after="0" w:line="2" w:lineRule="exact"/>
        <w:rPr>
          <w:rFonts w:ascii="Arial" w:cs="Arial" w:eastAsia="Arial" w:hAnsi="Arial"/>
          <w:sz w:val="16"/>
          <w:szCs w:val="16"/>
          <w:color w:val="010000"/>
        </w:rPr>
      </w:pPr>
    </w:p>
    <w:p>
      <w:pPr>
        <w:ind w:left="4" w:right="20" w:hanging="4"/>
        <w:spacing w:after="0" w:line="287" w:lineRule="auto"/>
        <w:tabs>
          <w:tab w:leader="none" w:pos="2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apply only to the extent that any information contained in or omitted from the Registration Statement or Prospectus was made in reliance upon and in conformity with written information furnished to the Company by such Selling Shareholder it being understood and agreed that the only such information furnished by or on behalf of such Selling Shareholder specifically for inclusion in the Registration Statement, any Preliminary Prospectus, the Time of Sale Disclosure Package, the Prospectus or any issuer free writing prospectus consists of the name and address of such Selling Shareholder and the number of Shares held by such Selling Shareholder before and after the offering under the caption “Selling Shareholder” (in all cases excluding percentages) in the Preliminary Prospectus, Time of Sale Disclosure Package and Prospectus, as well as all of the information set forth in the footnote to the table therein (the “</w:t>
      </w:r>
      <w:r>
        <w:rPr>
          <w:rFonts w:ascii="Arial" w:cs="Arial" w:eastAsia="Arial" w:hAnsi="Arial"/>
          <w:sz w:val="16"/>
          <w:szCs w:val="16"/>
          <w:b w:val="1"/>
          <w:bCs w:val="1"/>
          <w:i w:val="1"/>
          <w:iCs w:val="1"/>
          <w:color w:val="auto"/>
        </w:rPr>
        <w:t>Selling Shareholder Information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Selling Shareholder makes no representation or warranty with respect to any statements made in reliance upon and in conformity with the Underwriters Information.</w:t>
      </w:r>
    </w:p>
    <w:p>
      <w:pPr>
        <w:spacing w:after="0" w:line="170" w:lineRule="exact"/>
        <w:rPr>
          <w:rFonts w:ascii="Arial" w:cs="Arial" w:eastAsia="Arial" w:hAnsi="Arial"/>
          <w:sz w:val="16"/>
          <w:szCs w:val="16"/>
          <w:color w:val="auto"/>
        </w:rPr>
      </w:pPr>
    </w:p>
    <w:p>
      <w:pPr>
        <w:ind w:left="4" w:right="40" w:firstLine="645"/>
        <w:spacing w:after="0" w:line="279" w:lineRule="auto"/>
        <w:tabs>
          <w:tab w:leader="none" w:pos="907" w:val="left"/>
        </w:tabs>
        <w:numPr>
          <w:ilvl w:val="1"/>
          <w:numId w:val="29"/>
        </w:numPr>
        <w:rPr>
          <w:rFonts w:ascii="Arial" w:cs="Arial" w:eastAsia="Arial" w:hAnsi="Arial"/>
          <w:sz w:val="17"/>
          <w:szCs w:val="17"/>
          <w:color w:val="010000"/>
        </w:rPr>
      </w:pPr>
      <w:r>
        <w:rPr>
          <w:rFonts w:ascii="Arial" w:cs="Arial" w:eastAsia="Arial" w:hAnsi="Arial"/>
          <w:sz w:val="17"/>
          <w:szCs w:val="17"/>
          <w:i w:val="1"/>
          <w:iCs w:val="1"/>
          <w:u w:val="single" w:color="auto"/>
          <w:color w:val="auto"/>
        </w:rPr>
        <w:t>No Other Offering Materials</w:t>
      </w:r>
      <w:r>
        <w:rPr>
          <w:rFonts w:ascii="Arial" w:cs="Arial" w:eastAsia="Arial" w:hAnsi="Arial"/>
          <w:sz w:val="17"/>
          <w:szCs w:val="17"/>
          <w:color w:val="auto"/>
        </w:rPr>
        <w:t>. Such Selling Shareholder has not distributed and will not distribute any prospectus or other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 in connection with the offering and sale of the Securities other than any Preliminary Prospectus, the Time of Sale Disclosure Package or the Prospectus or other materials permitted by the Act to be distributed by such Selling Shareholder;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Shareholder has not made nor will it make any offer relating to the Securities that would constitute a free writing prospectus.</w:t>
      </w:r>
    </w:p>
    <w:p>
      <w:pPr>
        <w:spacing w:after="0" w:line="171" w:lineRule="exact"/>
        <w:rPr>
          <w:rFonts w:ascii="Arial" w:cs="Arial" w:eastAsia="Arial" w:hAnsi="Arial"/>
          <w:sz w:val="17"/>
          <w:szCs w:val="17"/>
          <w:color w:val="010000"/>
        </w:rPr>
      </w:pPr>
    </w:p>
    <w:p>
      <w:pPr>
        <w:ind w:left="4" w:right="60" w:firstLine="645"/>
        <w:spacing w:after="0" w:line="308" w:lineRule="auto"/>
        <w:tabs>
          <w:tab w:leader="none" w:pos="907" w:val="left"/>
        </w:tabs>
        <w:numPr>
          <w:ilvl w:val="1"/>
          <w:numId w:val="29"/>
        </w:numPr>
        <w:rPr>
          <w:rFonts w:ascii="Arial" w:cs="Arial" w:eastAsia="Arial" w:hAnsi="Arial"/>
          <w:sz w:val="17"/>
          <w:szCs w:val="17"/>
          <w:color w:val="010000"/>
        </w:rPr>
      </w:pPr>
      <w:r>
        <w:rPr>
          <w:rFonts w:ascii="Arial" w:cs="Arial" w:eastAsia="Arial" w:hAnsi="Arial"/>
          <w:sz w:val="17"/>
          <w:szCs w:val="17"/>
          <w:i w:val="1"/>
          <w:iCs w:val="1"/>
          <w:u w:val="single" w:color="auto"/>
          <w:color w:val="auto"/>
        </w:rPr>
        <w:t>No Material, Non-Public Information</w:t>
      </w:r>
      <w:r>
        <w:rPr>
          <w:rFonts w:ascii="Arial" w:cs="Arial" w:eastAsia="Arial" w:hAnsi="Arial"/>
          <w:sz w:val="17"/>
          <w:szCs w:val="17"/>
          <w:color w:val="auto"/>
        </w:rPr>
        <w:t>. Such Selling Shareholder is not prompted to sell its Securities pursuant to this Agreement by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information concerning the Company or its subsidiaries that has not been disclosed in the Time of Sale Disclosure Package.</w:t>
      </w:r>
    </w:p>
    <w:p>
      <w:pPr>
        <w:spacing w:after="0" w:line="146" w:lineRule="exact"/>
        <w:rPr>
          <w:rFonts w:ascii="Arial" w:cs="Arial" w:eastAsia="Arial" w:hAnsi="Arial"/>
          <w:sz w:val="17"/>
          <w:szCs w:val="17"/>
          <w:color w:val="010000"/>
        </w:rPr>
      </w:pPr>
    </w:p>
    <w:p>
      <w:pPr>
        <w:ind w:left="4" w:firstLine="645"/>
        <w:spacing w:after="0" w:line="264" w:lineRule="auto"/>
        <w:tabs>
          <w:tab w:leader="none" w:pos="867" w:val="left"/>
        </w:tabs>
        <w:numPr>
          <w:ilvl w:val="1"/>
          <w:numId w:val="29"/>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Stabilization</w:t>
      </w:r>
      <w:r>
        <w:rPr>
          <w:rFonts w:ascii="Arial" w:cs="Arial" w:eastAsia="Arial" w:hAnsi="Arial"/>
          <w:sz w:val="18"/>
          <w:szCs w:val="18"/>
          <w:color w:val="auto"/>
        </w:rPr>
        <w:t>. Such Selling Shareholder has not taken, directly or indirectly, any action designed or intended to stabilize or manipulate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of any security of the Company, or which caused or resulted in, or which might reasonably be expected to cause or result in, the stabilization or manipulation of the price of any security of the Company.</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22" w:name="page23"/>
    <w:bookmarkEnd w:id="22"/>
    <w:p>
      <w:pPr>
        <w:jc w:val="both"/>
        <w:ind w:left="660" w:right="20" w:firstLine="645"/>
        <w:spacing w:after="0" w:line="264" w:lineRule="auto"/>
        <w:tabs>
          <w:tab w:leader="none" w:pos="1523" w:val="left"/>
        </w:tabs>
        <w:numPr>
          <w:ilvl w:val="0"/>
          <w:numId w:val="30"/>
        </w:numPr>
        <w:rPr>
          <w:rFonts w:ascii="Arial" w:cs="Arial" w:eastAsia="Arial" w:hAnsi="Arial"/>
          <w:sz w:val="18"/>
          <w:szCs w:val="18"/>
          <w:color w:val="010000"/>
        </w:rPr>
      </w:pPr>
      <w:r>
        <w:rPr>
          <w:rFonts w:ascii="Arial" w:cs="Arial" w:eastAsia="Arial" w:hAnsi="Arial"/>
          <w:sz w:val="18"/>
          <w:szCs w:val="18"/>
          <w:i w:val="1"/>
          <w:iCs w:val="1"/>
          <w:u w:val="single" w:color="auto"/>
          <w:color w:val="auto"/>
        </w:rPr>
        <w:t>Associated Persons</w:t>
      </w:r>
      <w:r>
        <w:rPr>
          <w:rFonts w:ascii="Arial" w:cs="Arial" w:eastAsia="Arial" w:hAnsi="Arial"/>
          <w:sz w:val="18"/>
          <w:szCs w:val="18"/>
          <w:color w:val="auto"/>
        </w:rPr>
        <w:t>. Neither such Selling Shareholder nor any of its affiliates (within the meaning of FINRA Rule 5121(f)(1))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controls, is controlled by, or is under common control with, or is an associated person (within the meaning of Article I, Section 1(ee) of the By-laws of FINRA) of, any member firm of FINRA.</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certificate signed by or on behalf of the Selling Shareholder and delivered to the Representatives or to counsel for the Underwriters shall be deemed to be a representation and warranty by such Selling Shareholder to each Underwriter as to the matters covered thereby.</w:t>
      </w:r>
    </w:p>
    <w:p>
      <w:pPr>
        <w:spacing w:after="0" w:line="170" w:lineRule="exact"/>
        <w:rPr>
          <w:sz w:val="20"/>
          <w:szCs w:val="20"/>
          <w:color w:val="auto"/>
        </w:rPr>
      </w:pPr>
    </w:p>
    <w:p>
      <w:pPr>
        <w:ind w:left="840" w:hanging="184"/>
        <w:spacing w:after="0"/>
        <w:tabs>
          <w:tab w:leader="none" w:pos="840" w:val="left"/>
        </w:tabs>
        <w:numPr>
          <w:ilvl w:val="0"/>
          <w:numId w:val="31"/>
        </w:numPr>
        <w:rPr>
          <w:rFonts w:ascii="Arial" w:cs="Arial" w:eastAsia="Arial" w:hAnsi="Arial"/>
          <w:sz w:val="18"/>
          <w:szCs w:val="18"/>
          <w:color w:val="010000"/>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60" w:right="60" w:firstLine="645"/>
        <w:spacing w:after="0" w:line="293" w:lineRule="auto"/>
        <w:tabs>
          <w:tab w:leader="none" w:pos="1553" w:val="left"/>
        </w:tabs>
        <w:numPr>
          <w:ilvl w:val="1"/>
          <w:numId w:val="31"/>
        </w:numPr>
        <w:rPr>
          <w:rFonts w:ascii="Arial" w:cs="Arial" w:eastAsia="Arial" w:hAnsi="Arial"/>
          <w:sz w:val="16"/>
          <w:szCs w:val="16"/>
          <w:color w:val="010000"/>
        </w:rPr>
      </w:pPr>
      <w:r>
        <w:rPr>
          <w:rFonts w:ascii="Arial" w:cs="Arial" w:eastAsia="Arial" w:hAnsi="Arial"/>
          <w:sz w:val="16"/>
          <w:szCs w:val="16"/>
          <w:i w:val="1"/>
          <w:iCs w:val="1"/>
          <w:u w:val="single" w:color="auto"/>
          <w:color w:val="auto"/>
        </w:rPr>
        <w:t>Firm Shares</w:t>
      </w:r>
      <w:r>
        <w:rPr>
          <w:rFonts w:ascii="Arial" w:cs="Arial" w:eastAsia="Arial" w:hAnsi="Arial"/>
          <w:sz w:val="16"/>
          <w:szCs w:val="16"/>
          <w:color w:val="auto"/>
        </w:rPr>
        <w:t>. On the basis of the representations, warranties and agreements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the Selling Shareholder agrees to sell to the several Underwriters the number of Firm Shares set forth opposite the name of the Selling Shareholder in Schedule I hereto, and each Underwriter agrees, severally and not jointly, to purchase from the Selling Shareholder the number of Firm Shares set forth opposite the name of such Underwriter in Schedule II hereto. The purchase price for each Firm Share shall be $9.45 per share. In making this Agreement, each Underwriter is contracting severally and not jointly; except as provided in paragraph (d) of this Section 4, the agreement of each Underwriter is to purchase only the respective number of Firm Shares specified in Schedule II.</w:t>
      </w:r>
    </w:p>
    <w:p>
      <w:pPr>
        <w:spacing w:after="0" w:line="164" w:lineRule="exact"/>
        <w:rPr>
          <w:rFonts w:ascii="Arial" w:cs="Arial" w:eastAsia="Arial" w:hAnsi="Arial"/>
          <w:sz w:val="16"/>
          <w:szCs w:val="16"/>
          <w:color w:val="010000"/>
        </w:rPr>
      </w:pPr>
    </w:p>
    <w:p>
      <w:pPr>
        <w:ind w:left="660" w:right="40" w:firstLine="645"/>
        <w:spacing w:after="0" w:line="287" w:lineRule="auto"/>
        <w:tabs>
          <w:tab w:leader="none" w:pos="1563" w:val="left"/>
        </w:tabs>
        <w:numPr>
          <w:ilvl w:val="1"/>
          <w:numId w:val="31"/>
        </w:numPr>
        <w:rPr>
          <w:rFonts w:ascii="Arial" w:cs="Arial" w:eastAsia="Arial" w:hAnsi="Arial"/>
          <w:sz w:val="16"/>
          <w:szCs w:val="16"/>
          <w:color w:val="010000"/>
        </w:rPr>
      </w:pPr>
      <w:r>
        <w:rPr>
          <w:rFonts w:ascii="Arial" w:cs="Arial" w:eastAsia="Arial" w:hAnsi="Arial"/>
          <w:sz w:val="16"/>
          <w:szCs w:val="16"/>
          <w:i w:val="1"/>
          <w:iCs w:val="1"/>
          <w:u w:val="single" w:color="auto"/>
          <w:color w:val="auto"/>
        </w:rPr>
        <w:t>Option Shares</w:t>
      </w:r>
      <w:r>
        <w:rPr>
          <w:rFonts w:ascii="Arial" w:cs="Arial" w:eastAsia="Arial" w:hAnsi="Arial"/>
          <w:sz w:val="16"/>
          <w:szCs w:val="16"/>
          <w:color w:val="auto"/>
        </w:rPr>
        <w:t>. On the basis of the representations, warranties and agreements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the Company hereby grants to the several Underwriters an option to purchase all or any portion of the Option Shares at the same purchase price as the Firm Shares, for use solely in covering any overallotments made by the Underwriters in the sale and distribution of the Firm Shares. The option granted hereunder may be exercised in whole or in part at any time (but only one time) within 30 days after the effective date of this Agreement upon notice (confirmed in writing) by the Representatives to the Company setting forth the aggregate number of Option Shares as to which the several Underwriters are exercising the option and the date and time, as determined by you, when the Option Shares are to be delivered, but in no event earlier than the First Closing Date (as defined below) nor earlier than the second business day or later than the fifth business day after the date on which the option shall have been exercised. If the option is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Representatives in such manner as the Representatives deem advisable to avoid fractional shares. No Option Shares shall be sold and delivered unless the Firm Shares previously have been, or simultaneously are, sold and delivered.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340" w:hanging="235"/>
        <w:spacing w:after="0"/>
        <w:tabs>
          <w:tab w:leader="none" w:pos="340" w:val="left"/>
        </w:tabs>
        <w:numPr>
          <w:ilvl w:val="0"/>
          <w:numId w:val="32"/>
        </w:numPr>
        <w:rPr>
          <w:rFonts w:ascii="Arial" w:cs="Arial" w:eastAsia="Arial" w:hAnsi="Arial"/>
          <w:sz w:val="18"/>
          <w:szCs w:val="18"/>
          <w:color w:val="010000"/>
        </w:rPr>
      </w:pPr>
      <w:r>
        <w:rPr>
          <w:rFonts w:ascii="Arial" w:cs="Arial" w:eastAsia="Arial" w:hAnsi="Arial"/>
          <w:sz w:val="18"/>
          <w:szCs w:val="18"/>
          <w:i w:val="1"/>
          <w:iCs w:val="1"/>
          <w:u w:val="single" w:color="auto"/>
          <w:color w:val="auto"/>
        </w:rPr>
        <w:t>Payment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00" w:right="80" w:firstLine="653"/>
        <w:spacing w:after="0" w:line="268" w:lineRule="auto"/>
        <w:tabs>
          <w:tab w:leader="none" w:pos="963" w:val="left"/>
        </w:tabs>
        <w:numPr>
          <w:ilvl w:val="1"/>
          <w:numId w:val="32"/>
        </w:numPr>
        <w:rPr>
          <w:rFonts w:ascii="Arial" w:cs="Arial" w:eastAsia="Arial" w:hAnsi="Arial"/>
          <w:sz w:val="17"/>
          <w:szCs w:val="17"/>
          <w:color w:val="010000"/>
        </w:rPr>
      </w:pPr>
      <w:r>
        <w:rPr>
          <w:rFonts w:ascii="Arial" w:cs="Arial" w:eastAsia="Arial" w:hAnsi="Arial"/>
          <w:sz w:val="17"/>
          <w:szCs w:val="17"/>
          <w:color w:val="auto"/>
        </w:rPr>
        <w:t xml:space="preserve">The Securities to be purchased by each Underwriter hereunder, in book-entry form in such authorized denominations and registered in such names as the Representatives may request upon at least forty-eight hours’ prior notice to the Company and the Selling Shareholder, shall be delivered by or on behalf of the Company and the Selling Shareholder to the Representatives, through the facilities of DTC, for the account of such Underwriter, with any transfer taxes payable in connection with the transfer of the Securities to the Underwriters duly paid, against payment by or on behalf of such Underwriter of the purchase price therefor by wire transfer of Federal (same-day) funds to the accounts specified by the Company and the Attorney-in-Fact to the Representatives at least forty-eight hours in advance. The time and date of such delivery and payment shall be, with respect to the Firm Shares, 10:00 a.m., New York time, on December 20, 2018, or such other time and date as the Representatives, the Company and the Attorney-in-Fact may agree upon in writing, and, with respect to the Option Shares, 10:00 a.m., New York time, on the date specified by the Representatives in the written notice given by you of the election to purchase such Option Shares, or such other time and date as the Representatives, the Company and the Attorney-in-Fact may agree upon in writing. Such time and date for delivery of the Firm Shares is herein called the </w:t>
      </w:r>
      <w:r>
        <w:rPr>
          <w:rFonts w:ascii="Arial" w:cs="Arial" w:eastAsia="Arial" w:hAnsi="Arial"/>
          <w:sz w:val="17"/>
          <w:szCs w:val="17"/>
          <w:b w:val="1"/>
          <w:bCs w:val="1"/>
          <w:i w:val="1"/>
          <w:iCs w:val="1"/>
          <w:color w:val="auto"/>
        </w:rPr>
        <w:t>“First Closing Date</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such time and date for delivery of the Option Shares, if not the First Closing Date, is herein called a </w:t>
      </w:r>
      <w:r>
        <w:rPr>
          <w:rFonts w:ascii="Arial" w:cs="Arial" w:eastAsia="Arial" w:hAnsi="Arial"/>
          <w:sz w:val="17"/>
          <w:szCs w:val="17"/>
          <w:b w:val="1"/>
          <w:bCs w:val="1"/>
          <w:i w:val="1"/>
          <w:iCs w:val="1"/>
          <w:color w:val="auto"/>
        </w:rPr>
        <w:t>“Second Closing Date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and each such time and date for delivery is herein called a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“Closing Date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p>
    <w:p>
      <w:pPr>
        <w:spacing w:after="0" w:line="187" w:lineRule="exact"/>
        <w:rPr>
          <w:rFonts w:ascii="Arial" w:cs="Arial" w:eastAsia="Arial" w:hAnsi="Arial"/>
          <w:sz w:val="17"/>
          <w:szCs w:val="17"/>
          <w:color w:val="010000"/>
        </w:rPr>
      </w:pPr>
    </w:p>
    <w:p>
      <w:pPr>
        <w:ind w:left="100" w:firstLine="653"/>
        <w:spacing w:after="0" w:line="259" w:lineRule="auto"/>
        <w:tabs>
          <w:tab w:leader="none" w:pos="1013"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documents to be delivered at each Closing by or on behalf of the parties hereto pursuant to Section 7 hereof, including the cross receipt for the Securities and any additional documents requested by the Underwriters pursuant to Section 7(k) hereof, will be delivered at the offices of the Company, and the Securities will be delivered to the Representatives, through the facilities of the DTC, for the account of such Underwriter, all at such Closing.</w:t>
      </w:r>
    </w:p>
    <w:p>
      <w:pPr>
        <w:spacing w:after="0" w:line="186" w:lineRule="exact"/>
        <w:rPr>
          <w:rFonts w:ascii="Arial" w:cs="Arial" w:eastAsia="Arial" w:hAnsi="Arial"/>
          <w:sz w:val="18"/>
          <w:szCs w:val="18"/>
          <w:color w:val="010000"/>
        </w:rPr>
      </w:pPr>
    </w:p>
    <w:p>
      <w:pPr>
        <w:ind w:left="-540" w:right="120" w:firstLine="645"/>
        <w:spacing w:after="0" w:line="257" w:lineRule="auto"/>
        <w:tabs>
          <w:tab w:leader="none" w:pos="363" w:val="left"/>
        </w:tabs>
        <w:numPr>
          <w:ilvl w:val="0"/>
          <w:numId w:val="32"/>
        </w:numPr>
        <w:rPr>
          <w:rFonts w:ascii="Arial" w:cs="Arial" w:eastAsia="Arial" w:hAnsi="Arial"/>
          <w:sz w:val="18"/>
          <w:szCs w:val="18"/>
          <w:color w:val="010000"/>
        </w:rPr>
      </w:pPr>
      <w:r>
        <w:rPr>
          <w:rFonts w:ascii="Arial" w:cs="Arial" w:eastAsia="Arial" w:hAnsi="Arial"/>
          <w:sz w:val="18"/>
          <w:szCs w:val="18"/>
          <w:i w:val="1"/>
          <w:iCs w:val="1"/>
          <w:u w:val="single" w:color="auto"/>
          <w:color w:val="auto"/>
        </w:rPr>
        <w:t>Purchase by Representatives on Behalf of Underwriters</w:t>
      </w:r>
      <w:r>
        <w:rPr>
          <w:rFonts w:ascii="Arial" w:cs="Arial" w:eastAsia="Arial" w:hAnsi="Arial"/>
          <w:sz w:val="18"/>
          <w:szCs w:val="18"/>
          <w:color w:val="auto"/>
        </w:rPr>
        <w:t>. It is understood that the Representatives, individually and not as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several Underwriters, may (but shall not be obligated to) make payment to the Company and the Selling Shareholder,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39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24" w:name="page25"/>
    <w:bookmarkEnd w:id="24"/>
    <w:p>
      <w:pPr>
        <w:ind w:left="184" w:hanging="184"/>
        <w:spacing w:after="0"/>
        <w:tabs>
          <w:tab w:leader="none" w:pos="184" w:val="left"/>
        </w:tabs>
        <w:numPr>
          <w:ilvl w:val="0"/>
          <w:numId w:val="33"/>
        </w:numPr>
        <w:rPr>
          <w:rFonts w:ascii="Arial" w:cs="Arial" w:eastAsia="Arial" w:hAnsi="Arial"/>
          <w:sz w:val="18"/>
          <w:szCs w:val="18"/>
          <w:color w:val="010000"/>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several Underwriters as follows:</w:t>
      </w:r>
    </w:p>
    <w:p>
      <w:pPr>
        <w:spacing w:after="0" w:line="225" w:lineRule="exact"/>
        <w:rPr>
          <w:rFonts w:ascii="Arial" w:cs="Arial" w:eastAsia="Arial" w:hAnsi="Arial"/>
          <w:sz w:val="18"/>
          <w:szCs w:val="18"/>
          <w:color w:val="010000"/>
        </w:rPr>
      </w:pPr>
    </w:p>
    <w:p>
      <w:pPr>
        <w:ind w:left="4" w:right="20" w:firstLine="645"/>
        <w:spacing w:after="0" w:line="287" w:lineRule="auto"/>
        <w:tabs>
          <w:tab w:leader="none" w:pos="897" w:val="left"/>
        </w:tabs>
        <w:numPr>
          <w:ilvl w:val="1"/>
          <w:numId w:val="33"/>
        </w:numPr>
        <w:rPr>
          <w:rFonts w:ascii="Arial" w:cs="Arial" w:eastAsia="Arial" w:hAnsi="Arial"/>
          <w:sz w:val="16"/>
          <w:szCs w:val="16"/>
          <w:color w:val="010000"/>
        </w:rPr>
      </w:pPr>
      <w:r>
        <w:rPr>
          <w:rFonts w:ascii="Arial" w:cs="Arial" w:eastAsia="Arial" w:hAnsi="Arial"/>
          <w:sz w:val="16"/>
          <w:szCs w:val="16"/>
          <w:i w:val="1"/>
          <w:iCs w:val="1"/>
          <w:u w:val="single" w:color="auto"/>
          <w:color w:val="auto"/>
        </w:rPr>
        <w:t>Required Filings</w:t>
      </w:r>
      <w:r>
        <w:rPr>
          <w:rFonts w:ascii="Arial" w:cs="Arial" w:eastAsia="Arial" w:hAnsi="Arial"/>
          <w:sz w:val="16"/>
          <w:szCs w:val="16"/>
          <w:color w:val="auto"/>
        </w:rPr>
        <w:t>. The Company will prepare and file a Prospectus with the Commission containing the Rule 430B Information omitted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Preliminary Prospectus within the time period required by, and otherwise in accordance with the provisions of, Rules 424(b) and 430B of the Rules and Regulations. If the Company has elected to rely upon Rule 462(b) of the Rules and Regulations to increase the size of the offering registered under the Act and the Rule 462(b) Registration Statement has not yet been filed and become effective, the Company will prepare and file the Rule 462(b) Registration Statement with the Commission within the time period required by, and otherwise in accordance with the provisions of, Rule 462(b) of the Rules and Regulations and the Act. The Company will prepare and file with the Commission, promptly upon the request of the Representatives, any amendments or supplements to the Registration Statement or Prospectus that, in the opinion of the Representatives, may be necessary or advisable in connection with the distribution of the Securities by the Underwriters; and the Company will furnish the Representatives and counsel for the Underwriters a copy of any proposed amendment or supplement to the Registration Statement or Prospectus and will not file any amendment or supplement to the Registration Statement or Prospectus to which the Representatives shall reasonably object by notice to the Company after having been furnished a copy a reasonable time prior to the filing.</w:t>
      </w:r>
    </w:p>
    <w:p>
      <w:pPr>
        <w:spacing w:after="0" w:line="172" w:lineRule="exact"/>
        <w:rPr>
          <w:rFonts w:ascii="Arial" w:cs="Arial" w:eastAsia="Arial" w:hAnsi="Arial"/>
          <w:sz w:val="16"/>
          <w:szCs w:val="16"/>
          <w:color w:val="010000"/>
        </w:rPr>
      </w:pPr>
    </w:p>
    <w:p>
      <w:pPr>
        <w:ind w:left="4" w:right="120" w:firstLine="645"/>
        <w:spacing w:after="0" w:line="273" w:lineRule="auto"/>
        <w:tabs>
          <w:tab w:leader="none" w:pos="907" w:val="left"/>
        </w:tabs>
        <w:numPr>
          <w:ilvl w:val="1"/>
          <w:numId w:val="33"/>
        </w:numPr>
        <w:rPr>
          <w:rFonts w:ascii="Arial" w:cs="Arial" w:eastAsia="Arial" w:hAnsi="Arial"/>
          <w:sz w:val="17"/>
          <w:szCs w:val="17"/>
          <w:color w:val="010000"/>
        </w:rPr>
      </w:pPr>
      <w:r>
        <w:rPr>
          <w:rFonts w:ascii="Arial" w:cs="Arial" w:eastAsia="Arial" w:hAnsi="Arial"/>
          <w:sz w:val="17"/>
          <w:szCs w:val="17"/>
          <w:i w:val="1"/>
          <w:iCs w:val="1"/>
          <w:u w:val="single" w:color="auto"/>
          <w:color w:val="auto"/>
        </w:rPr>
        <w:t>Notification of Certain Commission Actions</w:t>
      </w:r>
      <w:r>
        <w:rPr>
          <w:rFonts w:ascii="Arial" w:cs="Arial" w:eastAsia="Arial" w:hAnsi="Arial"/>
          <w:sz w:val="17"/>
          <w:szCs w:val="17"/>
          <w:color w:val="auto"/>
        </w:rPr>
        <w:t>. The Company will advise the Representatives, promptly after it shall receive notice or</w:t>
      </w:r>
      <w:r>
        <w:rPr>
          <w:rFonts w:ascii="Arial" w:cs="Arial" w:eastAsia="Arial" w:hAnsi="Arial"/>
          <w:sz w:val="17"/>
          <w:szCs w:val="17"/>
          <w:i w:val="1"/>
          <w:iCs w:val="1"/>
          <w:color w:val="auto"/>
        </w:rPr>
        <w:t xml:space="preserve"> </w:t>
      </w:r>
      <w:r>
        <w:rPr>
          <w:rFonts w:ascii="Arial" w:cs="Arial" w:eastAsia="Arial" w:hAnsi="Arial"/>
          <w:sz w:val="17"/>
          <w:szCs w:val="17"/>
          <w:color w:val="auto"/>
        </w:rPr>
        <w:t>obtain knowledge thereof, of the issuance by the Commission of any stop order suspending the effectiveness of the Registration Statement, or any post-effective amendment thereto or preventing or suspending the use of any Preliminary Prospectus, the Time of Sale Disclosure Package, the Prospectus or any issuer free writing prospectus, of the suspension of the qualification of the Securities for offering or sale in any jurisdiction, or of the initiation or threatening of any proceeding for any such purpose; and the Company will promptly use its best efforts to prevent the issuance of any stop order or to obtain its withdrawal if such a stop order should be issued.</w:t>
      </w:r>
    </w:p>
    <w:p>
      <w:pPr>
        <w:spacing w:after="0" w:line="178" w:lineRule="exact"/>
        <w:rPr>
          <w:rFonts w:ascii="Arial" w:cs="Arial" w:eastAsia="Arial" w:hAnsi="Arial"/>
          <w:sz w:val="17"/>
          <w:szCs w:val="17"/>
          <w:color w:val="010000"/>
        </w:rPr>
      </w:pPr>
    </w:p>
    <w:p>
      <w:pPr>
        <w:ind w:left="884" w:hanging="235"/>
        <w:spacing w:after="0"/>
        <w:tabs>
          <w:tab w:leader="none" w:pos="884" w:val="left"/>
        </w:tabs>
        <w:numPr>
          <w:ilvl w:val="1"/>
          <w:numId w:val="33"/>
        </w:numPr>
        <w:rPr>
          <w:rFonts w:ascii="Arial" w:cs="Arial" w:eastAsia="Arial" w:hAnsi="Arial"/>
          <w:sz w:val="18"/>
          <w:szCs w:val="18"/>
          <w:color w:val="010000"/>
        </w:rPr>
      </w:pPr>
      <w:r>
        <w:rPr>
          <w:rFonts w:ascii="Arial" w:cs="Arial" w:eastAsia="Arial" w:hAnsi="Arial"/>
          <w:sz w:val="18"/>
          <w:szCs w:val="18"/>
          <w:i w:val="1"/>
          <w:iCs w:val="1"/>
          <w:u w:val="single" w:color="auto"/>
          <w:color w:val="auto"/>
        </w:rPr>
        <w:t>Continued Compliance with Securities Laws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44" w:right="20" w:firstLine="653"/>
        <w:spacing w:after="0" w:line="268" w:lineRule="auto"/>
        <w:tabs>
          <w:tab w:leader="none" w:pos="1507" w:val="left"/>
        </w:tabs>
        <w:numPr>
          <w:ilvl w:val="2"/>
          <w:numId w:val="33"/>
        </w:numPr>
        <w:rPr>
          <w:rFonts w:ascii="Arial" w:cs="Arial" w:eastAsia="Arial" w:hAnsi="Arial"/>
          <w:sz w:val="17"/>
          <w:szCs w:val="17"/>
          <w:color w:val="010000"/>
        </w:rPr>
      </w:pPr>
      <w:r>
        <w:rPr>
          <w:rFonts w:ascii="Arial" w:cs="Arial" w:eastAsia="Arial" w:hAnsi="Arial"/>
          <w:sz w:val="17"/>
          <w:szCs w:val="17"/>
          <w:color w:val="auto"/>
        </w:rPr>
        <w:t>Within the time during which a prospectus (assuming the absence of Rule 172) relating to the Securities is required to be delivered under the Act by any Underwriter or any dealer (the “</w:t>
      </w:r>
      <w:r>
        <w:rPr>
          <w:rFonts w:ascii="Arial" w:cs="Arial" w:eastAsia="Arial" w:hAnsi="Arial"/>
          <w:sz w:val="17"/>
          <w:szCs w:val="17"/>
          <w:b w:val="1"/>
          <w:bCs w:val="1"/>
          <w:i w:val="1"/>
          <w:iCs w:val="1"/>
          <w:color w:val="auto"/>
        </w:rPr>
        <w:t>Prospectus Delivery Period</w:t>
      </w:r>
      <w:r>
        <w:rPr>
          <w:rFonts w:ascii="Arial" w:cs="Arial" w:eastAsia="Arial" w:hAnsi="Arial"/>
          <w:sz w:val="17"/>
          <w:szCs w:val="17"/>
          <w:color w:val="auto"/>
        </w:rPr>
        <w:t>”), the Company will comply with all requirements imposed upon it by the Act, as now and hereafter amended, and by the Rules and Regulations, as from time to time in force,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to amend the Registration Statement or supplement the Prospectus (or if the Prospectus is not yet available to prospective investors, the Time of Sale Disclosure Package) to comply with the Act, the Company promptly will (x) notify you of such untrue statement or omission, (y) amend the Registration Statement or supplement the Prospectus (or, if the Prospectus is not yet available to prospective purchasers, the Time of Sale Disclosure Package)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185" w:lineRule="exact"/>
        <w:rPr>
          <w:rFonts w:ascii="Arial" w:cs="Arial" w:eastAsia="Arial" w:hAnsi="Arial"/>
          <w:sz w:val="17"/>
          <w:szCs w:val="17"/>
          <w:color w:val="010000"/>
        </w:rPr>
      </w:pPr>
    </w:p>
    <w:p>
      <w:pPr>
        <w:ind w:left="644" w:firstLine="653"/>
        <w:spacing w:after="0" w:line="253" w:lineRule="auto"/>
        <w:tabs>
          <w:tab w:leader="none" w:pos="1557" w:val="left"/>
        </w:tabs>
        <w:numPr>
          <w:ilvl w:val="2"/>
          <w:numId w:val="33"/>
        </w:numPr>
        <w:rPr>
          <w:rFonts w:ascii="Arial" w:cs="Arial" w:eastAsia="Arial" w:hAnsi="Arial"/>
          <w:sz w:val="18"/>
          <w:szCs w:val="18"/>
          <w:color w:val="010000"/>
        </w:rPr>
      </w:pPr>
      <w:r>
        <w:rPr>
          <w:rFonts w:ascii="Arial" w:cs="Arial" w:eastAsia="Arial" w:hAnsi="Arial"/>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Representatives of such conflict, untrue statement or omission, (y) has promptly amended or will promptly amend or supplement, at its own expense, such issuer free writing prospectus to eliminate or correct such conflict, untrue statement or omission and (z) has notified or promptly will notify you when such amendment or supplement was or is filed with the Commission to the extent required to be filed by the Rules and Regulations.</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25" w:name="page26"/>
    <w:bookmarkEnd w:id="25"/>
    <w:p>
      <w:pPr>
        <w:ind w:right="180" w:firstLine="645"/>
        <w:spacing w:after="0" w:line="257" w:lineRule="auto"/>
        <w:tabs>
          <w:tab w:leader="none" w:pos="903" w:val="left"/>
        </w:tabs>
        <w:numPr>
          <w:ilvl w:val="0"/>
          <w:numId w:val="34"/>
        </w:numPr>
        <w:rPr>
          <w:rFonts w:ascii="Arial" w:cs="Arial" w:eastAsia="Arial" w:hAnsi="Arial"/>
          <w:sz w:val="18"/>
          <w:szCs w:val="18"/>
          <w:color w:val="010000"/>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domestic United States or foreign jurisdictions as you reasonably designate and to continue such qualifications in effect so long as required for the distribution of the Securities, except that the Company shall not be required in connection therewith to qualify as a foreign corporation or to execute a general consent to service of process in any state or subject itself to taxation in any jurisdiction in which it is not otherwise subject to taxation on the date hereof.</w:t>
      </w:r>
    </w:p>
    <w:p>
      <w:pPr>
        <w:spacing w:after="0" w:line="188" w:lineRule="exact"/>
        <w:rPr>
          <w:rFonts w:ascii="Arial" w:cs="Arial" w:eastAsia="Arial" w:hAnsi="Arial"/>
          <w:sz w:val="18"/>
          <w:szCs w:val="18"/>
          <w:color w:val="010000"/>
        </w:rPr>
      </w:pPr>
    </w:p>
    <w:p>
      <w:pPr>
        <w:jc w:val="both"/>
        <w:ind w:firstLine="645"/>
        <w:spacing w:after="0" w:line="302" w:lineRule="auto"/>
        <w:tabs>
          <w:tab w:leader="none" w:pos="893" w:val="left"/>
        </w:tabs>
        <w:numPr>
          <w:ilvl w:val="0"/>
          <w:numId w:val="34"/>
        </w:numPr>
        <w:rPr>
          <w:rFonts w:ascii="Arial" w:cs="Arial" w:eastAsia="Arial" w:hAnsi="Arial"/>
          <w:sz w:val="16"/>
          <w:szCs w:val="16"/>
          <w:color w:val="010000"/>
        </w:rPr>
      </w:pPr>
      <w:r>
        <w:rPr>
          <w:rFonts w:ascii="Arial" w:cs="Arial" w:eastAsia="Arial" w:hAnsi="Arial"/>
          <w:sz w:val="16"/>
          <w:szCs w:val="16"/>
          <w:i w:val="1"/>
          <w:iCs w:val="1"/>
          <w:u w:val="single" w:color="auto"/>
          <w:color w:val="auto"/>
        </w:rPr>
        <w:t>Provision of Documents</w:t>
      </w:r>
      <w:r>
        <w:rPr>
          <w:rFonts w:ascii="Arial" w:cs="Arial" w:eastAsia="Arial" w:hAnsi="Arial"/>
          <w:sz w:val="16"/>
          <w:szCs w:val="16"/>
          <w:color w:val="auto"/>
        </w:rPr>
        <w:t>. The Company will furnish, at its own expense, to the Underwriters and counsel for the Underwriters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(one of which will be signed and will include all consents and exhibits filed therewith),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154" w:lineRule="exact"/>
        <w:rPr>
          <w:rFonts w:ascii="Arial" w:cs="Arial" w:eastAsia="Arial" w:hAnsi="Arial"/>
          <w:sz w:val="16"/>
          <w:szCs w:val="16"/>
          <w:color w:val="010000"/>
        </w:rPr>
      </w:pPr>
    </w:p>
    <w:p>
      <w:pPr>
        <w:jc w:val="both"/>
        <w:ind w:right="40" w:firstLine="645"/>
        <w:spacing w:after="0" w:line="288" w:lineRule="auto"/>
        <w:tabs>
          <w:tab w:leader="none" w:pos="873" w:val="left"/>
        </w:tabs>
        <w:numPr>
          <w:ilvl w:val="0"/>
          <w:numId w:val="34"/>
        </w:numPr>
        <w:rPr>
          <w:rFonts w:ascii="Arial" w:cs="Arial" w:eastAsia="Arial" w:hAnsi="Arial"/>
          <w:sz w:val="16"/>
          <w:szCs w:val="16"/>
          <w:color w:val="010000"/>
        </w:rPr>
      </w:pPr>
      <w:r>
        <w:rPr>
          <w:rFonts w:ascii="Arial" w:cs="Arial" w:eastAsia="Arial" w:hAnsi="Arial"/>
          <w:sz w:val="16"/>
          <w:szCs w:val="16"/>
          <w:i w:val="1"/>
          <w:iCs w:val="1"/>
          <w:u w:val="single" w:color="auto"/>
          <w:color w:val="auto"/>
        </w:rPr>
        <w:t>Rule 158</w:t>
      </w:r>
      <w:r>
        <w:rPr>
          <w:rFonts w:ascii="Arial" w:cs="Arial" w:eastAsia="Arial" w:hAnsi="Arial"/>
          <w:sz w:val="16"/>
          <w:szCs w:val="16"/>
          <w:color w:val="auto"/>
        </w:rPr>
        <w:t>. The Company will make generally available to its security holders as soon as practicable, but in no event later than 15 months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end of the Company’s current fiscal quarter, an earnings statement (which need not be audited) covering a 12 month period beginning after the effective date of the Registration Statement (which, for purposes of this paragraph, will be deemed to be the effective date of the Rule 462(b)</w:t>
      </w:r>
    </w:p>
    <w:p>
      <w:pPr>
        <w:spacing w:after="0"/>
        <w:rPr>
          <w:rFonts w:ascii="Arial" w:cs="Arial" w:eastAsia="Arial" w:hAnsi="Arial"/>
          <w:sz w:val="16"/>
          <w:szCs w:val="16"/>
          <w:color w:val="010000"/>
        </w:rPr>
      </w:pPr>
      <w:r>
        <w:rPr>
          <w:rFonts w:ascii="Arial" w:cs="Arial" w:eastAsia="Arial" w:hAnsi="Arial"/>
          <w:sz w:val="17"/>
          <w:szCs w:val="17"/>
          <w:color w:val="auto"/>
        </w:rPr>
        <w:t>Registration Statement, if applicable) that shall satisfy the provisions of Section 11(a) of the Act and Rule 158 of the Rules and Regulations.</w:t>
      </w:r>
    </w:p>
    <w:p>
      <w:pPr>
        <w:spacing w:after="0" w:line="200" w:lineRule="exact"/>
        <w:rPr>
          <w:sz w:val="20"/>
          <w:szCs w:val="20"/>
          <w:color w:val="auto"/>
        </w:rPr>
      </w:pPr>
    </w:p>
    <w:p>
      <w:pPr>
        <w:spacing w:after="0" w:line="23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0"/>
          </w:cols>
          <w:pgMar w:left="900" w:top="908" w:right="279" w:bottom="1440" w:gutter="0" w:footer="0" w:header="0"/>
        </w:sectPr>
      </w:pPr>
    </w:p>
    <w:bookmarkStart w:id="26" w:name="page27"/>
    <w:bookmarkEnd w:id="26"/>
    <w:p>
      <w:pPr>
        <w:ind w:left="-540" w:firstLine="645"/>
        <w:spacing w:after="0" w:line="283" w:lineRule="auto"/>
        <w:tabs>
          <w:tab w:leader="none" w:pos="363" w:val="left"/>
        </w:tabs>
        <w:numPr>
          <w:ilvl w:val="0"/>
          <w:numId w:val="35"/>
        </w:numPr>
        <w:rPr>
          <w:rFonts w:ascii="Arial" w:cs="Arial" w:eastAsia="Arial" w:hAnsi="Arial"/>
          <w:sz w:val="16"/>
          <w:szCs w:val="16"/>
          <w:color w:val="010000"/>
        </w:rPr>
      </w:pPr>
      <w:r>
        <w:rPr>
          <w:rFonts w:ascii="Arial" w:cs="Arial" w:eastAsia="Arial" w:hAnsi="Arial"/>
          <w:sz w:val="16"/>
          <w:szCs w:val="16"/>
          <w:i w:val="1"/>
          <w:iCs w:val="1"/>
          <w:u w:val="single" w:color="auto"/>
          <w:color w:val="auto"/>
        </w:rPr>
        <w:t>Payment and Reimbursement of Expenses</w:t>
      </w:r>
      <w:r>
        <w:rPr>
          <w:rFonts w:ascii="Arial" w:cs="Arial" w:eastAsia="Arial" w:hAnsi="Arial"/>
          <w:sz w:val="16"/>
          <w:szCs w:val="16"/>
          <w:color w:val="auto"/>
        </w:rPr>
        <w:t>. The Selling Shareholder, whether or not the transactions contemplated hereunder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consummated 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fees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the filing fees incident to, and the reasonable fees and disbursements of counsel (not to exceed $30,000) for the Underwriters in connection with, securing any required review by FINRA of the terms of the sale of the Securities, (F) listing fees, if any, (G) the cost and expenses of the Company relating to investor presentations or any road show as defined in Rule 433(h) under the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undertaken in connection with marketing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and other transportation chartered in connection with the road show; and (H) all other costs and expenses of the Company and the Selling Shareholder incident to the performance of its obligations hereunder that are not otherwise specifically provided for herein. Except as provided for in this Agreement, the Underwriters shall bear the costs and expenses incurred by them in connection with the sale of the Securities and the transactions contemplated hereby. If the sale of the Securities provided for herein is not consummated by reason of any failure, refusal or inability on the part of the Company to perform any agreement on its part to be performed, or because any other condition of the Underwriters’ obligations hereunder required to be fulfilled by the Company is not fulfilled, the Company will reimburse the several Underwriters for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 If the sale of the Securities provided for herein is not consummated by reason of any failure, refusal or inability on the part of the Selling Shareholder to perform any agreement on its part to be performed, or because any other condition of the Underwriters’ obligations hereunder required to be fulfilled by the Selling Shareholder is not fulfilled, the Seller Shareholder will reimburse the several Underwriters for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 If this Agreement is terminated by the Representatives pursuant to Section 10 hereof, each of the Company and the Selling Shareholder, severally but not jointly, will reimburse the several Underwriters for 50% of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 w:name="page28"/>
    <w:bookmarkEnd w:id="27"/>
    <w:p>
      <w:pPr>
        <w:ind w:left="4" w:firstLine="645"/>
        <w:spacing w:after="0" w:line="312" w:lineRule="auto"/>
        <w:tabs>
          <w:tab w:leader="none" w:pos="907" w:val="left"/>
        </w:tabs>
        <w:numPr>
          <w:ilvl w:val="1"/>
          <w:numId w:val="36"/>
        </w:numPr>
        <w:rPr>
          <w:rFonts w:ascii="Arial" w:cs="Arial" w:eastAsia="Arial" w:hAnsi="Arial"/>
          <w:sz w:val="16"/>
          <w:szCs w:val="16"/>
          <w:color w:val="010000"/>
        </w:rPr>
      </w:pPr>
      <w:r>
        <w:rPr>
          <w:rFonts w:ascii="Arial" w:cs="Arial" w:eastAsia="Arial" w:hAnsi="Arial"/>
          <w:sz w:val="16"/>
          <w:szCs w:val="16"/>
          <w:i w:val="1"/>
          <w:iCs w:val="1"/>
          <w:u w:val="single" w:color="auto"/>
          <w:color w:val="auto"/>
        </w:rPr>
        <w:t>Use of Proceeds</w:t>
      </w:r>
      <w:r>
        <w:rPr>
          <w:rFonts w:ascii="Arial" w:cs="Arial" w:eastAsia="Arial" w:hAnsi="Arial"/>
          <w:sz w:val="16"/>
          <w:szCs w:val="16"/>
          <w:color w:val="auto"/>
        </w:rPr>
        <w:t>. The Company will apply the net proceeds from the sale of the Securities to be sold by it hereunder for the purposes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Time of Sale Disclosure Package and in the Prospectus and will file such reports with the Commission with respect to the sale of the Securities and the application of the proceeds therefrom as may be required in accordance with Rule 463 of the Rules and Regulations.</w:t>
      </w:r>
    </w:p>
    <w:p>
      <w:pPr>
        <w:spacing w:after="0" w:line="146" w:lineRule="exact"/>
        <w:rPr>
          <w:rFonts w:ascii="Arial" w:cs="Arial" w:eastAsia="Arial" w:hAnsi="Arial"/>
          <w:sz w:val="16"/>
          <w:szCs w:val="16"/>
          <w:color w:val="010000"/>
        </w:rPr>
      </w:pPr>
    </w:p>
    <w:p>
      <w:pPr>
        <w:ind w:left="4" w:right="80" w:firstLine="645"/>
        <w:spacing w:after="0" w:line="284" w:lineRule="auto"/>
        <w:tabs>
          <w:tab w:leader="none" w:pos="867" w:val="left"/>
        </w:tabs>
        <w:numPr>
          <w:ilvl w:val="1"/>
          <w:numId w:val="36"/>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Company Lock Up</w:t>
      </w:r>
      <w:r>
        <w:rPr>
          <w:rFonts w:ascii="Arial" w:cs="Arial" w:eastAsia="Arial" w:hAnsi="Arial"/>
          <w:sz w:val="16"/>
          <w:szCs w:val="16"/>
          <w:color w:val="auto"/>
        </w:rPr>
        <w:t>. The Company will not, without the prior written consent of William Blair &amp; Company, L.L.C.,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execution of this Agreement and continuing to and including the date 90 days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(B) enter into any swap or other agreement that transfers, in whole or in part, any of the economic consequences of ownership of the Common Stock, whether any such transaction described in clause (A) or (B) above is to be settled by delivery of Common Stock or such other securities, in cash or otherwise, except to the Underwriters pursuant to this Agreement and</w:t>
      </w:r>
    </w:p>
    <w:p>
      <w:pPr>
        <w:spacing w:after="0" w:line="2" w:lineRule="exact"/>
        <w:rPr>
          <w:rFonts w:ascii="Arial" w:cs="Arial" w:eastAsia="Arial" w:hAnsi="Arial"/>
          <w:sz w:val="16"/>
          <w:szCs w:val="16"/>
          <w:color w:val="010000"/>
        </w:rPr>
      </w:pPr>
    </w:p>
    <w:p>
      <w:pPr>
        <w:ind w:left="4" w:hanging="4"/>
        <w:spacing w:after="0" w:line="268" w:lineRule="auto"/>
        <w:tabs>
          <w:tab w:leader="none" w:pos="219" w:val="left"/>
        </w:tabs>
        <w:numPr>
          <w:ilvl w:val="0"/>
          <w:numId w:val="37"/>
        </w:numPr>
        <w:rPr>
          <w:rFonts w:ascii="Arial" w:cs="Arial" w:eastAsia="Arial" w:hAnsi="Arial"/>
          <w:sz w:val="17"/>
          <w:szCs w:val="17"/>
          <w:color w:val="auto"/>
        </w:rPr>
      </w:pPr>
      <w:r>
        <w:rPr>
          <w:rFonts w:ascii="Arial" w:cs="Arial" w:eastAsia="Arial" w:hAnsi="Arial"/>
          <w:sz w:val="17"/>
          <w:szCs w:val="17"/>
          <w:color w:val="auto"/>
        </w:rPr>
        <w:t>grants of options, shares of Common Stock and other awards to purchase or receive shares of Common Stock pursuant to the Company Stock Plans that are in effect as of or prior to the date hereof or otherwise in accordance with past practices of the Company as to the manner and timing of certain grants, (ii) issuances of shares of Common Stock upon the exercise, vesting or settlement of options or restricted stock units, warrants, or other awards outstanding as of the date hereof (including for this purpose shares of Common Stock withheld by the Company for the purpose of paying on behalf of the holder thereof the exercise price of stock options or for paying taxes due as a result of such exercise, vesting or settlement), or (iii) issuances of any shares of Common Stock (including upon exercise of options) related to the filing by the Company of any registration statement on Form S-8 or a successor form thereto relating to shares of Common Stock granted under any equity compensation plan or employee stock purchase plan, including relating to issuances or awards to officers or directors for compensatory purposes (including options) or to the directors in satisfaction of the compensation earned by the directors.</w:t>
      </w:r>
    </w:p>
    <w:p>
      <w:pPr>
        <w:spacing w:after="0" w:line="391"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4"/>
          </w:cols>
          <w:pgMar w:left="896" w:top="908" w:right="299" w:bottom="1440" w:gutter="0" w:footer="0" w:header="0"/>
        </w:sectPr>
      </w:pPr>
    </w:p>
    <w:bookmarkStart w:id="28" w:name="page29"/>
    <w:bookmarkEnd w:id="28"/>
    <w:p>
      <w:pPr>
        <w:ind w:firstLine="645"/>
        <w:spacing w:after="0" w:line="279" w:lineRule="auto"/>
        <w:tabs>
          <w:tab w:leader="none" w:pos="863" w:val="left"/>
        </w:tabs>
        <w:numPr>
          <w:ilvl w:val="0"/>
          <w:numId w:val="38"/>
        </w:numPr>
        <w:rPr>
          <w:rFonts w:ascii="Arial" w:cs="Arial" w:eastAsia="Arial" w:hAnsi="Arial"/>
          <w:sz w:val="17"/>
          <w:szCs w:val="17"/>
          <w:color w:val="010000"/>
        </w:rPr>
      </w:pPr>
      <w:r>
        <w:rPr>
          <w:rFonts w:ascii="Arial" w:cs="Arial" w:eastAsia="Arial" w:hAnsi="Arial"/>
          <w:sz w:val="17"/>
          <w:szCs w:val="17"/>
          <w:i w:val="1"/>
          <w:iCs w:val="1"/>
          <w:u w:val="single" w:color="auto"/>
          <w:color w:val="auto"/>
        </w:rPr>
        <w:t>Stockholder Lock-Ups</w:t>
      </w:r>
      <w:r>
        <w:rPr>
          <w:rFonts w:ascii="Arial" w:cs="Arial" w:eastAsia="Arial" w:hAnsi="Arial"/>
          <w:sz w:val="17"/>
          <w:szCs w:val="17"/>
          <w:color w:val="auto"/>
        </w:rPr>
        <w:t>. The Company has caused to be delivered to you prior to the date of this Agreement a letter, in the form of Exhibit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 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III. The Company will enforce the terms of each Lock-Up Agreement and issue stop-transfer instructions to its transfer agent and registrar for the Common Stock with respect to any transaction or contemplated transaction that would constitute a breach of or default under the applicable Lock-Up Agreement.</w:t>
      </w:r>
    </w:p>
    <w:p>
      <w:pPr>
        <w:spacing w:after="0" w:line="171" w:lineRule="exact"/>
        <w:rPr>
          <w:rFonts w:ascii="Arial" w:cs="Arial" w:eastAsia="Arial" w:hAnsi="Arial"/>
          <w:sz w:val="17"/>
          <w:szCs w:val="17"/>
          <w:color w:val="010000"/>
        </w:rPr>
      </w:pPr>
    </w:p>
    <w:p>
      <w:pPr>
        <w:ind w:right="20" w:firstLine="645"/>
        <w:spacing w:after="0" w:line="279" w:lineRule="auto"/>
        <w:tabs>
          <w:tab w:leader="none" w:pos="903" w:val="left"/>
        </w:tabs>
        <w:numPr>
          <w:ilvl w:val="0"/>
          <w:numId w:val="38"/>
        </w:numPr>
        <w:rPr>
          <w:rFonts w:ascii="Arial" w:cs="Arial" w:eastAsia="Arial" w:hAnsi="Arial"/>
          <w:sz w:val="17"/>
          <w:szCs w:val="17"/>
          <w:color w:val="010000"/>
        </w:rPr>
      </w:pPr>
      <w:r>
        <w:rPr>
          <w:rFonts w:ascii="Arial" w:cs="Arial" w:eastAsia="Arial" w:hAnsi="Arial"/>
          <w:sz w:val="17"/>
          <w:szCs w:val="17"/>
          <w:i w:val="1"/>
          <w:iCs w:val="1"/>
          <w:u w:val="single" w:color="auto"/>
          <w:color w:val="auto"/>
        </w:rPr>
        <w:t>No Market Stabilization or Manipulation</w:t>
      </w:r>
      <w:r>
        <w:rPr>
          <w:rFonts w:ascii="Arial" w:cs="Arial" w:eastAsia="Arial" w:hAnsi="Arial"/>
          <w:sz w:val="17"/>
          <w:szCs w:val="17"/>
          <w:color w:val="auto"/>
        </w:rPr>
        <w:t>. The Company has not taken, and will not take, directly or indirectly, any action designed to 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might reasonably be expected to cause or result in, or which has constituted, the stabilization or manipulation of the price of any security of the Company to facilitate the sale or resale of the Securities, and has not effected any sales of Common Stock which are required to be disclosed in response to Item 701 of Regulation S-K under the Act which have not been so disclosed in the Registration Statement.</w:t>
      </w:r>
    </w:p>
    <w:p>
      <w:pPr>
        <w:spacing w:after="0" w:line="171" w:lineRule="exact"/>
        <w:rPr>
          <w:rFonts w:ascii="Arial" w:cs="Arial" w:eastAsia="Arial" w:hAnsi="Arial"/>
          <w:sz w:val="17"/>
          <w:szCs w:val="17"/>
          <w:color w:val="010000"/>
        </w:rPr>
      </w:pPr>
    </w:p>
    <w:p>
      <w:pPr>
        <w:ind w:right="260" w:firstLine="645"/>
        <w:spacing w:after="0" w:line="277" w:lineRule="auto"/>
        <w:tabs>
          <w:tab w:leader="none" w:pos="863" w:val="left"/>
        </w:tabs>
        <w:numPr>
          <w:ilvl w:val="0"/>
          <w:numId w:val="38"/>
        </w:numPr>
        <w:rPr>
          <w:rFonts w:ascii="Arial" w:cs="Arial" w:eastAsia="Arial" w:hAnsi="Arial"/>
          <w:sz w:val="18"/>
          <w:szCs w:val="18"/>
          <w:color w:val="010000"/>
        </w:rPr>
      </w:pPr>
      <w:r>
        <w:rPr>
          <w:rFonts w:ascii="Arial" w:cs="Arial" w:eastAsia="Arial" w:hAnsi="Arial"/>
          <w:sz w:val="18"/>
          <w:szCs w:val="18"/>
          <w:i w:val="1"/>
          <w:iCs w:val="1"/>
          <w:u w:val="single" w:color="auto"/>
          <w:color w:val="auto"/>
        </w:rPr>
        <w:t>SEC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Prospectus Delivery Period, the Company will file on a timely basis with the Commission such periodic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reports as required by the Rules and Regulations.</w:t>
      </w:r>
    </w:p>
    <w:p>
      <w:pPr>
        <w:spacing w:after="0" w:line="170" w:lineRule="exact"/>
        <w:rPr>
          <w:rFonts w:ascii="Arial" w:cs="Arial" w:eastAsia="Arial" w:hAnsi="Arial"/>
          <w:sz w:val="18"/>
          <w:szCs w:val="18"/>
          <w:color w:val="010000"/>
        </w:rPr>
      </w:pPr>
    </w:p>
    <w:p>
      <w:pPr>
        <w:ind w:firstLine="645"/>
        <w:spacing w:after="0" w:line="271" w:lineRule="auto"/>
        <w:tabs>
          <w:tab w:leader="none" w:pos="943" w:val="left"/>
        </w:tabs>
        <w:numPr>
          <w:ilvl w:val="0"/>
          <w:numId w:val="38"/>
        </w:numPr>
        <w:rPr>
          <w:rFonts w:ascii="Arial" w:cs="Arial" w:eastAsia="Arial" w:hAnsi="Arial"/>
          <w:sz w:val="17"/>
          <w:szCs w:val="17"/>
          <w:i w:val="1"/>
          <w:iCs w:val="1"/>
          <w:color w:val="010000"/>
        </w:rPr>
      </w:pPr>
      <w:r>
        <w:rPr>
          <w:rFonts w:ascii="Arial" w:cs="Arial" w:eastAsia="Arial" w:hAnsi="Arial"/>
          <w:sz w:val="17"/>
          <w:szCs w:val="17"/>
          <w:i w:val="1"/>
          <w:iCs w:val="1"/>
          <w:u w:val="single" w:color="auto"/>
          <w:color w:val="auto"/>
        </w:rPr>
        <w:t>Internal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Prospectus Delivery Period, the Company will maintain such controls and other procedures,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spacing w:after="0" w:line="178" w:lineRule="exact"/>
        <w:rPr>
          <w:rFonts w:ascii="Arial" w:cs="Arial" w:eastAsia="Arial" w:hAnsi="Arial"/>
          <w:sz w:val="17"/>
          <w:szCs w:val="17"/>
          <w:i w:val="1"/>
          <w:iCs w:val="1"/>
          <w:color w:val="010000"/>
        </w:rPr>
      </w:pPr>
    </w:p>
    <w:p>
      <w:pPr>
        <w:ind w:left="900" w:hanging="255"/>
        <w:spacing w:after="0"/>
        <w:tabs>
          <w:tab w:leader="none" w:pos="900" w:val="left"/>
        </w:tabs>
        <w:numPr>
          <w:ilvl w:val="0"/>
          <w:numId w:val="38"/>
        </w:numPr>
        <w:rPr>
          <w:rFonts w:ascii="Arial" w:cs="Arial" w:eastAsia="Arial" w:hAnsi="Arial"/>
          <w:sz w:val="16"/>
          <w:szCs w:val="16"/>
          <w:i w:val="1"/>
          <w:iCs w:val="1"/>
          <w:color w:val="010000"/>
        </w:rPr>
      </w:pPr>
      <w:r>
        <w:rPr>
          <w:rFonts w:ascii="Arial" w:cs="Arial" w:eastAsia="Arial" w:hAnsi="Arial"/>
          <w:sz w:val="16"/>
          <w:szCs w:val="16"/>
          <w:i w:val="1"/>
          <w:iCs w:val="1"/>
          <w:u w:val="single" w:color="auto"/>
          <w:color w:val="auto"/>
        </w:rPr>
        <w:t>Sarbanes-Oxley</w:t>
      </w:r>
      <w:r>
        <w:rPr>
          <w:rFonts w:ascii="Arial" w:cs="Arial" w:eastAsia="Arial" w:hAnsi="Arial"/>
          <w:sz w:val="16"/>
          <w:szCs w:val="16"/>
          <w:color w:val="auto"/>
        </w:rPr>
        <w:t>. During the Prospectus Delivery Period, the Company will comply with all applicable provisions of the Sarbanes-Oxley</w:t>
      </w:r>
    </w:p>
    <w:p>
      <w:pPr>
        <w:spacing w:after="0" w:line="46" w:lineRule="exact"/>
        <w:rPr>
          <w:rFonts w:ascii="Arial" w:cs="Arial" w:eastAsia="Arial" w:hAnsi="Arial"/>
          <w:sz w:val="16"/>
          <w:szCs w:val="16"/>
          <w:i w:val="1"/>
          <w:iCs w:val="1"/>
          <w:color w:val="010000"/>
        </w:rPr>
      </w:pPr>
    </w:p>
    <w:p>
      <w:pPr>
        <w:spacing w:after="0"/>
        <w:rPr>
          <w:rFonts w:ascii="Arial" w:cs="Arial" w:eastAsia="Arial" w:hAnsi="Arial"/>
          <w:sz w:val="16"/>
          <w:szCs w:val="16"/>
          <w:i w:val="1"/>
          <w:iCs w:val="1"/>
          <w:color w:val="010000"/>
        </w:rPr>
      </w:pPr>
      <w:r>
        <w:rPr>
          <w:rFonts w:ascii="Arial" w:cs="Arial" w:eastAsia="Arial" w:hAnsi="Arial"/>
          <w:sz w:val="18"/>
          <w:szCs w:val="18"/>
          <w:color w:val="auto"/>
        </w:rPr>
        <w:t>Act.</w:t>
      </w:r>
    </w:p>
    <w:p>
      <w:pPr>
        <w:spacing w:after="0" w:line="210" w:lineRule="exact"/>
        <w:rPr>
          <w:rFonts w:ascii="Arial" w:cs="Arial" w:eastAsia="Arial" w:hAnsi="Arial"/>
          <w:sz w:val="16"/>
          <w:szCs w:val="16"/>
          <w:i w:val="1"/>
          <w:iCs w:val="1"/>
          <w:color w:val="010000"/>
        </w:rPr>
      </w:pPr>
    </w:p>
    <w:p>
      <w:pPr>
        <w:ind w:right="20" w:firstLine="645"/>
        <w:spacing w:after="0" w:line="289" w:lineRule="auto"/>
        <w:tabs>
          <w:tab w:leader="none" w:pos="903" w:val="left"/>
        </w:tabs>
        <w:numPr>
          <w:ilvl w:val="0"/>
          <w:numId w:val="38"/>
        </w:numPr>
        <w:rPr>
          <w:rFonts w:ascii="Arial" w:cs="Arial" w:eastAsia="Arial" w:hAnsi="Arial"/>
          <w:sz w:val="16"/>
          <w:szCs w:val="16"/>
          <w:color w:val="010000"/>
        </w:rPr>
      </w:pPr>
      <w:r>
        <w:rPr>
          <w:rFonts w:ascii="Arial" w:cs="Arial" w:eastAsia="Arial" w:hAnsi="Arial"/>
          <w:sz w:val="16"/>
          <w:szCs w:val="16"/>
          <w:i w:val="1"/>
          <w:iCs w:val="1"/>
          <w:u w:val="single" w:color="auto"/>
          <w:color w:val="auto"/>
        </w:rPr>
        <w:t>Free Writing Prospectuses</w:t>
      </w:r>
      <w:r>
        <w:rPr>
          <w:rFonts w:ascii="Arial" w:cs="Arial" w:eastAsia="Arial" w:hAnsi="Arial"/>
          <w:sz w:val="16"/>
          <w:szCs w:val="16"/>
          <w:color w:val="auto"/>
        </w:rPr>
        <w:t>. The Company represents and agrees that, unless it obtains the prior written consent of the Representatives,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each Underwriter severally represents and agrees that, unless it obtains the prior written consent of the Company and the Representatives,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IV. Any such free writing prospectus consented to by the Company and the Representatives is hereinafter referred to as a </w:t>
      </w:r>
      <w:r>
        <w:rPr>
          <w:rFonts w:ascii="Arial" w:cs="Arial" w:eastAsia="Arial" w:hAnsi="Arial"/>
          <w:sz w:val="16"/>
          <w:szCs w:val="16"/>
          <w:b w:val="1"/>
          <w:bCs w:val="1"/>
          <w:i w:val="1"/>
          <w:iCs w:val="1"/>
          <w:color w:val="auto"/>
        </w:rPr>
        <w:t>“Permitted Free Writing Prospectus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represents that it has treated or agrees that it will treat each Permitted Free Writing Prospectus as an issuer free writing prospectus, and has complied and will comply with the requirements of Rules 164 and 433 of the Rules and Regulations applicable to any Permitted Free Writing Prospectus. The Company represents that it has satisfied and agrees that it will satisfy the conditions in Rule 433 to avoid a requirement to file with the Commission any electronic road show.</w:t>
      </w:r>
    </w:p>
    <w:p>
      <w:pPr>
        <w:spacing w:after="0" w:line="37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908" w:right="259" w:bottom="1440" w:gutter="0" w:footer="0" w:header="0"/>
        </w:sectPr>
      </w:pPr>
    </w:p>
    <w:bookmarkStart w:id="29" w:name="page30"/>
    <w:bookmarkEnd w:id="29"/>
    <w:p>
      <w:pPr>
        <w:ind w:left="184" w:hanging="184"/>
        <w:spacing w:after="0"/>
        <w:tabs>
          <w:tab w:leader="none" w:pos="184" w:val="left"/>
        </w:tabs>
        <w:numPr>
          <w:ilvl w:val="0"/>
          <w:numId w:val="39"/>
        </w:numPr>
        <w:rPr>
          <w:rFonts w:ascii="Arial" w:cs="Arial" w:eastAsia="Arial" w:hAnsi="Arial"/>
          <w:sz w:val="18"/>
          <w:szCs w:val="18"/>
          <w:color w:val="010000"/>
        </w:rPr>
      </w:pPr>
      <w:r>
        <w:rPr>
          <w:rFonts w:ascii="Arial" w:cs="Arial" w:eastAsia="Arial" w:hAnsi="Arial"/>
          <w:sz w:val="18"/>
          <w:szCs w:val="18"/>
          <w:b w:val="1"/>
          <w:bCs w:val="1"/>
          <w:i w:val="1"/>
          <w:iCs w:val="1"/>
          <w:color w:val="auto"/>
        </w:rPr>
        <w:t>Covenants of the Selling Shareholder</w:t>
      </w:r>
      <w:r>
        <w:rPr>
          <w:rFonts w:ascii="Arial" w:cs="Arial" w:eastAsia="Arial" w:hAnsi="Arial"/>
          <w:sz w:val="18"/>
          <w:szCs w:val="18"/>
          <w:color w:val="auto"/>
        </w:rPr>
        <w:t>. The Selling Shareholder covenants and agrees with the several Underwriters as follows:</w:t>
      </w:r>
    </w:p>
    <w:p>
      <w:pPr>
        <w:spacing w:after="0" w:line="225" w:lineRule="exact"/>
        <w:rPr>
          <w:rFonts w:ascii="Arial" w:cs="Arial" w:eastAsia="Arial" w:hAnsi="Arial"/>
          <w:sz w:val="18"/>
          <w:szCs w:val="18"/>
          <w:color w:val="010000"/>
        </w:rPr>
      </w:pPr>
    </w:p>
    <w:p>
      <w:pPr>
        <w:ind w:left="4" w:right="600" w:firstLine="645"/>
        <w:spacing w:after="0" w:line="277" w:lineRule="auto"/>
        <w:tabs>
          <w:tab w:leader="none" w:pos="897" w:val="left"/>
        </w:tabs>
        <w:numPr>
          <w:ilvl w:val="1"/>
          <w:numId w:val="39"/>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Stabilization</w:t>
      </w:r>
      <w:r>
        <w:rPr>
          <w:rFonts w:ascii="Arial" w:cs="Arial" w:eastAsia="Arial" w:hAnsi="Arial"/>
          <w:sz w:val="18"/>
          <w:szCs w:val="18"/>
          <w:color w:val="auto"/>
        </w:rPr>
        <w:t>. The Selling Shareholder will not take, directly or indirectly, any action designed to or that would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Company’s securities.</w:t>
      </w:r>
    </w:p>
    <w:p>
      <w:pPr>
        <w:spacing w:after="0" w:line="170" w:lineRule="exact"/>
        <w:rPr>
          <w:rFonts w:ascii="Arial" w:cs="Arial" w:eastAsia="Arial" w:hAnsi="Arial"/>
          <w:sz w:val="18"/>
          <w:szCs w:val="18"/>
          <w:color w:val="010000"/>
        </w:rPr>
      </w:pPr>
    </w:p>
    <w:p>
      <w:pPr>
        <w:ind w:left="4" w:firstLine="645"/>
        <w:spacing w:after="0" w:line="259" w:lineRule="auto"/>
        <w:tabs>
          <w:tab w:leader="none" w:pos="907" w:val="left"/>
        </w:tabs>
        <w:numPr>
          <w:ilvl w:val="1"/>
          <w:numId w:val="39"/>
        </w:numPr>
        <w:rPr>
          <w:rFonts w:ascii="Arial" w:cs="Arial" w:eastAsia="Arial" w:hAnsi="Arial"/>
          <w:sz w:val="18"/>
          <w:szCs w:val="18"/>
          <w:color w:val="010000"/>
        </w:rPr>
      </w:pPr>
      <w:r>
        <w:rPr>
          <w:rFonts w:ascii="Arial" w:cs="Arial" w:eastAsia="Arial" w:hAnsi="Arial"/>
          <w:sz w:val="18"/>
          <w:szCs w:val="18"/>
          <w:i w:val="1"/>
          <w:iCs w:val="1"/>
          <w:u w:val="single" w:color="auto"/>
          <w:color w:val="auto"/>
        </w:rPr>
        <w:t>Forms W-8 and W-9</w:t>
      </w:r>
      <w:r>
        <w:rPr>
          <w:rFonts w:ascii="Arial" w:cs="Arial" w:eastAsia="Arial" w:hAnsi="Arial"/>
          <w:sz w:val="18"/>
          <w:szCs w:val="18"/>
          <w:color w:val="auto"/>
        </w:rPr>
        <w:t>. The Selling Shareholder will deliver to the Representatives on or prior to the First Closing Date a properly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and executed United States Treasury Department Form W-8 (if the Selling Shareholder is a non-United States person) or Form W-9 (if the Selling Shareholder is a United States person) or such other applicable form or statement specified by Treasury Department regulations in lieu thereof.</w:t>
      </w:r>
    </w:p>
    <w:p>
      <w:pPr>
        <w:spacing w:after="0" w:line="186" w:lineRule="exact"/>
        <w:rPr>
          <w:rFonts w:ascii="Arial" w:cs="Arial" w:eastAsia="Arial" w:hAnsi="Arial"/>
          <w:sz w:val="18"/>
          <w:szCs w:val="18"/>
          <w:color w:val="010000"/>
        </w:rPr>
      </w:pPr>
    </w:p>
    <w:p>
      <w:pPr>
        <w:ind w:left="4" w:firstLine="645"/>
        <w:spacing w:after="0" w:line="264" w:lineRule="auto"/>
        <w:tabs>
          <w:tab w:leader="none" w:pos="897" w:val="left"/>
        </w:tabs>
        <w:numPr>
          <w:ilvl w:val="1"/>
          <w:numId w:val="39"/>
        </w:numPr>
        <w:rPr>
          <w:rFonts w:ascii="Arial" w:cs="Arial" w:eastAsia="Arial" w:hAnsi="Arial"/>
          <w:sz w:val="18"/>
          <w:szCs w:val="18"/>
          <w:color w:val="010000"/>
        </w:rPr>
      </w:pPr>
      <w:r>
        <w:rPr>
          <w:rFonts w:ascii="Arial" w:cs="Arial" w:eastAsia="Arial" w:hAnsi="Arial"/>
          <w:sz w:val="18"/>
          <w:szCs w:val="18"/>
          <w:i w:val="1"/>
          <w:iCs w:val="1"/>
          <w:u w:val="single" w:color="auto"/>
          <w:color w:val="auto"/>
        </w:rPr>
        <w:t>Free Writing Prospectuses</w:t>
      </w:r>
      <w:r>
        <w:rPr>
          <w:rFonts w:ascii="Arial" w:cs="Arial" w:eastAsia="Arial" w:hAnsi="Arial"/>
          <w:sz w:val="18"/>
          <w:szCs w:val="18"/>
          <w:color w:val="auto"/>
        </w:rPr>
        <w:t>. The Selling Shareholder agrees that it will not, in such capacity, prepare or have prepared on its behalf or use</w:t>
      </w:r>
      <w:r>
        <w:rPr>
          <w:rFonts w:ascii="Arial" w:cs="Arial" w:eastAsia="Arial" w:hAnsi="Arial"/>
          <w:sz w:val="18"/>
          <w:szCs w:val="18"/>
          <w:i w:val="1"/>
          <w:iCs w:val="1"/>
          <w:color w:val="auto"/>
        </w:rPr>
        <w:t xml:space="preserve"> </w:t>
      </w:r>
      <w:r>
        <w:rPr>
          <w:rFonts w:ascii="Arial" w:cs="Arial" w:eastAsia="Arial" w:hAnsi="Arial"/>
          <w:sz w:val="18"/>
          <w:szCs w:val="18"/>
          <w:color w:val="auto"/>
        </w:rPr>
        <w:t>or refer to any “free writing prospectus” (as defined in Rule 405 of the Exchange Act) and agrees that it will not, in such capacity, distribute any written materials in connection with the offer or sale of the Securities.</w:t>
      </w:r>
    </w:p>
    <w:p>
      <w:pPr>
        <w:spacing w:after="0" w:line="181" w:lineRule="exact"/>
        <w:rPr>
          <w:rFonts w:ascii="Arial" w:cs="Arial" w:eastAsia="Arial" w:hAnsi="Arial"/>
          <w:sz w:val="18"/>
          <w:szCs w:val="18"/>
          <w:color w:val="010000"/>
        </w:rPr>
      </w:pPr>
    </w:p>
    <w:p>
      <w:pPr>
        <w:ind w:left="4" w:right="160" w:firstLine="645"/>
        <w:spacing w:after="0" w:line="286" w:lineRule="auto"/>
        <w:tabs>
          <w:tab w:leader="none" w:pos="907" w:val="left"/>
        </w:tabs>
        <w:numPr>
          <w:ilvl w:val="1"/>
          <w:numId w:val="39"/>
        </w:numPr>
        <w:rPr>
          <w:rFonts w:ascii="Arial" w:cs="Arial" w:eastAsia="Arial" w:hAnsi="Arial"/>
          <w:sz w:val="17"/>
          <w:szCs w:val="17"/>
          <w:color w:val="010000"/>
        </w:rPr>
      </w:pPr>
      <w:r>
        <w:rPr>
          <w:rFonts w:ascii="Arial" w:cs="Arial" w:eastAsia="Arial" w:hAnsi="Arial"/>
          <w:sz w:val="17"/>
          <w:szCs w:val="17"/>
          <w:i w:val="1"/>
          <w:iCs w:val="1"/>
          <w:u w:val="single" w:color="auto"/>
          <w:color w:val="auto"/>
        </w:rPr>
        <w:t>Selling Shareholder Information</w:t>
      </w:r>
      <w:r>
        <w:rPr>
          <w:rFonts w:ascii="Arial" w:cs="Arial" w:eastAsia="Arial" w:hAnsi="Arial"/>
          <w:sz w:val="17"/>
          <w:szCs w:val="17"/>
          <w:color w:val="auto"/>
        </w:rPr>
        <w:t>. During the period when delivery of a prospectus (or, in lieu thereof, the notice referred to under Rule</w:t>
      </w:r>
      <w:r>
        <w:rPr>
          <w:rFonts w:ascii="Arial" w:cs="Arial" w:eastAsia="Arial" w:hAnsi="Arial"/>
          <w:sz w:val="17"/>
          <w:szCs w:val="17"/>
          <w:i w:val="1"/>
          <w:iCs w:val="1"/>
          <w:color w:val="auto"/>
        </w:rPr>
        <w:t xml:space="preserve"> </w:t>
      </w:r>
      <w:r>
        <w:rPr>
          <w:rFonts w:ascii="Arial" w:cs="Arial" w:eastAsia="Arial" w:hAnsi="Arial"/>
          <w:sz w:val="17"/>
          <w:szCs w:val="17"/>
          <w:color w:val="auto"/>
        </w:rPr>
        <w:t>173(a) of the Act) is required under the Act, the Selling Shareholder will advise the Representatives promptly, and will confirm such advice in writing to the Representatives, of any change in the such Selling Shareholder’s Selling Shareholder Information.</w:t>
      </w:r>
    </w:p>
    <w:p>
      <w:pPr>
        <w:spacing w:after="0" w:line="165" w:lineRule="exact"/>
        <w:rPr>
          <w:rFonts w:ascii="Arial" w:cs="Arial" w:eastAsia="Arial" w:hAnsi="Arial"/>
          <w:sz w:val="17"/>
          <w:szCs w:val="17"/>
          <w:color w:val="010000"/>
        </w:rPr>
      </w:pPr>
    </w:p>
    <w:p>
      <w:pPr>
        <w:ind w:left="4" w:right="20" w:firstLine="645"/>
        <w:spacing w:after="0" w:line="264" w:lineRule="auto"/>
        <w:tabs>
          <w:tab w:leader="none" w:pos="897" w:val="left"/>
        </w:tabs>
        <w:numPr>
          <w:ilvl w:val="1"/>
          <w:numId w:val="39"/>
        </w:numPr>
        <w:rPr>
          <w:rFonts w:ascii="Arial" w:cs="Arial" w:eastAsia="Arial" w:hAnsi="Arial"/>
          <w:sz w:val="18"/>
          <w:szCs w:val="18"/>
          <w:color w:val="010000"/>
        </w:rPr>
      </w:pPr>
      <w:r>
        <w:rPr>
          <w:rFonts w:ascii="Arial" w:cs="Arial" w:eastAsia="Arial" w:hAnsi="Arial"/>
          <w:sz w:val="18"/>
          <w:szCs w:val="18"/>
          <w:i w:val="1"/>
          <w:iCs w:val="1"/>
          <w:u w:val="single" w:color="auto"/>
          <w:color w:val="auto"/>
        </w:rPr>
        <w:t>Performance of Covenants and Satisfaction of Conditions</w:t>
      </w:r>
      <w:r>
        <w:rPr>
          <w:rFonts w:ascii="Arial" w:cs="Arial" w:eastAsia="Arial" w:hAnsi="Arial"/>
          <w:sz w:val="18"/>
          <w:szCs w:val="18"/>
          <w:color w:val="auto"/>
        </w:rPr>
        <w:t>. The Selling Shareholder will use its reasonable best efforts to do and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all things required to be done or performed under this Agreement by such Selling Shareholder prior to the First Closing Date and to satisfy all conditions precedent to the delivery of the Firm Shares.</w:t>
      </w:r>
    </w:p>
    <w:p>
      <w:pPr>
        <w:spacing w:after="0" w:line="181" w:lineRule="exact"/>
        <w:rPr>
          <w:rFonts w:ascii="Arial" w:cs="Arial" w:eastAsia="Arial" w:hAnsi="Arial"/>
          <w:sz w:val="18"/>
          <w:szCs w:val="18"/>
          <w:color w:val="010000"/>
        </w:rPr>
      </w:pPr>
    </w:p>
    <w:p>
      <w:pPr>
        <w:ind w:left="4" w:right="80" w:hanging="4"/>
        <w:spacing w:after="0" w:line="279" w:lineRule="auto"/>
        <w:tabs>
          <w:tab w:leader="none" w:pos="184" w:val="left"/>
        </w:tabs>
        <w:numPr>
          <w:ilvl w:val="0"/>
          <w:numId w:val="39"/>
        </w:numPr>
        <w:rPr>
          <w:rFonts w:ascii="Arial" w:cs="Arial" w:eastAsia="Arial" w:hAnsi="Arial"/>
          <w:sz w:val="17"/>
          <w:szCs w:val="17"/>
          <w:color w:val="010000"/>
        </w:rPr>
      </w:pPr>
      <w:r>
        <w:rPr>
          <w:rFonts w:ascii="Arial" w:cs="Arial" w:eastAsia="Arial" w:hAnsi="Arial"/>
          <w:sz w:val="17"/>
          <w:szCs w:val="17"/>
          <w:b w:val="1"/>
          <w:bCs w:val="1"/>
          <w:i w:val="1"/>
          <w:iCs w:val="1"/>
          <w:color w:val="auto"/>
        </w:rPr>
        <w:t>Conditions of Underwriters’ Obligations</w:t>
      </w:r>
      <w:r>
        <w:rPr>
          <w:rFonts w:ascii="Arial" w:cs="Arial" w:eastAsia="Arial" w:hAnsi="Arial"/>
          <w:sz w:val="17"/>
          <w:szCs w:val="17"/>
          <w:color w:val="auto"/>
        </w:rPr>
        <w:t>. The obligations of the several Underwriters hereunder are subject to the accuracy, as of the date hereof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at each of the First Closing Date and the Second Closing Date (as if made at such Closing Date), of and compliance with all representations, warranties and agreements of the Company and the Selling Shareholder contained herein, to the performance by the Company and the Selling Shareholder of their respective obligations hereunder and to the following additional conditions:</w:t>
      </w:r>
    </w:p>
    <w:p>
      <w:pPr>
        <w:spacing w:after="0" w:line="171" w:lineRule="exact"/>
        <w:rPr>
          <w:rFonts w:ascii="Arial" w:cs="Arial" w:eastAsia="Arial" w:hAnsi="Arial"/>
          <w:sz w:val="17"/>
          <w:szCs w:val="17"/>
          <w:color w:val="010000"/>
        </w:rPr>
      </w:pPr>
    </w:p>
    <w:p>
      <w:pPr>
        <w:ind w:left="4" w:right="20" w:firstLine="645"/>
        <w:spacing w:after="0" w:line="293" w:lineRule="auto"/>
        <w:tabs>
          <w:tab w:leader="none" w:pos="897" w:val="left"/>
        </w:tabs>
        <w:numPr>
          <w:ilvl w:val="1"/>
          <w:numId w:val="39"/>
        </w:numPr>
        <w:rPr>
          <w:rFonts w:ascii="Arial" w:cs="Arial" w:eastAsia="Arial" w:hAnsi="Arial"/>
          <w:sz w:val="16"/>
          <w:szCs w:val="16"/>
          <w:color w:val="010000"/>
        </w:rPr>
      </w:pPr>
      <w:r>
        <w:rPr>
          <w:rFonts w:ascii="Arial" w:cs="Arial" w:eastAsia="Arial" w:hAnsi="Arial"/>
          <w:sz w:val="16"/>
          <w:szCs w:val="16"/>
          <w:i w:val="1"/>
          <w:iCs w:val="1"/>
          <w:u w:val="single" w:color="auto"/>
          <w:color w:val="auto"/>
        </w:rPr>
        <w:t>Required Filings; Absence of Certain Commission Actions</w:t>
      </w:r>
      <w:r>
        <w:rPr>
          <w:rFonts w:ascii="Arial" w:cs="Arial" w:eastAsia="Arial" w:hAnsi="Arial"/>
          <w:sz w:val="16"/>
          <w:szCs w:val="16"/>
          <w:color w:val="auto"/>
        </w:rPr>
        <w:t>. All filings required by Rules 424, 430B and 433 of the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shall have been timely made (without reliance on Rule 424(b)(8) or Rule 164(b)); no stop order suspending the effectiveness of the Registration Statement or any part thereof or any amendment thereof, nor suspending or preventing the use of the Time of Sale Disclosure Package, the Prospectus or any issuer free writing prospectus shall have been issued; no proceedings for the issuance of such an order shall have been initiated or threatened; and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37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30" w:name="page31"/>
    <w:bookmarkEnd w:id="30"/>
    <w:p>
      <w:pPr>
        <w:ind w:left="-540" w:right="40" w:firstLine="645"/>
        <w:spacing w:after="0" w:line="293" w:lineRule="auto"/>
        <w:tabs>
          <w:tab w:leader="none" w:pos="363" w:val="left"/>
        </w:tabs>
        <w:numPr>
          <w:ilvl w:val="0"/>
          <w:numId w:val="40"/>
        </w:numPr>
        <w:rPr>
          <w:rFonts w:ascii="Arial" w:cs="Arial" w:eastAsia="Arial" w:hAnsi="Arial"/>
          <w:sz w:val="16"/>
          <w:szCs w:val="16"/>
          <w:color w:val="010000"/>
        </w:rPr>
      </w:pPr>
      <w:r>
        <w:rPr>
          <w:rFonts w:ascii="Arial" w:cs="Arial" w:eastAsia="Arial" w:hAnsi="Arial"/>
          <w:sz w:val="16"/>
          <w:szCs w:val="16"/>
          <w:i w:val="1"/>
          <w:iCs w:val="1"/>
          <w:u w:val="single" w:color="auto"/>
          <w:color w:val="auto"/>
        </w:rPr>
        <w:t>Continued Compliance with Securities Laws</w:t>
      </w:r>
      <w:r>
        <w:rPr>
          <w:rFonts w:ascii="Arial" w:cs="Arial" w:eastAsia="Arial" w:hAnsi="Arial"/>
          <w:sz w:val="16"/>
          <w:szCs w:val="16"/>
          <w:color w:val="auto"/>
        </w:rPr>
        <w:t>. No Underwriter shall have advised the Company that (i) the Registration Statement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the Prospectus or any issuer free writing prospectus, or any amendment thereof or supplement thereto,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164" w:lineRule="exact"/>
        <w:rPr>
          <w:rFonts w:ascii="Arial" w:cs="Arial" w:eastAsia="Arial" w:hAnsi="Arial"/>
          <w:sz w:val="16"/>
          <w:szCs w:val="16"/>
          <w:color w:val="010000"/>
        </w:rPr>
      </w:pPr>
    </w:p>
    <w:p>
      <w:pPr>
        <w:ind w:left="-540" w:firstLine="645"/>
        <w:spacing w:after="0" w:line="287" w:lineRule="auto"/>
        <w:tabs>
          <w:tab w:leader="none" w:pos="353" w:val="left"/>
        </w:tabs>
        <w:numPr>
          <w:ilvl w:val="0"/>
          <w:numId w:val="40"/>
        </w:numPr>
        <w:rPr>
          <w:rFonts w:ascii="Arial" w:cs="Arial" w:eastAsia="Arial" w:hAnsi="Arial"/>
          <w:sz w:val="16"/>
          <w:szCs w:val="16"/>
          <w:color w:val="010000"/>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 subsequent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dates as of which information is given in the Time of Sale Disclosure Package and the Prospectus, neither the Company nor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 upon the exercise of outstanding options or warrants or conversion of convertible securities or the issuance of shares of Common Stock or securities exercisable for shares of Common Stock to employees, directors or service providers of the Company for compensatory purposes), or any material change in the short-term or long-term debt of the Company (other than as a result of the conversion of convertible securities), or any issuance of options, warrants, convertible securities or other rights to purchase the capital stock of the Company or its subsidiaries, or any Material Adverse Change or any development involving a prospective Material Adverse Change (whether or not arising in the ordinary course of business), that, in your judgment, makes it impractical or inadvisable to offer or deliver the Securities on the terms and in the manner contemplated in the Time of Sale Disclosure Package and in the Prospectus.</w:t>
      </w:r>
    </w:p>
    <w:p>
      <w:pPr>
        <w:spacing w:after="0" w:line="172" w:lineRule="exact"/>
        <w:rPr>
          <w:rFonts w:ascii="Arial" w:cs="Arial" w:eastAsia="Arial" w:hAnsi="Arial"/>
          <w:sz w:val="16"/>
          <w:szCs w:val="16"/>
          <w:color w:val="010000"/>
        </w:rPr>
      </w:pPr>
    </w:p>
    <w:p>
      <w:pPr>
        <w:ind w:left="-540" w:right="40" w:firstLine="645"/>
        <w:spacing w:after="0" w:line="264" w:lineRule="auto"/>
        <w:tabs>
          <w:tab w:leader="none" w:pos="363" w:val="left"/>
        </w:tabs>
        <w:numPr>
          <w:ilvl w:val="0"/>
          <w:numId w:val="40"/>
        </w:numPr>
        <w:rPr>
          <w:rFonts w:ascii="Arial" w:cs="Arial" w:eastAsia="Arial" w:hAnsi="Arial"/>
          <w:sz w:val="18"/>
          <w:szCs w:val="18"/>
          <w:color w:val="010000"/>
        </w:rPr>
      </w:pPr>
      <w:r>
        <w:rPr>
          <w:rFonts w:ascii="Arial" w:cs="Arial" w:eastAsia="Arial" w:hAnsi="Arial"/>
          <w:sz w:val="18"/>
          <w:szCs w:val="18"/>
          <w:i w:val="1"/>
          <w:iCs w:val="1"/>
          <w:u w:val="single" w:color="auto"/>
          <w:color w:val="auto"/>
        </w:rPr>
        <w:t>Opinion of Company Counsels</w:t>
      </w:r>
      <w:r>
        <w:rPr>
          <w:rFonts w:ascii="Arial" w:cs="Arial" w:eastAsia="Arial" w:hAnsi="Arial"/>
          <w:sz w:val="18"/>
          <w:szCs w:val="18"/>
          <w:color w:val="auto"/>
        </w:rPr>
        <w:t>. On each Closing Date, there shall have been furnished to you, as Representatives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the opinions and negative assurance letter of Morgan, Lewis &amp; Bockius LLP and the opinion of The Doney Law Firm, counsel for the Company, dated such Closing Date and addressed to you, in form and substance satisfactory to you.</w:t>
      </w:r>
    </w:p>
    <w:p>
      <w:pPr>
        <w:spacing w:after="0" w:line="181" w:lineRule="exact"/>
        <w:rPr>
          <w:rFonts w:ascii="Arial" w:cs="Arial" w:eastAsia="Arial" w:hAnsi="Arial"/>
          <w:sz w:val="18"/>
          <w:szCs w:val="18"/>
          <w:color w:val="010000"/>
        </w:rPr>
      </w:pPr>
    </w:p>
    <w:p>
      <w:pPr>
        <w:ind w:left="-540" w:right="40" w:firstLine="645"/>
        <w:spacing w:after="0" w:line="259" w:lineRule="auto"/>
        <w:tabs>
          <w:tab w:leader="none" w:pos="353" w:val="left"/>
        </w:tabs>
        <w:numPr>
          <w:ilvl w:val="0"/>
          <w:numId w:val="40"/>
        </w:numPr>
        <w:rPr>
          <w:rFonts w:ascii="Arial" w:cs="Arial" w:eastAsia="Arial" w:hAnsi="Arial"/>
          <w:sz w:val="18"/>
          <w:szCs w:val="18"/>
          <w:color w:val="010000"/>
        </w:rPr>
      </w:pPr>
      <w:r>
        <w:rPr>
          <w:rFonts w:ascii="Arial" w:cs="Arial" w:eastAsia="Arial" w:hAnsi="Arial"/>
          <w:sz w:val="18"/>
          <w:szCs w:val="18"/>
          <w:i w:val="1"/>
          <w:iCs w:val="1"/>
          <w:u w:val="single" w:color="auto"/>
          <w:color w:val="auto"/>
        </w:rPr>
        <w:t>Opinion of Selling Shareholder’s Counsels</w:t>
      </w:r>
      <w:r>
        <w:rPr>
          <w:rFonts w:ascii="Arial" w:cs="Arial" w:eastAsia="Arial" w:hAnsi="Arial"/>
          <w:sz w:val="18"/>
          <w:szCs w:val="18"/>
          <w:color w:val="auto"/>
        </w:rPr>
        <w:t>. On the First Closing Date, there shall have been furnished to you, as Representatives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several Underwriters, the opinion of Davis &amp; Gilbert LLP, U.S. counsel for the Selling Shareholder, and Allen &amp; Overy, </w:t>
      </w:r>
      <w:r>
        <w:rPr>
          <w:rFonts w:ascii="Arial" w:cs="Arial" w:eastAsia="Arial" w:hAnsi="Arial"/>
          <w:sz w:val="18"/>
          <w:szCs w:val="18"/>
          <w:i w:val="1"/>
          <w:iCs w:val="1"/>
          <w:color w:val="auto"/>
        </w:rPr>
        <w:t>société en commandite</w:t>
      </w:r>
      <w:r>
        <w:rPr>
          <w:rFonts w:ascii="Arial" w:cs="Arial" w:eastAsia="Arial" w:hAnsi="Arial"/>
          <w:sz w:val="18"/>
          <w:szCs w:val="18"/>
          <w:color w:val="auto"/>
        </w:rPr>
        <w:t xml:space="preserve"> </w:t>
      </w:r>
      <w:r>
        <w:rPr>
          <w:rFonts w:ascii="Arial" w:cs="Arial" w:eastAsia="Arial" w:hAnsi="Arial"/>
          <w:sz w:val="18"/>
          <w:szCs w:val="18"/>
          <w:i w:val="1"/>
          <w:iCs w:val="1"/>
          <w:color w:val="auto"/>
        </w:rPr>
        <w:t>simple</w:t>
      </w:r>
      <w:r>
        <w:rPr>
          <w:rFonts w:ascii="Arial" w:cs="Arial" w:eastAsia="Arial" w:hAnsi="Arial"/>
          <w:sz w:val="18"/>
          <w:szCs w:val="18"/>
          <w:color w:val="auto"/>
        </w:rPr>
        <w:t>, registered on list V of the Luxembourg bar, Luxembourg counsel for the Selling Shareholder, each dated as of such Closing and addressed to</w:t>
      </w:r>
      <w:r>
        <w:rPr>
          <w:rFonts w:ascii="Arial" w:cs="Arial" w:eastAsia="Arial" w:hAnsi="Arial"/>
          <w:sz w:val="18"/>
          <w:szCs w:val="18"/>
          <w:i w:val="1"/>
          <w:iCs w:val="1"/>
          <w:color w:val="auto"/>
        </w:rPr>
        <w:t xml:space="preserve"> </w:t>
      </w:r>
      <w:r>
        <w:rPr>
          <w:rFonts w:ascii="Arial" w:cs="Arial" w:eastAsia="Arial" w:hAnsi="Arial"/>
          <w:sz w:val="18"/>
          <w:szCs w:val="18"/>
          <w:color w:val="auto"/>
        </w:rPr>
        <w:t>you, in form and substance satisfactory to you.</w:t>
      </w:r>
    </w:p>
    <w:p>
      <w:pPr>
        <w:spacing w:after="0" w:line="39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31" w:name="page32"/>
    <w:bookmarkEnd w:id="31"/>
    <w:p>
      <w:pPr>
        <w:ind w:left="-540" w:right="100" w:firstLine="645"/>
        <w:spacing w:after="0" w:line="312" w:lineRule="auto"/>
        <w:tabs>
          <w:tab w:leader="none" w:pos="333" w:val="left"/>
        </w:tabs>
        <w:numPr>
          <w:ilvl w:val="0"/>
          <w:numId w:val="41"/>
        </w:numPr>
        <w:rPr>
          <w:rFonts w:ascii="Arial" w:cs="Arial" w:eastAsia="Arial" w:hAnsi="Arial"/>
          <w:sz w:val="16"/>
          <w:szCs w:val="16"/>
          <w:color w:val="010000"/>
        </w:rPr>
      </w:pPr>
      <w:r>
        <w:rPr>
          <w:rFonts w:ascii="Arial" w:cs="Arial" w:eastAsia="Arial" w:hAnsi="Arial"/>
          <w:sz w:val="16"/>
          <w:szCs w:val="16"/>
          <w:i w:val="1"/>
          <w:iCs w:val="1"/>
          <w:u w:val="single" w:color="auto"/>
          <w:color w:val="auto"/>
        </w:rPr>
        <w:t>Negative Assurance Letter of Underwriters’ Counsel</w:t>
      </w:r>
      <w:r>
        <w:rPr>
          <w:rFonts w:ascii="Arial" w:cs="Arial" w:eastAsia="Arial" w:hAnsi="Arial"/>
          <w:sz w:val="16"/>
          <w:szCs w:val="16"/>
          <w:color w:val="auto"/>
        </w:rPr>
        <w:t>. On each Closing Date, there shall have been furnished to you, as Representatives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several Underwriters, such negative assurance letter of Goodwin Procter LLP, counsel for the Underwriters, dated such Closing Date and addressed to you, and such counsel shall have received such papers and information as they request to enable them to pass upon such matters.</w:t>
      </w:r>
    </w:p>
    <w:p>
      <w:pPr>
        <w:spacing w:after="0" w:line="146" w:lineRule="exact"/>
        <w:rPr>
          <w:rFonts w:ascii="Arial" w:cs="Arial" w:eastAsia="Arial" w:hAnsi="Arial"/>
          <w:sz w:val="16"/>
          <w:szCs w:val="16"/>
          <w:color w:val="010000"/>
        </w:rPr>
      </w:pPr>
    </w:p>
    <w:p>
      <w:pPr>
        <w:ind w:left="-540" w:right="120" w:firstLine="645"/>
        <w:spacing w:after="0" w:line="264" w:lineRule="auto"/>
        <w:tabs>
          <w:tab w:leader="none" w:pos="363" w:val="left"/>
        </w:tabs>
        <w:numPr>
          <w:ilvl w:val="0"/>
          <w:numId w:val="41"/>
        </w:numPr>
        <w:rPr>
          <w:rFonts w:ascii="Arial" w:cs="Arial" w:eastAsia="Arial" w:hAnsi="Arial"/>
          <w:sz w:val="18"/>
          <w:szCs w:val="18"/>
          <w:color w:val="010000"/>
        </w:rPr>
      </w:pPr>
      <w:r>
        <w:rPr>
          <w:rFonts w:ascii="Arial" w:cs="Arial" w:eastAsia="Arial" w:hAnsi="Arial"/>
          <w:sz w:val="18"/>
          <w:szCs w:val="18"/>
          <w:i w:val="1"/>
          <w:iCs w:val="1"/>
          <w:u w:val="single" w:color="auto"/>
          <w:color w:val="auto"/>
        </w:rPr>
        <w:t>Comfort Letters</w:t>
      </w:r>
      <w:r>
        <w:rPr>
          <w:rFonts w:ascii="Arial" w:cs="Arial" w:eastAsia="Arial" w:hAnsi="Arial"/>
          <w:sz w:val="18"/>
          <w:szCs w:val="18"/>
          <w:color w:val="auto"/>
        </w:rPr>
        <w:t>. On the date hereof, on the effective date of any post-effective amendment to the Registration Statement filed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each Closing Date, you, as Representatives of the several Underwriters, shall have received a letter from Sadler, Gibb &amp; Associates, LLC, dated such date and addressed to you, in form and substance satisfactory to you.</w:t>
      </w:r>
    </w:p>
    <w:p>
      <w:pPr>
        <w:spacing w:after="0" w:line="181" w:lineRule="exact"/>
        <w:rPr>
          <w:rFonts w:ascii="Arial" w:cs="Arial" w:eastAsia="Arial" w:hAnsi="Arial"/>
          <w:sz w:val="18"/>
          <w:szCs w:val="18"/>
          <w:color w:val="010000"/>
        </w:rPr>
      </w:pPr>
    </w:p>
    <w:p>
      <w:pPr>
        <w:ind w:left="-540" w:right="60" w:firstLine="645"/>
        <w:spacing w:after="0" w:line="264" w:lineRule="auto"/>
        <w:tabs>
          <w:tab w:leader="none" w:pos="363" w:val="left"/>
        </w:tabs>
        <w:numPr>
          <w:ilvl w:val="0"/>
          <w:numId w:val="41"/>
        </w:numPr>
        <w:rPr>
          <w:rFonts w:ascii="Arial" w:cs="Arial" w:eastAsia="Arial" w:hAnsi="Arial"/>
          <w:sz w:val="18"/>
          <w:szCs w:val="18"/>
          <w:color w:val="010000"/>
        </w:rPr>
      </w:pPr>
      <w:r>
        <w:rPr>
          <w:rFonts w:ascii="Arial" w:cs="Arial" w:eastAsia="Arial" w:hAnsi="Arial"/>
          <w:sz w:val="18"/>
          <w:szCs w:val="18"/>
          <w:i w:val="1"/>
          <w:iCs w:val="1"/>
          <w:u w:val="single" w:color="auto"/>
          <w:color w:val="auto"/>
        </w:rPr>
        <w:t>Officers’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 On each Closing Date, there shall have been furnished to you, as Representatives of the several Underwriters, a</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dated such Closing Date and addressed to you, signed by the chief executive officer and by the chief financial officer of the Company, to the effect that:</w:t>
      </w:r>
    </w:p>
    <w:p>
      <w:pPr>
        <w:spacing w:after="0" w:line="181" w:lineRule="exact"/>
        <w:rPr>
          <w:rFonts w:ascii="Arial" w:cs="Arial" w:eastAsia="Arial" w:hAnsi="Arial"/>
          <w:sz w:val="18"/>
          <w:szCs w:val="18"/>
          <w:color w:val="010000"/>
        </w:rPr>
      </w:pPr>
    </w:p>
    <w:p>
      <w:pPr>
        <w:ind w:left="100" w:right="60" w:firstLine="653"/>
        <w:spacing w:after="0" w:line="264" w:lineRule="auto"/>
        <w:tabs>
          <w:tab w:leader="none" w:pos="963" w:val="left"/>
        </w:tabs>
        <w:numPr>
          <w:ilvl w:val="1"/>
          <w:numId w:val="41"/>
        </w:numPr>
        <w:rPr>
          <w:rFonts w:ascii="Arial" w:cs="Arial" w:eastAsia="Arial" w:hAnsi="Arial"/>
          <w:sz w:val="18"/>
          <w:szCs w:val="18"/>
          <w:color w:val="010000"/>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 and</w:t>
      </w:r>
    </w:p>
    <w:p>
      <w:pPr>
        <w:spacing w:after="0" w:line="181" w:lineRule="exact"/>
        <w:rPr>
          <w:rFonts w:ascii="Arial" w:cs="Arial" w:eastAsia="Arial" w:hAnsi="Arial"/>
          <w:sz w:val="18"/>
          <w:szCs w:val="18"/>
          <w:color w:val="010000"/>
        </w:rPr>
      </w:pPr>
    </w:p>
    <w:p>
      <w:pPr>
        <w:ind w:left="100" w:right="40" w:firstLine="653"/>
        <w:spacing w:after="0" w:line="279" w:lineRule="auto"/>
        <w:tabs>
          <w:tab w:leader="none" w:pos="1013" w:val="left"/>
        </w:tabs>
        <w:numPr>
          <w:ilvl w:val="1"/>
          <w:numId w:val="41"/>
        </w:numPr>
        <w:rPr>
          <w:rFonts w:ascii="Arial" w:cs="Arial" w:eastAsia="Arial" w:hAnsi="Arial"/>
          <w:sz w:val="17"/>
          <w:szCs w:val="17"/>
          <w:color w:val="010000"/>
        </w:rPr>
      </w:pPr>
      <w:r>
        <w:rPr>
          <w:rFonts w:ascii="Arial" w:cs="Arial" w:eastAsia="Arial" w:hAnsi="Arial"/>
          <w:sz w:val="17"/>
          <w:szCs w:val="17"/>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171" w:lineRule="exact"/>
        <w:rPr>
          <w:rFonts w:ascii="Arial" w:cs="Arial" w:eastAsia="Arial" w:hAnsi="Arial"/>
          <w:sz w:val="17"/>
          <w:szCs w:val="17"/>
          <w:color w:val="010000"/>
        </w:rPr>
      </w:pPr>
    </w:p>
    <w:p>
      <w:pPr>
        <w:ind w:left="-540" w:firstLine="645"/>
        <w:spacing w:after="0" w:line="279" w:lineRule="auto"/>
        <w:tabs>
          <w:tab w:leader="none" w:pos="323" w:val="left"/>
        </w:tabs>
        <w:numPr>
          <w:ilvl w:val="0"/>
          <w:numId w:val="41"/>
        </w:numPr>
        <w:rPr>
          <w:rFonts w:ascii="Arial" w:cs="Arial" w:eastAsia="Arial" w:hAnsi="Arial"/>
          <w:sz w:val="17"/>
          <w:szCs w:val="17"/>
          <w:color w:val="010000"/>
        </w:rPr>
      </w:pPr>
      <w:r>
        <w:rPr>
          <w:rFonts w:ascii="Arial" w:cs="Arial" w:eastAsia="Arial" w:hAnsi="Arial"/>
          <w:sz w:val="17"/>
          <w:szCs w:val="17"/>
          <w:i w:val="1"/>
          <w:iCs w:val="1"/>
          <w:u w:val="single" w:color="auto"/>
          <w:color w:val="auto"/>
        </w:rPr>
        <w:t>Selling Shareholder’s Certificate</w:t>
      </w:r>
      <w:r>
        <w:rPr>
          <w:rFonts w:ascii="Arial" w:cs="Arial" w:eastAsia="Arial" w:hAnsi="Arial"/>
          <w:sz w:val="17"/>
          <w:szCs w:val="17"/>
          <w:color w:val="auto"/>
        </w:rPr>
        <w:t>. On the First Closing Date, there shall have been furnished to you, as Representatives of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a certificate, dated such Closing Date and addressed to you, signed by, or on behalf of, the Selling Shareholder stating that the representations and warranties of the Selling Shareholder contained herein are true and correct as of the Closing and that the Selling Shareholder has complied with all agreements contained herein to be performed by the Selling Shareholder.</w:t>
      </w:r>
    </w:p>
    <w:p>
      <w:pPr>
        <w:spacing w:after="0" w:line="171" w:lineRule="exact"/>
        <w:rPr>
          <w:rFonts w:ascii="Arial" w:cs="Arial" w:eastAsia="Arial" w:hAnsi="Arial"/>
          <w:sz w:val="17"/>
          <w:szCs w:val="17"/>
          <w:color w:val="010000"/>
        </w:rPr>
      </w:pPr>
    </w:p>
    <w:p>
      <w:pPr>
        <w:ind w:left="-540" w:right="140" w:firstLine="645"/>
        <w:spacing w:after="0" w:line="277" w:lineRule="auto"/>
        <w:tabs>
          <w:tab w:leader="none" w:pos="323" w:val="left"/>
        </w:tabs>
        <w:numPr>
          <w:ilvl w:val="0"/>
          <w:numId w:val="41"/>
        </w:numPr>
        <w:rPr>
          <w:rFonts w:ascii="Arial" w:cs="Arial" w:eastAsia="Arial" w:hAnsi="Arial"/>
          <w:sz w:val="18"/>
          <w:szCs w:val="18"/>
          <w:color w:val="010000"/>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Representatives shall have received all of the Lock-Up Agreements referenced in Section 5 and the Lock-Up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shall remain in full force and effect.</w:t>
      </w:r>
    </w:p>
    <w:p>
      <w:pPr>
        <w:spacing w:after="0" w:line="37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908" w:right="299" w:bottom="1440" w:gutter="0" w:footer="0" w:header="0"/>
        </w:sectPr>
      </w:pPr>
    </w:p>
    <w:bookmarkStart w:id="32" w:name="page33"/>
    <w:bookmarkEnd w:id="32"/>
    <w:p>
      <w:pPr>
        <w:ind w:left="4" w:right="580" w:firstLine="645"/>
        <w:spacing w:after="0" w:line="308" w:lineRule="auto"/>
        <w:tabs>
          <w:tab w:leader="none" w:pos="907" w:val="left"/>
        </w:tabs>
        <w:numPr>
          <w:ilvl w:val="0"/>
          <w:numId w:val="42"/>
        </w:numPr>
        <w:rPr>
          <w:rFonts w:ascii="Arial" w:cs="Arial" w:eastAsia="Arial" w:hAnsi="Arial"/>
          <w:sz w:val="17"/>
          <w:szCs w:val="17"/>
          <w:color w:val="010000"/>
        </w:rPr>
      </w:pPr>
      <w:r>
        <w:rPr>
          <w:rFonts w:ascii="Arial" w:cs="Arial" w:eastAsia="Arial" w:hAnsi="Arial"/>
          <w:sz w:val="17"/>
          <w:szCs w:val="17"/>
          <w:i w:val="1"/>
          <w:iCs w:val="1"/>
          <w:u w:val="single" w:color="auto"/>
          <w:color w:val="auto"/>
        </w:rPr>
        <w:t>Other Documents</w:t>
      </w:r>
      <w:r>
        <w:rPr>
          <w:rFonts w:ascii="Arial" w:cs="Arial" w:eastAsia="Arial" w:hAnsi="Arial"/>
          <w:sz w:val="17"/>
          <w:szCs w:val="17"/>
          <w:color w:val="auto"/>
        </w:rPr>
        <w:t>. The Company shall have furnished to you, as Representatives of the several Underwriters,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such additional documents, certificates and evidence as you or they may have reasonably requested.</w:t>
      </w:r>
    </w:p>
    <w:p>
      <w:pPr>
        <w:spacing w:after="0" w:line="146" w:lineRule="exact"/>
        <w:rPr>
          <w:rFonts w:ascii="Arial" w:cs="Arial" w:eastAsia="Arial" w:hAnsi="Arial"/>
          <w:sz w:val="17"/>
          <w:szCs w:val="17"/>
          <w:color w:val="010000"/>
        </w:rPr>
      </w:pPr>
    </w:p>
    <w:p>
      <w:pPr>
        <w:ind w:left="4" w:right="820" w:firstLine="645"/>
        <w:spacing w:after="0" w:line="277" w:lineRule="auto"/>
        <w:tabs>
          <w:tab w:leader="none" w:pos="867" w:val="left"/>
        </w:tabs>
        <w:numPr>
          <w:ilvl w:val="0"/>
          <w:numId w:val="42"/>
        </w:numPr>
        <w:rPr>
          <w:rFonts w:ascii="Arial" w:cs="Arial" w:eastAsia="Arial" w:hAnsi="Arial"/>
          <w:sz w:val="18"/>
          <w:szCs w:val="18"/>
          <w:color w:val="010000"/>
        </w:rPr>
      </w:pPr>
      <w:r>
        <w:rPr>
          <w:rFonts w:ascii="Arial" w:cs="Arial" w:eastAsia="Arial" w:hAnsi="Arial"/>
          <w:sz w:val="18"/>
          <w:szCs w:val="18"/>
          <w:i w:val="1"/>
          <w:iCs w:val="1"/>
          <w:u w:val="single" w:color="auto"/>
          <w:color w:val="auto"/>
        </w:rPr>
        <w:t>FINRA No Objections</w:t>
      </w:r>
      <w:r>
        <w:rPr>
          <w:rFonts w:ascii="Arial" w:cs="Arial" w:eastAsia="Arial" w:hAnsi="Arial"/>
          <w:sz w:val="18"/>
          <w:szCs w:val="18"/>
          <w:color w:val="auto"/>
        </w:rPr>
        <w:t>. FINRA shall have raised no objection to the fairness and reasonableness of the underwriting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w:t>
      </w:r>
    </w:p>
    <w:p>
      <w:pPr>
        <w:spacing w:after="0" w:line="170" w:lineRule="exact"/>
        <w:rPr>
          <w:rFonts w:ascii="Arial" w:cs="Arial" w:eastAsia="Arial" w:hAnsi="Arial"/>
          <w:sz w:val="18"/>
          <w:szCs w:val="18"/>
          <w:color w:val="010000"/>
        </w:rPr>
      </w:pPr>
    </w:p>
    <w:p>
      <w:pPr>
        <w:ind w:left="4" w:right="520" w:firstLine="645"/>
        <w:spacing w:after="0" w:line="277" w:lineRule="auto"/>
        <w:tabs>
          <w:tab w:leader="none" w:pos="957" w:val="left"/>
        </w:tabs>
        <w:numPr>
          <w:ilvl w:val="0"/>
          <w:numId w:val="42"/>
        </w:numPr>
        <w:rPr>
          <w:rFonts w:ascii="Arial" w:cs="Arial" w:eastAsia="Arial" w:hAnsi="Arial"/>
          <w:sz w:val="18"/>
          <w:szCs w:val="18"/>
          <w:color w:val="010000"/>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will have been approved for listing on the Nasdaq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to official notice of issuance.</w:t>
      </w:r>
    </w:p>
    <w:p>
      <w:pPr>
        <w:spacing w:after="0" w:line="170" w:lineRule="exact"/>
        <w:rPr>
          <w:rFonts w:ascii="Arial" w:cs="Arial" w:eastAsia="Arial" w:hAnsi="Arial"/>
          <w:sz w:val="18"/>
          <w:szCs w:val="18"/>
          <w:color w:val="010000"/>
        </w:rPr>
      </w:pPr>
    </w:p>
    <w:p>
      <w:pPr>
        <w:ind w:left="4" w:right="80" w:firstLine="645"/>
        <w:spacing w:after="0" w:line="302" w:lineRule="auto"/>
        <w:tabs>
          <w:tab w:leader="none" w:pos="907" w:val="left"/>
        </w:tabs>
        <w:numPr>
          <w:ilvl w:val="0"/>
          <w:numId w:val="42"/>
        </w:numPr>
        <w:rPr>
          <w:rFonts w:ascii="Arial" w:cs="Arial" w:eastAsia="Arial" w:hAnsi="Arial"/>
          <w:sz w:val="16"/>
          <w:szCs w:val="16"/>
          <w:color w:val="010000"/>
        </w:rPr>
      </w:pPr>
      <w:r>
        <w:rPr>
          <w:rFonts w:ascii="Arial" w:cs="Arial" w:eastAsia="Arial" w:hAnsi="Arial"/>
          <w:sz w:val="16"/>
          <w:szCs w:val="16"/>
          <w:i w:val="1"/>
          <w:iCs w:val="1"/>
          <w:u w:val="single" w:color="auto"/>
          <w:color w:val="auto"/>
        </w:rPr>
        <w:t>Chief Financial Officer’s Certificate</w:t>
      </w:r>
      <w:r>
        <w:rPr>
          <w:rFonts w:ascii="Arial" w:cs="Arial" w:eastAsia="Arial" w:hAnsi="Arial"/>
          <w:sz w:val="16"/>
          <w:szCs w:val="16"/>
          <w:color w:val="auto"/>
        </w:rPr>
        <w:t>. On the date of this Agreement and on each Closing Date, the Chief Financial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have furnished to you, as Representatives of the several Underwriters, a certificate, dated the respective dates of delivery thereof and addressed to the Underwriters, in form and substance reasonably satisfactory to the Representatives, with respect to the financial statements and certain financial information contained in the Registration Statement, the Time of Sale Disclosure Package and the Prospectus.</w:t>
      </w:r>
    </w:p>
    <w:p>
      <w:pPr>
        <w:spacing w:after="0" w:line="154" w:lineRule="exact"/>
        <w:rPr>
          <w:sz w:val="20"/>
          <w:szCs w:val="20"/>
          <w:color w:val="auto"/>
        </w:rPr>
      </w:pPr>
    </w:p>
    <w:p>
      <w:pPr>
        <w:ind w:left="4" w:right="120"/>
        <w:spacing w:after="0" w:line="264"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satisfactory in form and substance to you, as Representatives of the several Underwriters, and counsel for the Underwriters. The Company will furnish you with such conformed copies of such opinions, certificates, letters and other documents as you shall reasonably request.</w:t>
      </w:r>
    </w:p>
    <w:p>
      <w:pPr>
        <w:spacing w:after="0" w:line="181" w:lineRule="exact"/>
        <w:rPr>
          <w:sz w:val="20"/>
          <w:szCs w:val="20"/>
          <w:color w:val="auto"/>
        </w:rPr>
      </w:pPr>
    </w:p>
    <w:p>
      <w:pPr>
        <w:ind w:left="184" w:hanging="184"/>
        <w:spacing w:after="0"/>
        <w:tabs>
          <w:tab w:leader="none" w:pos="184" w:val="left"/>
        </w:tabs>
        <w:numPr>
          <w:ilvl w:val="0"/>
          <w:numId w:val="43"/>
        </w:numPr>
        <w:rPr>
          <w:rFonts w:ascii="Arial" w:cs="Arial" w:eastAsia="Arial" w:hAnsi="Arial"/>
          <w:sz w:val="18"/>
          <w:szCs w:val="18"/>
          <w:color w:val="010000"/>
        </w:rPr>
      </w:pPr>
      <w:r>
        <w:rPr>
          <w:rFonts w:ascii="Arial" w:cs="Arial" w:eastAsia="Arial" w:hAnsi="Arial"/>
          <w:sz w:val="18"/>
          <w:szCs w:val="18"/>
          <w:b w:val="1"/>
          <w:bCs w:val="1"/>
          <w:i w:val="1"/>
          <w:iCs w:val="1"/>
          <w:color w:val="auto"/>
        </w:rPr>
        <w:t>Indemnification and Contribution.</w:t>
      </w:r>
    </w:p>
    <w:p>
      <w:pPr>
        <w:spacing w:after="0" w:line="225" w:lineRule="exact"/>
        <w:rPr>
          <w:rFonts w:ascii="Arial" w:cs="Arial" w:eastAsia="Arial" w:hAnsi="Arial"/>
          <w:sz w:val="18"/>
          <w:szCs w:val="18"/>
          <w:color w:val="010000"/>
        </w:rPr>
      </w:pPr>
    </w:p>
    <w:p>
      <w:pPr>
        <w:ind w:left="4" w:firstLine="645"/>
        <w:spacing w:after="0" w:line="285" w:lineRule="auto"/>
        <w:tabs>
          <w:tab w:leader="none" w:pos="897" w:val="left"/>
        </w:tabs>
        <w:numPr>
          <w:ilvl w:val="1"/>
          <w:numId w:val="43"/>
        </w:numPr>
        <w:rPr>
          <w:rFonts w:ascii="Arial" w:cs="Arial" w:eastAsia="Arial" w:hAnsi="Arial"/>
          <w:sz w:val="16"/>
          <w:szCs w:val="16"/>
          <w:color w:val="010000"/>
        </w:rPr>
      </w:pPr>
      <w:r>
        <w:rPr>
          <w:rFonts w:ascii="Arial" w:cs="Arial" w:eastAsia="Arial" w:hAnsi="Arial"/>
          <w:sz w:val="16"/>
          <w:szCs w:val="16"/>
          <w:i w:val="1"/>
          <w:iCs w:val="1"/>
          <w:u w:val="single" w:color="auto"/>
          <w:color w:val="auto"/>
        </w:rPr>
        <w:t>Indemnification by the Company</w:t>
      </w:r>
      <w:r>
        <w:rPr>
          <w:rFonts w:ascii="Arial" w:cs="Arial" w:eastAsia="Arial" w:hAnsi="Arial"/>
          <w:sz w:val="16"/>
          <w:szCs w:val="16"/>
          <w:color w:val="auto"/>
        </w:rPr>
        <w:t>. 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 Company), insofar as such losses, claims, damages or liabilities (or actions in respect thereof) (i) arise out of or are based upon an untrue statement or alleged untrue statement of a material fact contained in the Registration Statement, including the 430B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Underwriters Information.</w:t>
      </w:r>
    </w:p>
    <w:p>
      <w:pPr>
        <w:spacing w:after="0" w:line="387"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3" w:name="page34"/>
    <w:bookmarkEnd w:id="33"/>
    <w:p>
      <w:pPr>
        <w:ind w:left="4" w:firstLine="645"/>
        <w:spacing w:after="0" w:line="283" w:lineRule="auto"/>
        <w:tabs>
          <w:tab w:leader="none" w:pos="907" w:val="left"/>
        </w:tabs>
        <w:numPr>
          <w:ilvl w:val="1"/>
          <w:numId w:val="44"/>
        </w:numPr>
        <w:rPr>
          <w:rFonts w:ascii="Arial" w:cs="Arial" w:eastAsia="Arial" w:hAnsi="Arial"/>
          <w:sz w:val="16"/>
          <w:szCs w:val="16"/>
          <w:color w:val="010000"/>
        </w:rPr>
      </w:pPr>
      <w:r>
        <w:rPr>
          <w:rFonts w:ascii="Arial" w:cs="Arial" w:eastAsia="Arial" w:hAnsi="Arial"/>
          <w:sz w:val="16"/>
          <w:szCs w:val="16"/>
          <w:i w:val="1"/>
          <w:iCs w:val="1"/>
          <w:u w:val="single" w:color="auto"/>
          <w:color w:val="auto"/>
        </w:rPr>
        <w:t>Indemnification by the Selling Shareholder</w:t>
      </w:r>
      <w:r>
        <w:rPr>
          <w:rFonts w:ascii="Arial" w:cs="Arial" w:eastAsia="Arial" w:hAnsi="Arial"/>
          <w:sz w:val="16"/>
          <w:szCs w:val="16"/>
          <w:color w:val="auto"/>
        </w:rPr>
        <w:t>. The Selling Shareholder agrees to indemnify and hold harmless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such Selling Shareholder), insofar as such losses, claims, damages or liabilities (or actions in respect thereof) (i) arising out of or based on any untrue statement or alleged untrue statement of a material fact contained in or incorporated by reference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or based on any untrue statement or alleged untrue statement of a material fact included in or incorporated by reference in any Preliminary Prospectus, any Issuer Free Writing Prospectus, the Time of Sale Disclosure Package or the Prospectus (or any amendment or supplement thereto) or any materials or information provided to investors by, or with the approval of, such Selling Shareholder in connection with the marketing of the offering of the Securities, or the omission or alleged omission therefrom of a material fact necessary in order to make the statements therein, in the light of the circumstances under which they were made, not misleading;</w:t>
      </w:r>
    </w:p>
    <w:p>
      <w:pPr>
        <w:spacing w:after="0" w:line="3" w:lineRule="exact"/>
        <w:rPr>
          <w:rFonts w:ascii="Arial" w:cs="Arial" w:eastAsia="Arial" w:hAnsi="Arial"/>
          <w:sz w:val="16"/>
          <w:szCs w:val="16"/>
          <w:color w:val="010000"/>
        </w:rPr>
      </w:pPr>
    </w:p>
    <w:p>
      <w:pPr>
        <w:ind w:left="4" w:right="80" w:hanging="4"/>
        <w:spacing w:after="0" w:line="281" w:lineRule="auto"/>
        <w:tabs>
          <w:tab w:leader="none" w:pos="2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8(e) below) any such settlement is effected with the written consent of the Selling Shareholder; 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w:t>
      </w:r>
    </w:p>
    <w:p>
      <w:pPr>
        <w:spacing w:after="0" w:line="4" w:lineRule="exact"/>
        <w:rPr>
          <w:rFonts w:ascii="Arial" w:cs="Arial" w:eastAsia="Arial" w:hAnsi="Arial"/>
          <w:sz w:val="16"/>
          <w:szCs w:val="16"/>
          <w:color w:val="auto"/>
        </w:rPr>
      </w:pPr>
    </w:p>
    <w:p>
      <w:pPr>
        <w:ind w:left="4" w:right="40" w:hanging="4"/>
        <w:spacing w:after="0" w:line="253" w:lineRule="auto"/>
        <w:tabs>
          <w:tab w:leader="none" w:pos="2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though (ii)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Selling Shareholder shall be subject to such liability only to the extent that the untrue statement or alleged untrue statement or omission or alleged omission was made in reliance upon and in conformity with the Selling Shareholder Information; further provided, however, that the liability of any Selling Shareholder pursuant to this Section 8(b) shall not exceed the gross proceeds (net of any underwriting discounts and commissions but before deducting other expenses) from the sale of the Securities sold by such Selling Shareholder hereunder.</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4" w:name="page35"/>
    <w:bookmarkEnd w:id="34"/>
    <w:p>
      <w:pPr>
        <w:ind w:left="-540" w:firstLine="645"/>
        <w:spacing w:after="0" w:line="285" w:lineRule="auto"/>
        <w:tabs>
          <w:tab w:leader="none" w:pos="353" w:val="left"/>
        </w:tabs>
        <w:numPr>
          <w:ilvl w:val="0"/>
          <w:numId w:val="47"/>
        </w:numPr>
        <w:rPr>
          <w:rFonts w:ascii="Arial" w:cs="Arial" w:eastAsia="Arial" w:hAnsi="Arial"/>
          <w:sz w:val="16"/>
          <w:szCs w:val="16"/>
          <w:color w:val="010000"/>
        </w:rPr>
      </w:pPr>
      <w:r>
        <w:rPr>
          <w:rFonts w:ascii="Arial" w:cs="Arial" w:eastAsia="Arial" w:hAnsi="Arial"/>
          <w:sz w:val="16"/>
          <w:szCs w:val="16"/>
          <w:i w:val="1"/>
          <w:iCs w:val="1"/>
          <w:u w:val="single" w:color="auto"/>
          <w:color w:val="auto"/>
        </w:rPr>
        <w:t>Indemnification by the Underwriters</w:t>
      </w:r>
      <w:r>
        <w:rPr>
          <w:rFonts w:ascii="Arial" w:cs="Arial" w:eastAsia="Arial" w:hAnsi="Arial"/>
          <w:sz w:val="16"/>
          <w:szCs w:val="16"/>
          <w:color w:val="auto"/>
        </w:rPr>
        <w:t>. Each Underwriter will, severally and not jointly,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the Company within the meaning of Section 15 of the Act and Section 20 of the Exchange Act, and each Selling Shareholder, its affiliates, directors and officers and each person, if any, who controls such Selling Shareholder within the meaning of Section 15 of the Act or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(i) arise out of or are based upon an untrue statement or alleged untrue statement of a material fact contained in the Registration Statement, any Preliminary Prospectus, the Time of Sale Disclosure Package, the Prospectus, or any amendment or supplement thereto, any document incorporated by reference therein,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you, or by such Underwriter through you, specifically for use in the preparation thereof (it being understood and agreed that the only information furnished by an Underwriter consists of the Underwriters Information), and will reimburse the Company and the Selling Shareholder for any legal or other expenses reasonably incurred and documented by the Company and the Selling Shareholder in connection with investigating or defending against any such loss, claim, damage, liability or action as such expenses are incurred.</w:t>
      </w:r>
    </w:p>
    <w:p>
      <w:pPr>
        <w:spacing w:after="0" w:line="177" w:lineRule="exact"/>
        <w:rPr>
          <w:rFonts w:ascii="Arial" w:cs="Arial" w:eastAsia="Arial" w:hAnsi="Arial"/>
          <w:sz w:val="16"/>
          <w:szCs w:val="16"/>
          <w:color w:val="010000"/>
        </w:rPr>
      </w:pPr>
    </w:p>
    <w:p>
      <w:pPr>
        <w:ind w:left="-540" w:firstLine="645"/>
        <w:spacing w:after="0" w:line="284" w:lineRule="auto"/>
        <w:tabs>
          <w:tab w:leader="none" w:pos="363" w:val="left"/>
        </w:tabs>
        <w:numPr>
          <w:ilvl w:val="0"/>
          <w:numId w:val="47"/>
        </w:numPr>
        <w:rPr>
          <w:rFonts w:ascii="Arial" w:cs="Arial" w:eastAsia="Arial" w:hAnsi="Arial"/>
          <w:sz w:val="16"/>
          <w:szCs w:val="16"/>
          <w:color w:val="010000"/>
        </w:rPr>
      </w:pPr>
      <w:r>
        <w:rPr>
          <w:rFonts w:ascii="Arial" w:cs="Arial" w:eastAsia="Arial" w:hAnsi="Arial"/>
          <w:sz w:val="16"/>
          <w:szCs w:val="16"/>
          <w:i w:val="1"/>
          <w:iCs w:val="1"/>
          <w:u w:val="single" w:color="auto"/>
          <w:color w:val="auto"/>
        </w:rPr>
        <w:t>Notice and Procedures</w:t>
      </w:r>
      <w:r>
        <w:rPr>
          <w:rFonts w:ascii="Arial" w:cs="Arial" w:eastAsia="Arial" w:hAnsi="Arial"/>
          <w:sz w:val="16"/>
          <w:szCs w:val="16"/>
          <w:color w:val="auto"/>
        </w:rPr>
        <w:t>. Promptly after receipt by an indemnified party under subsection (a), (b) or (c) above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(i) the indemnified party has reasonably concluded (based on advice of counsel) that there may be legal defenses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to it or other indemnified parties that are different from or in addition to those available to the indemnifying party or (ii) a conflict or potential conflict exists (based on advice of counsel to the indemnified party) between the indemnified party and the indemnifying party, the indemnified party shall have the right to employ a single counsel (in addition to local counsel) to represent all Underwriters who may be subject to liability arising from any claim in respect of which indemnity may be sought by the Underwriters under subsection (a) or (b) above, in which event the reasonable fees and expenses of such separate counsel shall be borne by the indemnifying party or parties and reimbursed to the Underwriters as incurred and the indemnifying party shall not have the right to direct the defense of such action on behalf of the indemnified party. An indemnifying party shall not be obligated under any settlement agreement relating to any action under this Section 8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5" w:name="page36"/>
    <w:bookmarkEnd w:id="35"/>
    <w:p>
      <w:pPr>
        <w:ind w:left="-540" w:firstLine="645"/>
        <w:spacing w:after="0" w:line="283" w:lineRule="auto"/>
        <w:tabs>
          <w:tab w:leader="none" w:pos="353" w:val="left"/>
        </w:tabs>
        <w:numPr>
          <w:ilvl w:val="0"/>
          <w:numId w:val="48"/>
        </w:numPr>
        <w:rPr>
          <w:rFonts w:ascii="Arial" w:cs="Arial" w:eastAsia="Arial" w:hAnsi="Arial"/>
          <w:sz w:val="16"/>
          <w:szCs w:val="16"/>
          <w:color w:val="010000"/>
        </w:rPr>
      </w:pPr>
      <w:r>
        <w:rPr>
          <w:rFonts w:ascii="Arial" w:cs="Arial" w:eastAsia="Arial" w:hAnsi="Arial"/>
          <w:sz w:val="16"/>
          <w:szCs w:val="16"/>
          <w:i w:val="1"/>
          <w:iCs w:val="1"/>
          <w:u w:val="single" w:color="auto"/>
          <w:color w:val="auto"/>
        </w:rPr>
        <w:t>Contribution; Limitations on Liability; Non-Exclusive Remedy</w:t>
      </w:r>
      <w:r>
        <w:rPr>
          <w:rFonts w:ascii="Arial" w:cs="Arial" w:eastAsia="Arial" w:hAnsi="Arial"/>
          <w:sz w:val="16"/>
          <w:szCs w:val="16"/>
          <w:color w:val="auto"/>
        </w:rPr>
        <w:t>. If the indemnification provided for in this Section 8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Shareholder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that resulted in such losses, claims, damages or liabilities, as well as any other relevant equitable considerations. The relative benefits received by the Company and the Selling Shareholder on the one hand and the Underwriters on the other shall be deemed to be in the same proportion as the total net proceeds from the offering (before deducting expenses) received by the Company and the Selling Shareholder, as applicable,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the Selling Shareholder or the Underwriters and the parties’ relevant intent, knowledge, access to information and opportunity to correct or prevent such untrue statement or omission. The Company, the Selling Shareholder (in such capacity) and the Underwriters agree that it would not be just and equitable if contributions pursuant to this subsection (e) were to be determined by pro rata allocation (even if the Underwriters were treated as one entity for such purpose) or by any other method of allocation which does not take account of the equitable considerations referred to in the first sentence of this subsection (e).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which is the subject of this subsection (e). Notwithstanding the provisions of this subsection (e), no Underwriter shall be required to contribute any amount in excess of the amount by which the total underwriting discounts and commissions received by such Underwriter with respect to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Notwithstanding anything to the contrary in this Agreement, the aggregate liability of the Selling Shareholder under the Selling Shareholder’s representations and warranties contained in Section 3 hereof, under any certificate delivered pursuant to this Agreement, under the indemnity and contribution agreements contained in this Section 8, or otherwise pursuant to this Agreement shall not exceed the an amount equal to the aggregate gross proceeds received by the Selling Shareholder after underwriting discounts and commissions, but before expenses, to the Selling Shareholder from the sale of Securities sold by the Selling Shareholder hereunder. The Underwriters’ obligations in this subsection (e) to contribute are several in proportion to their respective underwriting obligations and not joint. The remedies provided for in this Section 8 are not exclusive and shall not limit any rights or remedies that might otherwise be available to any indemnified party at law or in equity.</w:t>
      </w:r>
    </w:p>
    <w:p>
      <w:pPr>
        <w:spacing w:after="0" w:line="39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908" w:right="279" w:bottom="1440" w:gutter="0" w:footer="0" w:header="0"/>
        </w:sectPr>
      </w:pPr>
    </w:p>
    <w:bookmarkStart w:id="36" w:name="page37"/>
    <w:bookmarkEnd w:id="36"/>
    <w:p>
      <w:pPr>
        <w:ind w:left="4" w:firstLine="645"/>
        <w:spacing w:after="0" w:line="255" w:lineRule="auto"/>
        <w:tabs>
          <w:tab w:leader="none" w:pos="877" w:val="left"/>
        </w:tabs>
        <w:numPr>
          <w:ilvl w:val="1"/>
          <w:numId w:val="49"/>
        </w:numPr>
        <w:rPr>
          <w:rFonts w:ascii="Arial" w:cs="Arial" w:eastAsia="Arial" w:hAnsi="Arial"/>
          <w:sz w:val="18"/>
          <w:szCs w:val="18"/>
          <w:color w:val="010000"/>
        </w:rPr>
      </w:pPr>
      <w:r>
        <w:rPr>
          <w:rFonts w:ascii="Arial" w:cs="Arial" w:eastAsia="Arial" w:hAnsi="Arial"/>
          <w:sz w:val="18"/>
          <w:szCs w:val="18"/>
          <w:i w:val="1"/>
          <w:iCs w:val="1"/>
          <w:u w:val="single" w:color="auto"/>
          <w:color w:val="auto"/>
        </w:rPr>
        <w:t>Information Provided by the Underwriters</w:t>
      </w:r>
      <w:r>
        <w:rPr>
          <w:rFonts w:ascii="Arial" w:cs="Arial" w:eastAsia="Arial" w:hAnsi="Arial"/>
          <w:sz w:val="18"/>
          <w:szCs w:val="18"/>
          <w:color w:val="auto"/>
        </w:rPr>
        <w:t>. The Underwriters severally confirm and the Company and each Selling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acknowledge that the statements with respect to the public offering of the Securities by the Underwriters set forth in the first and third paragraphs under the caption “Underwriting-Discounts and Commissions” and the estimate of the Underwriters’ reasonable out-of-pocket accountable fees and disbursements in connection with the offering of the Securities in the Time of Sale Disclosure Package and in the Prospectus are correct and constitute the only information concerning the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89" w:lineRule="exact"/>
        <w:rPr>
          <w:rFonts w:ascii="Arial" w:cs="Arial" w:eastAsia="Arial" w:hAnsi="Arial"/>
          <w:sz w:val="18"/>
          <w:szCs w:val="18"/>
          <w:color w:val="010000"/>
        </w:rPr>
      </w:pPr>
    </w:p>
    <w:p>
      <w:pPr>
        <w:ind w:left="4" w:hanging="4"/>
        <w:spacing w:after="0" w:line="255" w:lineRule="auto"/>
        <w:tabs>
          <w:tab w:leader="none" w:pos="184" w:val="left"/>
        </w:tabs>
        <w:numPr>
          <w:ilvl w:val="0"/>
          <w:numId w:val="50"/>
        </w:numPr>
        <w:rPr>
          <w:rFonts w:ascii="Arial" w:cs="Arial" w:eastAsia="Arial" w:hAnsi="Arial"/>
          <w:sz w:val="18"/>
          <w:szCs w:val="18"/>
          <w:color w:val="010000"/>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and the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herein or in certificates delivered pursuant hereto, and the agreements of the several Underwriters and the Company and the Selling Shareholder contained in Section 8 hereof, shall remain operative and in full force and effect regardless of any investigation made by or on behalf of any Underwriter or any controlling person thereof, or the Company or any of its officers, directors, or controlling persons, or the Selling Shareholder or any controlling person thereof, and shall survive delivery of, and payment for, the Securities to and by the Underwriters hereunder and any termination of this Agreement.</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37" w:name="page38"/>
    <w:bookmarkEnd w:id="37"/>
    <w:p>
      <w:pPr>
        <w:ind w:left="264" w:hanging="264"/>
        <w:spacing w:after="0"/>
        <w:tabs>
          <w:tab w:leader="none" w:pos="264" w:val="left"/>
        </w:tabs>
        <w:numPr>
          <w:ilvl w:val="0"/>
          <w:numId w:val="51"/>
        </w:numPr>
        <w:rPr>
          <w:rFonts w:ascii="Arial" w:cs="Arial" w:eastAsia="Arial" w:hAnsi="Arial"/>
          <w:sz w:val="18"/>
          <w:szCs w:val="18"/>
          <w:color w:val="010000"/>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4" w:right="120" w:firstLine="645"/>
        <w:spacing w:after="0" w:line="269" w:lineRule="auto"/>
        <w:tabs>
          <w:tab w:leader="none" w:pos="897" w:val="left"/>
        </w:tabs>
        <w:numPr>
          <w:ilvl w:val="1"/>
          <w:numId w:val="51"/>
        </w:numPr>
        <w:rPr>
          <w:rFonts w:ascii="Arial" w:cs="Arial" w:eastAsia="Arial" w:hAnsi="Arial"/>
          <w:sz w:val="17"/>
          <w:szCs w:val="17"/>
          <w:color w:val="010000"/>
        </w:rPr>
      </w:pPr>
      <w:r>
        <w:rPr>
          <w:rFonts w:ascii="Arial" w:cs="Arial" w:eastAsia="Arial" w:hAnsi="Arial"/>
          <w:sz w:val="17"/>
          <w:szCs w:val="17"/>
          <w:i w:val="1"/>
          <w:iCs w:val="1"/>
          <w:u w:val="single" w:color="auto"/>
          <w:color w:val="auto"/>
        </w:rPr>
        <w:t>Right to Terminate</w:t>
      </w:r>
      <w:r>
        <w:rPr>
          <w:rFonts w:ascii="Arial" w:cs="Arial" w:eastAsia="Arial" w:hAnsi="Arial"/>
          <w:sz w:val="17"/>
          <w:szCs w:val="17"/>
          <w:color w:val="auto"/>
        </w:rPr>
        <w:t>. You, as Representatives of the several Underwriters, shall have the right to terminate this Agreement by giving</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as hereinafter specified at any time at or prior to the First Closing Date, and the option referred to in Section 4(b), if exercised, may be cancelled at any time prior to the Second Closing Date, if (i) there has been, since the time of execution of this Agreement or since the respective dates as of which information is given in the Registration Statement, the Time of Sale Disclosure Package or the Prospectus, any Material Adverse Change, (ii) any other condition of the Underwriters’ obligations hereunder is not fulfilled, (iii) trading on The Nasdaq Stock Market or New York Stock Exchange shall have been wholly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(v) a banking moratorium shall have been declared by federal or state authorities, or (vi) there shall have occurred any outbreak or escalation of hostilities or any change in financial markets or any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5(g) and Section 8 hereof shall at all times be effective.</w:t>
      </w:r>
    </w:p>
    <w:p>
      <w:pPr>
        <w:spacing w:after="0" w:line="179" w:lineRule="exact"/>
        <w:rPr>
          <w:rFonts w:ascii="Arial" w:cs="Arial" w:eastAsia="Arial" w:hAnsi="Arial"/>
          <w:sz w:val="17"/>
          <w:szCs w:val="17"/>
          <w:color w:val="010000"/>
        </w:rPr>
      </w:pPr>
    </w:p>
    <w:p>
      <w:pPr>
        <w:ind w:left="4" w:right="260" w:firstLine="645"/>
        <w:spacing w:after="0" w:line="277" w:lineRule="auto"/>
        <w:tabs>
          <w:tab w:leader="none" w:pos="907" w:val="left"/>
        </w:tabs>
        <w:numPr>
          <w:ilvl w:val="1"/>
          <w:numId w:val="51"/>
        </w:numPr>
        <w:rPr>
          <w:rFonts w:ascii="Arial" w:cs="Arial" w:eastAsia="Arial" w:hAnsi="Arial"/>
          <w:sz w:val="18"/>
          <w:szCs w:val="18"/>
          <w:color w:val="010000"/>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and the Selling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notified promptly by you by telephone, confirmed by letter.</w:t>
      </w:r>
    </w:p>
    <w:p>
      <w:pPr>
        <w:spacing w:after="0" w:line="170" w:lineRule="exact"/>
        <w:rPr>
          <w:rFonts w:ascii="Arial" w:cs="Arial" w:eastAsia="Arial" w:hAnsi="Arial"/>
          <w:sz w:val="18"/>
          <w:szCs w:val="18"/>
          <w:color w:val="010000"/>
        </w:rPr>
      </w:pPr>
    </w:p>
    <w:p>
      <w:pPr>
        <w:ind w:left="264" w:hanging="264"/>
        <w:spacing w:after="0"/>
        <w:tabs>
          <w:tab w:leader="none" w:pos="264" w:val="left"/>
        </w:tabs>
        <w:numPr>
          <w:ilvl w:val="0"/>
          <w:numId w:val="51"/>
        </w:numPr>
        <w:rPr>
          <w:rFonts w:ascii="Arial" w:cs="Arial" w:eastAsia="Arial" w:hAnsi="Arial"/>
          <w:sz w:val="18"/>
          <w:szCs w:val="18"/>
          <w:color w:val="010000"/>
        </w:rPr>
      </w:pPr>
      <w:r>
        <w:rPr>
          <w:rFonts w:ascii="Arial" w:cs="Arial" w:eastAsia="Arial" w:hAnsi="Arial"/>
          <w:sz w:val="18"/>
          <w:szCs w:val="18"/>
          <w:b w:val="1"/>
          <w:bCs w:val="1"/>
          <w:i w:val="1"/>
          <w:iCs w:val="1"/>
          <w:color w:val="auto"/>
        </w:rPr>
        <w:t>Default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4" w:right="100" w:firstLine="645"/>
        <w:spacing w:after="0" w:line="259" w:lineRule="auto"/>
        <w:tabs>
          <w:tab w:leader="none" w:pos="897" w:val="left"/>
        </w:tabs>
        <w:numPr>
          <w:ilvl w:val="1"/>
          <w:numId w:val="51"/>
        </w:numPr>
        <w:rPr>
          <w:rFonts w:ascii="Arial" w:cs="Arial" w:eastAsia="Arial" w:hAnsi="Arial"/>
          <w:sz w:val="18"/>
          <w:szCs w:val="18"/>
          <w:color w:val="010000"/>
        </w:rPr>
      </w:pPr>
      <w:r>
        <w:rPr>
          <w:rFonts w:ascii="Arial" w:cs="Arial" w:eastAsia="Arial" w:hAnsi="Arial"/>
          <w:sz w:val="18"/>
          <w:szCs w:val="18"/>
          <w:i w:val="1"/>
          <w:iCs w:val="1"/>
          <w:u w:val="single" w:color="auto"/>
          <w:color w:val="auto"/>
        </w:rPr>
        <w:t>Default by the Company or the Selling Shareholder</w:t>
      </w:r>
      <w:r>
        <w:rPr>
          <w:rFonts w:ascii="Arial" w:cs="Arial" w:eastAsia="Arial" w:hAnsi="Arial"/>
          <w:sz w:val="18"/>
          <w:szCs w:val="18"/>
          <w:color w:val="auto"/>
        </w:rPr>
        <w:t>. If the Selling Shareholder shall fail at the First Closing Date to sell and deliver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which it is obligated to sell hereunder or the Company shall fail at the Second Closing Date to sell and deliver the Securities which it is obligated to sell hereunder then this Agreement shall terminate without any liability on the part of any Underwriter or, except as provided in Section 5(g) and Section 8 hereof, any non-defaulting party.</w:t>
      </w:r>
    </w:p>
    <w:p>
      <w:pPr>
        <w:spacing w:after="0" w:line="186" w:lineRule="exact"/>
        <w:rPr>
          <w:rFonts w:ascii="Arial" w:cs="Arial" w:eastAsia="Arial" w:hAnsi="Arial"/>
          <w:sz w:val="18"/>
          <w:szCs w:val="18"/>
          <w:color w:val="010000"/>
        </w:rPr>
      </w:pPr>
    </w:p>
    <w:p>
      <w:pPr>
        <w:ind w:left="4" w:right="300" w:firstLine="645"/>
        <w:spacing w:after="0" w:line="277" w:lineRule="auto"/>
        <w:tabs>
          <w:tab w:leader="none" w:pos="907" w:val="left"/>
        </w:tabs>
        <w:numPr>
          <w:ilvl w:val="1"/>
          <w:numId w:val="51"/>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Relief from Liability</w:t>
      </w:r>
      <w:r>
        <w:rPr>
          <w:rFonts w:ascii="Arial" w:cs="Arial" w:eastAsia="Arial" w:hAnsi="Arial"/>
          <w:sz w:val="18"/>
          <w:szCs w:val="18"/>
          <w:color w:val="auto"/>
        </w:rPr>
        <w:t>. No action taken pursuant to this Section shall relieve the Company and Selling Shareholder from liability, if</w:t>
      </w:r>
      <w:r>
        <w:rPr>
          <w:rFonts w:ascii="Arial" w:cs="Arial" w:eastAsia="Arial" w:hAnsi="Arial"/>
          <w:sz w:val="18"/>
          <w:szCs w:val="18"/>
          <w:i w:val="1"/>
          <w:iCs w:val="1"/>
          <w:color w:val="auto"/>
        </w:rPr>
        <w:t xml:space="preserve"> </w:t>
      </w:r>
      <w:r>
        <w:rPr>
          <w:rFonts w:ascii="Arial" w:cs="Arial" w:eastAsia="Arial" w:hAnsi="Arial"/>
          <w:sz w:val="18"/>
          <w:szCs w:val="18"/>
          <w:color w:val="auto"/>
        </w:rPr>
        <w:t>any, in respect of any default hereunder.</w:t>
      </w:r>
    </w:p>
    <w:p>
      <w:pPr>
        <w:spacing w:after="0" w:line="170" w:lineRule="exact"/>
        <w:rPr>
          <w:rFonts w:ascii="Arial" w:cs="Arial" w:eastAsia="Arial" w:hAnsi="Arial"/>
          <w:sz w:val="18"/>
          <w:szCs w:val="18"/>
          <w:color w:val="010000"/>
        </w:rPr>
      </w:pPr>
    </w:p>
    <w:p>
      <w:pPr>
        <w:ind w:left="4" w:hanging="4"/>
        <w:spacing w:after="0" w:line="253" w:lineRule="auto"/>
        <w:tabs>
          <w:tab w:leader="none" w:pos="274" w:val="left"/>
        </w:tabs>
        <w:numPr>
          <w:ilvl w:val="0"/>
          <w:numId w:val="51"/>
        </w:numPr>
        <w:rPr>
          <w:rFonts w:ascii="Arial" w:cs="Arial" w:eastAsia="Arial" w:hAnsi="Arial"/>
          <w:sz w:val="18"/>
          <w:szCs w:val="18"/>
          <w:color w:val="010000"/>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Except as otherwise provided herein, all communications hereunder shall be in writing and, (i) if to the Underwriters, shall be mailed 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overnight delivery service or hand delivered via courier, to the Representatives c/o William Blair &amp; Company, L.L.C., 150 North Riverside Plaza, Chicago, Illinois 60606, to the attention of Equity Capital Markets (with a copy, which shall not constitute notice, to Goodwin Procter LLP, 620 Eighth Avenue, New York, NY 10018, Attention: Michael Maline); (ii) if to the Company, shall be mailed or delivered to it at 400 Water Street, Suite 200, Rochester, MI 48307, Attention: Chief Executive Officer (with a copy, which shall not constitute notice, to Morgan, Lewis &amp; Bockius LLP, One Federal Street, Boston, MA 02110, Attention: Mark Stein); (iii) if to the Selling Shareholder, at c/o WPP Group USA, Inc. 100 Park Avenue, New York, NY 10017, Attention: Lance Maerov (with a copy, which shall not constitute notice, to Davis &amp; Gilbert LLP, 1740 Broadway, New York, NY 10019, Attention: Curt C. Myers, Esq.);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8" w:name="page39"/>
    <w:bookmarkEnd w:id="38"/>
    <w:p>
      <w:pPr>
        <w:ind w:left="4" w:hanging="4"/>
        <w:spacing w:after="0" w:line="257" w:lineRule="auto"/>
        <w:tabs>
          <w:tab w:leader="none" w:pos="274" w:val="left"/>
        </w:tabs>
        <w:numPr>
          <w:ilvl w:val="0"/>
          <w:numId w:val="52"/>
        </w:numPr>
        <w:rPr>
          <w:rFonts w:ascii="Arial" w:cs="Arial" w:eastAsia="Arial" w:hAnsi="Arial"/>
          <w:sz w:val="18"/>
          <w:szCs w:val="18"/>
          <w:color w:val="010000"/>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8.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88" w:lineRule="exact"/>
        <w:rPr>
          <w:rFonts w:ascii="Arial" w:cs="Arial" w:eastAsia="Arial" w:hAnsi="Arial"/>
          <w:sz w:val="18"/>
          <w:szCs w:val="18"/>
          <w:color w:val="010000"/>
        </w:rPr>
      </w:pPr>
    </w:p>
    <w:p>
      <w:pPr>
        <w:ind w:left="4" w:right="60" w:hanging="4"/>
        <w:spacing w:after="0" w:line="286" w:lineRule="auto"/>
        <w:tabs>
          <w:tab w:leader="none" w:pos="274" w:val="left"/>
        </w:tabs>
        <w:numPr>
          <w:ilvl w:val="0"/>
          <w:numId w:val="52"/>
        </w:numPr>
        <w:rPr>
          <w:rFonts w:ascii="Arial" w:cs="Arial" w:eastAsia="Arial" w:hAnsi="Arial"/>
          <w:sz w:val="16"/>
          <w:szCs w:val="16"/>
          <w:color w:val="010000"/>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and the Selling Shareholder acknowledge and agree that: (a) the Representatives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solely to act as underwriter in connection with the sale of the Securities and that no fiduciary, advisory or agency relationship between the Company or any Selling Shareholder and the Representatives has been created in respect of any of the transactions contemplated by this Agreement, irrespective of whether the Representatives have advised or are advising the Company or any Selling Shareholder on other matters; (b) the price and other terms of the Securities set forth in this Agreement were established by the Company and the Selling Shareholder following discussions and arms-length negotiations with the Representatives and the Company and the Selling Shareholder is capable of evaluating and understanding and understands and accepts the terms, risks and conditions of the transactions contemplated by this Agreement; (c) it has been advised that the Representatives and its affiliates are engaged in a broad range of transactions which may involve interests that differ from those of the Company and the Selling Shareholder and that the Representatives have no obligation to disclose such interest and transactions to the Company or any Selling Shareholder by virtue of any fiduciary, advisory or agency relationship; (d) it has been advised that the Representatives are acting, in respect of the transactions contemplated by this Agreement, solely for the benefit of the Underwriters, and not on behalf of the Company or any Selling Shareholder; (e) it waives to the fullest extent permitted by law, any claims it may have against the Underwriters for breach of fiduciary duty or alleged breach of fiduciary duty in respect of any of the transactions contemplated by this Agreement and agrees that the Underwriters shall have no liability (whether direct or indirect) to the Company or any Selling Shareholder in respect of such a fiduciary duty claim on behalf of or in right of any Selling Shareholder or the Company, including stockholders, employees or creditors of the Company.</w:t>
      </w:r>
    </w:p>
    <w:p>
      <w:pPr>
        <w:spacing w:after="0" w:line="37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 w:name="page40"/>
    <w:bookmarkEnd w:id="39"/>
    <w:p>
      <w:pPr>
        <w:ind w:left="4" w:hanging="4"/>
        <w:spacing w:after="0" w:line="279" w:lineRule="auto"/>
        <w:tabs>
          <w:tab w:leader="none" w:pos="274" w:val="left"/>
        </w:tabs>
        <w:numPr>
          <w:ilvl w:val="0"/>
          <w:numId w:val="53"/>
        </w:numPr>
        <w:rPr>
          <w:rFonts w:ascii="Arial" w:cs="Arial" w:eastAsia="Arial" w:hAnsi="Arial"/>
          <w:sz w:val="17"/>
          <w:szCs w:val="17"/>
          <w:color w:val="010000"/>
        </w:rPr>
      </w:pPr>
      <w:r>
        <w:rPr>
          <w:rFonts w:ascii="Arial" w:cs="Arial" w:eastAsia="Arial" w:hAnsi="Arial"/>
          <w:sz w:val="17"/>
          <w:szCs w:val="17"/>
          <w:b w:val="1"/>
          <w:bCs w:val="1"/>
          <w:i w:val="1"/>
          <w:iCs w:val="1"/>
          <w:color w:val="auto"/>
        </w:rPr>
        <w:t>Governing Law; Waiver of Jury Trial</w:t>
      </w:r>
      <w:r>
        <w:rPr>
          <w:rFonts w:ascii="Arial" w:cs="Arial" w:eastAsia="Arial" w:hAnsi="Arial"/>
          <w:sz w:val="17"/>
          <w:szCs w:val="17"/>
          <w:color w:val="auto"/>
        </w:rPr>
        <w:t>. This Agreement shall be governed by and construed in accordance with the laws of the State of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York. The Company (on its behalf and, to the extent permitted by applicable law, on behalf of its stockholders and affiliates), the Selling Shareholder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1" w:lineRule="exact"/>
        <w:rPr>
          <w:rFonts w:ascii="Arial" w:cs="Arial" w:eastAsia="Arial" w:hAnsi="Arial"/>
          <w:sz w:val="17"/>
          <w:szCs w:val="17"/>
          <w:color w:val="010000"/>
        </w:rPr>
      </w:pPr>
    </w:p>
    <w:p>
      <w:pPr>
        <w:ind w:left="4" w:right="620" w:hanging="4"/>
        <w:spacing w:after="0" w:line="342" w:lineRule="auto"/>
        <w:tabs>
          <w:tab w:leader="none" w:pos="274" w:val="left"/>
        </w:tabs>
        <w:numPr>
          <w:ilvl w:val="0"/>
          <w:numId w:val="53"/>
        </w:numPr>
        <w:rPr>
          <w:rFonts w:ascii="Arial" w:cs="Arial" w:eastAsia="Arial" w:hAnsi="Arial"/>
          <w:sz w:val="16"/>
          <w:szCs w:val="16"/>
          <w:color w:val="010000"/>
        </w:rPr>
      </w:pPr>
      <w:r>
        <w:rPr>
          <w:rFonts w:ascii="Arial" w:cs="Arial" w:eastAsia="Arial" w:hAnsi="Arial"/>
          <w:sz w:val="16"/>
          <w:szCs w:val="16"/>
          <w:b w:val="1"/>
          <w:bCs w:val="1"/>
          <w:i w:val="1"/>
          <w:iCs w:val="1"/>
          <w:color w:val="auto"/>
        </w:rPr>
        <w:t>Counterparts</w:t>
      </w:r>
      <w:r>
        <w:rPr>
          <w:rFonts w:ascii="Arial" w:cs="Arial" w:eastAsia="Arial" w:hAnsi="Arial"/>
          <w:sz w:val="16"/>
          <w:szCs w:val="16"/>
          <w:color w:val="auto"/>
        </w:rPr>
        <w:t>. This Agreement may be executed in one or more counterparts and, if executed in more than one counterpart, the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counterparts shall each be deemed to be an original and all such counterparts shall together constitute one and the same instrument.</w:t>
      </w:r>
    </w:p>
    <w:p>
      <w:pPr>
        <w:spacing w:after="0" w:line="123" w:lineRule="exact"/>
        <w:rPr>
          <w:rFonts w:ascii="Arial" w:cs="Arial" w:eastAsia="Arial" w:hAnsi="Arial"/>
          <w:sz w:val="16"/>
          <w:szCs w:val="16"/>
          <w:color w:val="010000"/>
        </w:rPr>
      </w:pPr>
    </w:p>
    <w:p>
      <w:pPr>
        <w:ind w:left="4" w:hanging="4"/>
        <w:spacing w:after="0" w:line="271" w:lineRule="auto"/>
        <w:tabs>
          <w:tab w:leader="none" w:pos="274" w:val="left"/>
        </w:tabs>
        <w:numPr>
          <w:ilvl w:val="0"/>
          <w:numId w:val="53"/>
        </w:numPr>
        <w:rPr>
          <w:rFonts w:ascii="Arial" w:cs="Arial" w:eastAsia="Arial" w:hAnsi="Arial"/>
          <w:sz w:val="17"/>
          <w:szCs w:val="17"/>
          <w:color w:val="010000"/>
        </w:rPr>
      </w:pPr>
      <w:r>
        <w:rPr>
          <w:rFonts w:ascii="Arial" w:cs="Arial" w:eastAsia="Arial" w:hAnsi="Arial"/>
          <w:sz w:val="17"/>
          <w:szCs w:val="17"/>
          <w:b w:val="1"/>
          <w:bCs w:val="1"/>
          <w:i w:val="1"/>
          <w:iCs w:val="1"/>
          <w:color w:val="auto"/>
        </w:rPr>
        <w:t xml:space="preserve">General Provisions. </w:t>
      </w:r>
      <w:r>
        <w:rPr>
          <w:rFonts w:ascii="Arial" w:cs="Arial" w:eastAsia="Arial" w:hAnsi="Arial"/>
          <w:sz w:val="17"/>
          <w:szCs w:val="17"/>
          <w:color w:val="auto"/>
        </w:rPr>
        <w:t>This Agreement constitutes the entire agreement of the parties to this Agreement and supersedes all prior written or oral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5" w:lineRule="exact"/>
        <w:rPr>
          <w:sz w:val="20"/>
          <w:szCs w:val="20"/>
          <w:color w:val="auto"/>
        </w:rPr>
      </w:pPr>
    </w:p>
    <w:p>
      <w:pPr>
        <w:ind w:left="4104"/>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40" w:name="page41"/>
    <w:bookmarkEnd w:id="40"/>
    <w:p>
      <w:pPr>
        <w:ind w:firstLine="648"/>
        <w:spacing w:after="0" w:line="342" w:lineRule="auto"/>
        <w:rPr>
          <w:sz w:val="20"/>
          <w:szCs w:val="20"/>
          <w:color w:val="auto"/>
        </w:rPr>
      </w:pPr>
      <w:r>
        <w:rPr>
          <w:rFonts w:ascii="Arial" w:cs="Arial" w:eastAsia="Arial" w:hAnsi="Arial"/>
          <w:sz w:val="16"/>
          <w:szCs w:val="16"/>
          <w:color w:val="auto"/>
        </w:rPr>
        <w:t>Please sign and return to the Company the enclosed duplicates of this Underwriting Agreement whereupon this Underwriting Agreement will become a binding agreement between the Company, the Selling Shareholder and the several Underwriters in accordance with its terms.</w:t>
      </w:r>
    </w:p>
    <w:p>
      <w:pPr>
        <w:spacing w:after="0" w:line="12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6800"/>
        <w:spacing w:after="0"/>
        <w:tabs>
          <w:tab w:leader="none" w:pos="7300" w:val="left"/>
        </w:tabs>
        <w:rPr>
          <w:sz w:val="20"/>
          <w:szCs w:val="20"/>
          <w:color w:val="auto"/>
        </w:rPr>
      </w:pPr>
      <w:r>
        <w:rPr>
          <w:rFonts w:ascii="Arial" w:cs="Arial" w:eastAsia="Arial" w:hAnsi="Arial"/>
          <w:sz w:val="18"/>
          <w:szCs w:val="18"/>
          <w:color w:val="auto"/>
        </w:rPr>
        <w:t>By:</w:t>
        <w:tab/>
        <w:t>/s/ William Febbo</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680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909" w:right="819" w:bottom="1440" w:gutter="0" w:footer="0" w:header="0"/>
        </w:sectPr>
      </w:pPr>
    </w:p>
    <w:bookmarkStart w:id="41" w:name="page42"/>
    <w:bookmarkEnd w:id="41"/>
    <w:p>
      <w:pPr>
        <w:ind w:left="50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ELLING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HAREHOLDER</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AMED IN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HERETO</w:t>
      </w:r>
    </w:p>
    <w:p>
      <w:pPr>
        <w:spacing w:after="0" w:line="229" w:lineRule="exact"/>
        <w:rPr>
          <w:sz w:val="20"/>
          <w:szCs w:val="20"/>
          <w:color w:val="auto"/>
        </w:rPr>
      </w:pPr>
    </w:p>
    <w:p>
      <w:pPr>
        <w:ind w:left="5080"/>
        <w:spacing w:after="0"/>
        <w:tabs>
          <w:tab w:leader="none" w:pos="5640" w:val="left"/>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Ehrismann</w:t>
      </w:r>
      <w:r>
        <w:rPr>
          <w:sz w:val="20"/>
          <w:szCs w:val="20"/>
          <w:color w:val="auto"/>
        </w:rPr>
        <w:tab/>
      </w:r>
      <w:r>
        <w:rPr>
          <w:rFonts w:ascii="Arial" w:cs="Arial" w:eastAsia="Arial" w:hAnsi="Arial"/>
          <w:sz w:val="16"/>
          <w:szCs w:val="16"/>
          <w:color w:val="auto"/>
        </w:rPr>
        <w:t>/s/ Thierry Lenders</w:t>
      </w:r>
    </w:p>
    <w:p>
      <w:pPr>
        <w:spacing w:after="0" w:line="36" w:lineRule="exact"/>
        <w:rPr>
          <w:sz w:val="20"/>
          <w:szCs w:val="20"/>
          <w:color w:val="auto"/>
        </w:rPr>
      </w:pPr>
    </w:p>
    <w:p>
      <w:pPr>
        <w:jc w:val="right"/>
        <w:spacing w:after="0"/>
        <w:tabs>
          <w:tab w:leader="none" w:pos="1880" w:val="left"/>
        </w:tabs>
        <w:rPr>
          <w:sz w:val="20"/>
          <w:szCs w:val="20"/>
          <w:color w:val="auto"/>
        </w:rPr>
      </w:pPr>
      <w:r>
        <w:rPr>
          <w:rFonts w:ascii="Arial" w:cs="Arial" w:eastAsia="Arial" w:hAnsi="Arial"/>
          <w:sz w:val="18"/>
          <w:szCs w:val="18"/>
          <w:color w:val="auto"/>
        </w:rPr>
        <w:t>Name: Anne Ehrismann, Manager</w:t>
      </w:r>
      <w:r>
        <w:rPr>
          <w:sz w:val="20"/>
          <w:szCs w:val="20"/>
          <w:color w:val="auto"/>
        </w:rPr>
        <w:tab/>
      </w:r>
      <w:r>
        <w:rPr>
          <w:rFonts w:ascii="Arial" w:cs="Arial" w:eastAsia="Arial" w:hAnsi="Arial"/>
          <w:sz w:val="16"/>
          <w:szCs w:val="16"/>
          <w:color w:val="auto"/>
        </w:rPr>
        <w:t>Thierry Lenders,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1440" w:top="908" w:right="7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the other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ILLIAM</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LAIR</w:t>
      </w:r>
      <w:r>
        <w:rPr>
          <w:rFonts w:ascii="Arial" w:cs="Arial" w:eastAsia="Arial" w:hAnsi="Arial"/>
          <w:sz w:val="18"/>
          <w:szCs w:val="18"/>
          <w:b w:val="1"/>
          <w:bCs w:val="1"/>
          <w:color w:val="auto"/>
        </w:rPr>
        <w:t xml:space="preserve"> &amp;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Maletzky</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Steve Maletzky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Managing Director, Partner &amp;</w:t>
            </w:r>
          </w:p>
        </w:tc>
      </w:tr>
      <w:tr>
        <w:trPr>
          <w:trHeight w:val="23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Head of Healthcare ECM</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 RILEY FBR,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Merriman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Jon Merriman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Sr. Managing Director,</w:t>
            </w:r>
          </w:p>
        </w:tc>
      </w:tr>
      <w:tr>
        <w:trPr>
          <w:trHeight w:val="230"/>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Head of Capital Markets and Advisory</w:t>
            </w:r>
          </w:p>
        </w:tc>
      </w:tr>
    </w:tbl>
    <w:p>
      <w:pPr>
        <w:spacing w:after="0" w:line="200" w:lineRule="exact"/>
        <w:rPr>
          <w:sz w:val="20"/>
          <w:szCs w:val="20"/>
          <w:color w:val="auto"/>
        </w:rPr>
      </w:pPr>
    </w:p>
    <w:p>
      <w:pPr>
        <w:spacing w:after="0" w:line="218"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43" w:name="page44"/>
    <w:bookmarkEnd w:id="43"/>
    <w:p>
      <w:pPr>
        <w:jc w:val="center"/>
        <w:ind w:left="190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right"/>
        <w:ind w:right="3060"/>
        <w:spacing w:after="0"/>
        <w:rPr>
          <w:sz w:val="20"/>
          <w:szCs w:val="20"/>
          <w:color w:val="auto"/>
        </w:rPr>
      </w:pPr>
      <w:r>
        <w:rPr>
          <w:rFonts w:ascii="Arial" w:cs="Arial" w:eastAsia="Arial" w:hAnsi="Arial"/>
          <w:sz w:val="18"/>
          <w:szCs w:val="18"/>
          <w:b w:val="1"/>
          <w:bCs w:val="1"/>
          <w:color w:val="auto"/>
        </w:rPr>
        <w:t>Selling Shareholder</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91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20" w:lineRule="exact"/>
        <w:rPr>
          <w:sz w:val="20"/>
          <w:szCs w:val="20"/>
          <w:color w:val="auto"/>
        </w:rPr>
      </w:pPr>
    </w:p>
    <w:p>
      <w:pPr>
        <w:ind w:right="4320"/>
        <w:spacing w:after="0" w:line="256" w:lineRule="auto"/>
        <w:rPr>
          <w:sz w:val="20"/>
          <w:szCs w:val="20"/>
          <w:color w:val="auto"/>
        </w:rPr>
      </w:pPr>
      <w:r>
        <w:rPr>
          <w:rFonts w:ascii="Arial" w:cs="Arial" w:eastAsia="Arial" w:hAnsi="Arial"/>
          <w:sz w:val="18"/>
          <w:szCs w:val="18"/>
          <w:color w:val="auto"/>
        </w:rPr>
        <w:t xml:space="preserve">WPP Luxembourg Gamma Three S.à r.l.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xml:space="preserve"> Registered office: 124, Boulevard de la Pétrusse, L-2330 Luxembourg, Grand Duchy of Luxembourg</w:t>
      </w:r>
    </w:p>
    <w:p>
      <w:pPr>
        <w:spacing w:after="0"/>
        <w:rPr>
          <w:sz w:val="20"/>
          <w:szCs w:val="20"/>
          <w:color w:val="auto"/>
        </w:rPr>
      </w:pPr>
      <w:r>
        <w:rPr>
          <w:rFonts w:ascii="Arial" w:cs="Arial" w:eastAsia="Arial" w:hAnsi="Arial"/>
          <w:sz w:val="18"/>
          <w:szCs w:val="18"/>
          <w:color w:val="auto"/>
        </w:rPr>
        <w:t>R.C.S. Luxembourg: B 108492</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34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Sh.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2,103,702</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2,103,702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17145</wp:posOffset>
            </wp:positionV>
            <wp:extent cx="7200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43180</wp:posOffset>
            </wp:positionV>
            <wp:extent cx="7200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ectPr>
          <w:pgSz w:w="11900" w:h="16838" w:orient="portrait"/>
          <w:cols w:equalWidth="0" w:num="2">
            <w:col w:w="9540" w:space="720"/>
            <w:col w:w="1060"/>
          </w:cols>
          <w:pgMar w:left="240" w:top="90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rPr>
              <w:t>SCHEDULE II</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18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3"/>
              </w:rPr>
              <w:t>Underwriters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Firm</w:t>
            </w:r>
          </w:p>
        </w:tc>
      </w:tr>
      <w:tr>
        <w:trPr>
          <w:trHeight w:val="241"/>
        </w:trPr>
        <w:tc>
          <w:tcPr>
            <w:tcW w:w="10180" w:type="dxa"/>
            <w:vAlign w:val="bottom"/>
            <w:gridSpan w:val="2"/>
          </w:tcPr>
          <w:p>
            <w:pPr>
              <w:ind w:left="4540"/>
              <w:spacing w:after="0"/>
              <w:rPr>
                <w:sz w:val="20"/>
                <w:szCs w:val="20"/>
                <w:color w:val="auto"/>
              </w:rPr>
            </w:pPr>
            <w:r>
              <w:rPr>
                <w:rFonts w:ascii="Arial" w:cs="Arial" w:eastAsia="Arial" w:hAnsi="Arial"/>
                <w:sz w:val="18"/>
                <w:szCs w:val="18"/>
                <w:b w:val="1"/>
                <w:bCs w:val="1"/>
                <w:color w:val="auto"/>
              </w:rPr>
              <w:t>Underwriter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(1)</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 Riley FBR, Inc.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631,111</w:t>
            </w:r>
          </w:p>
        </w:tc>
        <w:tc>
          <w:tcPr>
            <w:tcW w:w="100" w:type="dxa"/>
            <w:vAlign w:val="bottom"/>
            <w:tcBorders>
              <w:bottom w:val="single" w:sz="8" w:color="CCEEFF"/>
            </w:tcBorders>
          </w:tcPr>
          <w:p>
            <w:pPr>
              <w:spacing w:after="0"/>
              <w:rPr>
                <w:sz w:val="20"/>
                <w:szCs w:val="20"/>
                <w:color w:val="auto"/>
              </w:rPr>
            </w:pPr>
          </w:p>
        </w:tc>
      </w:tr>
      <w:tr>
        <w:trPr>
          <w:trHeight w:val="250"/>
        </w:trPr>
        <w:tc>
          <w:tcPr>
            <w:tcW w:w="101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2,103,702</w:t>
            </w:r>
          </w:p>
        </w:tc>
      </w:tr>
      <w:tr>
        <w:trPr>
          <w:trHeight w:val="21"/>
        </w:trPr>
        <w:tc>
          <w:tcPr>
            <w:tcW w:w="10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660" w:right="30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315,555 Option Shares, to the extent the option described in Section 4(b) of the Agreement is exercised, in the proportions and in the manner described in the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center"/>
        <w:ind w:right="-888"/>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229" w:lineRule="exact"/>
        <w:rPr>
          <w:sz w:val="20"/>
          <w:szCs w:val="20"/>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William J. Febbo</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James P. Lang</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Ellen O’Connor Vos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Gus D. Halas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Patrick D. Spangler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Terence J. Hamilton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Bryan Archambault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Douglas P. Baker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Miriam J. Paramore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WPP Luxembourg Gamma Three S.à.r.l.</w:t>
      </w:r>
    </w:p>
    <w:p>
      <w:pPr>
        <w:spacing w:after="0" w:line="200" w:lineRule="exact"/>
        <w:rPr>
          <w:sz w:val="20"/>
          <w:szCs w:val="20"/>
          <w:color w:val="auto"/>
        </w:rPr>
      </w:pPr>
    </w:p>
    <w:p>
      <w:pPr>
        <w:spacing w:after="0" w:line="247" w:lineRule="exact"/>
        <w:rPr>
          <w:sz w:val="20"/>
          <w:szCs w:val="20"/>
          <w:color w:val="auto"/>
        </w:rPr>
      </w:pPr>
    </w:p>
    <w:p>
      <w:pPr>
        <w:ind w:left="5108"/>
        <w:spacing w:after="0"/>
        <w:rPr>
          <w:sz w:val="20"/>
          <w:szCs w:val="20"/>
          <w:color w:val="auto"/>
        </w:rPr>
      </w:pPr>
      <w:r>
        <w:rPr>
          <w:rFonts w:ascii="Arial" w:cs="Arial" w:eastAsia="Arial" w:hAnsi="Arial"/>
          <w:sz w:val="22"/>
          <w:szCs w:val="22"/>
          <w:color w:val="auto"/>
        </w:rPr>
        <w:t>Sh.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87"/>
          </w:cols>
          <w:pgMar w:left="572" w:top="904" w:right="1440" w:bottom="1440" w:gutter="0" w:footer="0" w:header="0"/>
        </w:sectPr>
      </w:pPr>
    </w:p>
    <w:bookmarkStart w:id="46" w:name="page47"/>
    <w:bookmarkEnd w:id="46"/>
    <w:p>
      <w:pPr>
        <w:jc w:val="center"/>
        <w:ind w:right="-122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Sh.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7" w:name="page48"/>
    <w:bookmarkEnd w:id="47"/>
    <w:p>
      <w:pPr>
        <w:jc w:val="center"/>
        <w:ind w:right="-1200"/>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Firm Shares to be Sold by the Selling Shareholder: 2,103,702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Shares to be sold by the Company: 315,555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$10.00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Underwriters: $9.45 per share</w:t>
      </w:r>
    </w:p>
    <w:p>
      <w:pPr>
        <w:spacing w:after="0" w:line="200" w:lineRule="exact"/>
        <w:rPr>
          <w:sz w:val="20"/>
          <w:szCs w:val="20"/>
          <w:color w:val="auto"/>
        </w:rPr>
      </w:pPr>
    </w:p>
    <w:p>
      <w:pPr>
        <w:spacing w:after="0" w:line="23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Sh.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8" w:name="page49"/>
    <w:bookmarkEnd w:id="48"/>
    <w:p>
      <w:pPr>
        <w:jc w:val="center"/>
        <w:ind w:right="-1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Riley FBR,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FBR,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1300 17th Street N., Suite 1300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Arlington, VA 22209</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letter agreement is delivered to you pursuant to the Underwriting Agreement (the “Underwriting Agreement”) to be entered into by the Company, as issuer, and William Blair &amp; Company, L.L.C. (“William Blair”) and B. Riley FBR, Inc., as Representatives (the “Representatives”) of the several underwriters named in Schedule II thereto (the “Underwriters”). Upon the terms and subject to the conditions of the Underwriting Agreement, the Underwriters intend to effect a public offering (the “Offering”) of common stock, par value $0.001 per share (the “Common Stock”), of the Company (the “Shares”) pursuant to a Registration Statement on Form S-3.</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undersigned recognizes that it is in the best financial interests of the undersigned, as a stockholder, that the Company completes the proposed Offering. For purposes of this letter agreement, the term “Company Securities” shall mean stock, options, warrants or other securities of the Company.</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Offering.</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905" w:right="419" w:bottom="1440" w:gutter="0" w:footer="0" w:header="0"/>
        </w:sectPr>
      </w:pPr>
    </w:p>
    <w:bookmarkStart w:id="49" w:name="page50"/>
    <w:bookmarkEnd w:id="49"/>
    <w:p>
      <w:pPr>
        <w:ind w:firstLine="648"/>
        <w:spacing w:after="0" w:line="267" w:lineRule="auto"/>
        <w:rPr>
          <w:sz w:val="20"/>
          <w:szCs w:val="20"/>
          <w:color w:val="auto"/>
        </w:rPr>
      </w:pPr>
      <w:r>
        <w:rPr>
          <w:rFonts w:ascii="Arial" w:cs="Arial" w:eastAsia="Arial" w:hAnsi="Arial"/>
          <w:sz w:val="17"/>
          <w:szCs w:val="17"/>
          <w:color w:val="auto"/>
        </w:rPr>
        <w:t>Therefore, as an inducement to the Underwriters to execute the Underwriting Agreement, the undersigned hereby acknowledges and agrees that the undersigned will not (i) offer, sell, contract to sell, announce the intention to sell, pledge, grant any option to purchase or otherwise dispose of (collectively, a “Disposition”) any Company Securities, or any securities convertible into or exercisable or exchangeable for, or any rights to purchase or otherwise acquire, any Company Securities held by the undersigned or acquired by the undersigned after the date hereof (collectively, “Other Securities”), or that may be deemed to be beneficially owned by the undersigned (collectively, the “Lock-Up Shares”), pursuant to the Rules and Regulations promulgated under the Securities Act of 1933, as amended (the “Act”), and the Securities Exchange Act of 1934, as amended (the “Exchange Act”), for a period commencing on the date hereof and ending 90 days after the date of the Company’s final prospectus supplement used to sell the Shares in the Offering pursuant to the Underwriting Agreement is first filed pursuant to Rule 424(b) under the Act (the “Public Offering Date”), inclusive (the “Lock-Up Period”), without the prior written consent of William Blair;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during the Lock-Up Period; or (iii) publicly disclose the intention to do any of the foregoing (except as may be required by applicable law). The foregoing restrictions are expressly agreed to preclude the undersigned from engaging in any hedging, collar (whether or not for any consideration), swap or other transaction that is designed to or reasonably expected to lead to or result in a Disposition of Lock-Up Shares during the Lock-Up Period, even if such Lock-Up Shares would be disposed of by someone other than such holder. Such prohibited hedging or other transactions would include any short sale or any purchase, sale or grant of any right (including any put or call option or reversal or cancellation thereof) with respect to any Lock-Up Shares or with respect to any security (other than a broad-based market basket or index) that includes, relates to or derives any significant part of its value from the Lock-Up Shares.</w:t>
      </w:r>
    </w:p>
    <w:p>
      <w:pPr>
        <w:spacing w:after="0" w:line="19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Notwithstanding the agreement not to make any Disposition during the Lock-Up Period, the Underwriters and the undersigned have agreed that the foregoing restrictions shall not apply to:</w:t>
      </w:r>
    </w:p>
    <w:p>
      <w:pPr>
        <w:spacing w:after="0" w:line="170" w:lineRule="exact"/>
        <w:rPr>
          <w:sz w:val="20"/>
          <w:szCs w:val="20"/>
          <w:color w:val="auto"/>
        </w:rPr>
      </w:pPr>
    </w:p>
    <w:p>
      <w:pPr>
        <w:ind w:left="1300" w:right="140" w:hanging="644"/>
        <w:spacing w:after="0" w:line="258"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grant to or exercise by the undersigned of any option or warrant to acquire any shares of Common Stock or options to purchase shares of Common Stock, pursuant to any stock option, stock bonus or other stock plan or arrangement;</w:t>
      </w:r>
    </w:p>
    <w:p>
      <w:pPr>
        <w:spacing w:after="0" w:line="1" w:lineRule="exact"/>
        <w:rPr>
          <w:rFonts w:ascii="Arial" w:cs="Arial" w:eastAsia="Arial" w:hAnsi="Arial"/>
          <w:sz w:val="18"/>
          <w:szCs w:val="18"/>
          <w:color w:val="auto"/>
        </w:rPr>
      </w:pPr>
    </w:p>
    <w:p>
      <w:pPr>
        <w:ind w:left="1300" w:right="700" w:hanging="644"/>
        <w:spacing w:after="0" w:line="250"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transfer of Lock-Up Shares to the “immediate family” of the undersigned or to any trust for the direct or indirect benefit of the undersigned or the “immediate family” of the undersigned;</w:t>
      </w: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bona fide gift;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transfer of Lock-Up Shares by will or intestate succession;</w:t>
      </w:r>
    </w:p>
    <w:p>
      <w:pPr>
        <w:spacing w:after="0" w:line="9" w:lineRule="exact"/>
        <w:rPr>
          <w:rFonts w:ascii="Arial" w:cs="Arial" w:eastAsia="Arial" w:hAnsi="Arial"/>
          <w:sz w:val="18"/>
          <w:szCs w:val="18"/>
          <w:color w:val="auto"/>
        </w:rPr>
      </w:pPr>
    </w:p>
    <w:p>
      <w:pPr>
        <w:jc w:val="both"/>
        <w:ind w:left="1300" w:right="420" w:hanging="644"/>
        <w:spacing w:after="0" w:line="323"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ind w:left="1300" w:right="360" w:hanging="644"/>
        <w:spacing w:after="0" w:line="258"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transfer to the undersigned’s affiliates (as defined in Rule 405 promulgated under the Act) or to any investment fund or other entity controlled or managed by the undersigned;</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transfer pursuant to a qualified domestic relations order or in connection with a divorce settlement;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Company Securities acquired in open market transactions after completion of the Offering;</w:t>
      </w:r>
    </w:p>
    <w:p>
      <w:pPr>
        <w:spacing w:after="0" w:line="9" w:lineRule="exact"/>
        <w:rPr>
          <w:rFonts w:ascii="Arial" w:cs="Arial" w:eastAsia="Arial" w:hAnsi="Arial"/>
          <w:sz w:val="18"/>
          <w:szCs w:val="18"/>
          <w:color w:val="auto"/>
        </w:rPr>
      </w:pPr>
    </w:p>
    <w:p>
      <w:pPr>
        <w:ind w:left="1300" w:right="880" w:hanging="644"/>
        <w:spacing w:after="0" w:line="265"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transfer to a partnership, limited liability company or other entity of which the undersigned and the immediate family of the undersigned are the legal and beneficial owner of all of the outstanding equity securities or similar interests;</w:t>
      </w:r>
    </w:p>
    <w:p>
      <w:pPr>
        <w:ind w:left="1300" w:right="60" w:hanging="644"/>
        <w:spacing w:after="0" w:line="250"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transfer to a nominee or custodian of a person or entity to whom a disposition or transfer would be permissible under (2), (3), (4) or (9) above;</w:t>
      </w:r>
    </w:p>
    <w:p>
      <w:pPr>
        <w:ind w:left="1300" w:right="40" w:hanging="644"/>
        <w:spacing w:after="0" w:line="250"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transfer to the Company from an employee of or service provider of the Company upon death, disability or termination of employment, in each case, of such employee or service provider;</w:t>
      </w:r>
    </w:p>
    <w:p>
      <w:pPr>
        <w:ind w:left="1300" w:hanging="644"/>
        <w:spacing w:after="0" w:line="281"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transfer (A)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(B) necessary (including transfers on the open market) to generate such amount of cash needed for the payment of taxes, including estimated taxes, due as a result of the vesting or settlement of restricted stock units whether by means of a “net settlement” or otherwise, provided that any such transfers described in this subclause (B) may only take place if at least 45 days have elapsed since the Public Offering Date (and, for the sake of clarity, no transfers on the open market are permitted pursuant to this subclause (B) if less than 45 days have elapsed since the Public Offering Date), and in all such cases described in subclauses (A) and (B), provided that any such shares of Common Stock received upon such exercise, vesting or settlement shall be subject to the terms of this letter agreement; or</w:t>
      </w:r>
    </w:p>
    <w:p>
      <w:pPr>
        <w:spacing w:after="0" w:line="6" w:lineRule="exact"/>
        <w:rPr>
          <w:rFonts w:ascii="Arial" w:cs="Arial" w:eastAsia="Arial" w:hAnsi="Arial"/>
          <w:sz w:val="16"/>
          <w:szCs w:val="16"/>
          <w:color w:val="auto"/>
        </w:rPr>
      </w:pPr>
    </w:p>
    <w:p>
      <w:pPr>
        <w:ind w:left="1300" w:right="320" w:hanging="644"/>
        <w:spacing w:after="0" w:line="273"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transfers of shares of Common Stock or Other Securities in connection with the conversion, reclassification, exchange or swap of any outstanding preferred stock, other classes of Common Stock or Other Securities into shares of one or more series or classes of Common Stock or Other Securities, provided that any such shares of Common Stock or Other Securities received upon such conversion, reclassification, exchange or swap shall be subject to the terms of this letter agreement;</w:t>
      </w:r>
    </w:p>
    <w:p>
      <w:pPr>
        <w:spacing w:after="0" w:line="17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provided that, in the case of any transfer, gift or other disposition pursuant to (2), (3), (4), (6), (7), (9) or (10), the transferee, trust, donee or other recipient agrees to be bound in writing by the terms of this letter agreement prior to such transfer and no filing by any party (donor, donee, transferor or transferee) under the Exchange Act shall be required or shall be voluntarily made in connection with such transfer (other than required filings under Section 16(a) and Section 13(d) or 13(g) of the Exchange Act and any filings made after the expiration of the Lock-Up Period). For purposes of this letter agreement, “immediate family” shall mean any relationship by blood, marriage or adoption, nor more remote than first cousin.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right="300" w:firstLine="648"/>
        <w:spacing w:after="0" w:line="293" w:lineRule="auto"/>
        <w:rPr>
          <w:sz w:val="20"/>
          <w:szCs w:val="20"/>
          <w:color w:val="auto"/>
        </w:rPr>
      </w:pPr>
      <w:r>
        <w:rPr>
          <w:rFonts w:ascii="Arial" w:cs="Arial" w:eastAsia="Arial" w:hAnsi="Arial"/>
          <w:sz w:val="16"/>
          <w:szCs w:val="16"/>
          <w:color w:val="auto"/>
        </w:rPr>
        <w:t>Furthermore, no provision in this letter agreement shall be deemed to restrict or prohibit the transfer of Lock-Up Shares upon the completion of a bona fide third-party tender offer, merger, consolidation or other similar transaction made to all holders of the Company Securities involving a change of control of the Company, provided that (1) the per-share consideration for the Company Securities transferred as described above shall be greater than the public offering price per share in the Offering, (2) all Company Securities subject to this letter agreement that are not so transferred, sold, tendered or otherwise disposed of remain subject to this letter agreement, and (3) it shall be a condition of transfer, sale, tender or other disposition that if such tender offer or other transaction is not completed, any Company Securities subject to this letter agreement shall remain subject to the restrictions herein.</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Notwithstanding anything herein to the contrary, nothing herein shall prevent the undersigned from establishing a 10b5-1 trading plan that complies with Rule 10b5-1 under the Exchange Act (“10b5-1 trading plan”) or from amending an existing 10b5-1 trading plan, so long as there are no sales of Lock-Up Shares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restrictions imposed by this letter agreement shall be equally applicable to any issuer-directed shares of Common Stock the undersigned may purchase in the Offering.</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understood that this letter agreement shall automatically terminate, and the undersigned shall be released from its obligations hereunder, upon the earliest to occur, if any, of (i) prior to the execution of the Underwriting Agreement, the Company advises the Representatives in writing that it has determined not to proceed with the Offering, (ii) the Underwriting Agreement (other than the provisions thereof that survive termination) is executed but is terminated prior to payment for and delivery of the Shares, or (iii) February 15, 2019, in the event that the Underwriting Agreement has not been executed by such date.</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Lock-Up Shares if such transfer would constitute a violation or breach of this letter agreement. This letter agreement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Offering in reliance upon this letter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56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and Title of Person Signing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signing as custodian, trustee, or on behalf of an entity</w:t>
      </w:r>
      <w:r>
        <w:rPr>
          <w:rFonts w:ascii="Arial" w:cs="Arial" w:eastAsia="Arial" w:hAnsi="Arial"/>
          <w:sz w:val="16"/>
          <w:szCs w:val="16"/>
          <w:color w:val="auto"/>
        </w:rPr>
        <w:t>)</w:t>
      </w:r>
    </w:p>
    <w:p>
      <w:pPr>
        <w:spacing w:after="0" w:line="200" w:lineRule="exact"/>
        <w:rPr>
          <w:sz w:val="20"/>
          <w:szCs w:val="20"/>
          <w:color w:val="auto"/>
        </w:rPr>
      </w:pPr>
    </w:p>
    <w:p>
      <w:pPr>
        <w:spacing w:after="0" w:line="24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0"/>
          </w:cols>
          <w:pgMar w:left="1440" w:top="909" w:right="65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OptimizeRx Corporation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You have requested our opinion, as counsel to OptimizeRx Corporation, a Nevada corporation (the “Company”), with respect to certain matters in connection with the offering of up to 2,103,702 shares (the “Selling Stockholder Shares”) of the Company’s common stock, par value $0.001 per share (the “Common Stock”), to be sold by WPP Luxembourg Gamma Three S.à r.l., the selling stockholder, and 315,555 shares of the Company’s Common Stock (the “Option Shares” and together with the Selling Stockholder Shares, the “Shares”) that may be sold pursuant to the exercise of an option granted to the Underwriters to purchase additional shares, pursuant to a Registration Statement on Form S-3 (Registration Statement No. 333-228357) (the “Registration Statement”), filed with the Securities and Exchange Commission (the “Commission”) under the Securities Act of 1933, as amended (the “Act”), and declared effective by the Commission on December 11, 2018, the related prospectus included within the Registration Statement (the “Base Prospectus”), and the prospectus supplement, dated December 17, 2018, and filed with the Commission pursuant to Rule 424(b) (5) of the Rules and Regulations of the Act (the “Prospectus Supplement”). The Base Prospectus and the Prospectus Supplement are collectively referred to as the “Prospectus.” The Shares are to be sold as described in the Registration Statement and the Prospectus.</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Articles of Incorporation, as amended, the Company’s Amended and Restated Bylaws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sought to independently verify such matters.</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opinion herein is expressed solely with respect to the corporate law of the State of Nevada.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have been duly and validly authorized and, when sold and issued in accordance with the Registration Statement and the Prospectus, will be validly issued,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This opinion is expressed as of the date hereof, and we disclaim any responsibility to advise you of any changes in the facts stated or assumed herein or any changes in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165735</wp:posOffset>
            </wp:positionV>
            <wp:extent cx="2152650" cy="428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Proposed Public Offering of Common Stock</w:t>
      </w:r>
    </w:p>
    <w:p>
      <w:pPr>
        <w:spacing w:after="0" w:line="225"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b w:val="1"/>
          <w:bCs w:val="1"/>
          <w:color w:val="auto"/>
        </w:rPr>
        <w:t xml:space="preserve">ROCHESTER, Mich., Dec. 17, 2018 – </w:t>
      </w:r>
      <w:r>
        <w:rPr>
          <w:rFonts w:ascii="Arial" w:cs="Arial" w:eastAsia="Arial" w:hAnsi="Arial"/>
          <w:sz w:val="16"/>
          <w:szCs w:val="16"/>
          <w:color w:val="auto"/>
        </w:rPr>
        <w:t>OptimizeRx Corporation (Nasdaq: OPRX),</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a leading provider of digital health messaging for the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 xml:space="preserve">industry, </w:t>
      </w:r>
      <w:r>
        <w:rPr>
          <w:rFonts w:ascii="Arial" w:cs="Arial" w:eastAsia="Arial" w:hAnsi="Arial"/>
          <w:sz w:val="16"/>
          <w:szCs w:val="16"/>
          <w:color w:val="auto"/>
        </w:rPr>
        <w:t>today announced a proposed underwritten public offering by WPP Luxembourg Gamma Three S.à r.l., a shareholder of OptimizeRx, of 2,103,702</w:t>
      </w:r>
      <w:r>
        <w:rPr>
          <w:rFonts w:ascii="Arial" w:cs="Arial" w:eastAsia="Arial" w:hAnsi="Arial"/>
          <w:sz w:val="16"/>
          <w:szCs w:val="16"/>
          <w:color w:val="auto"/>
          <w:highlight w:val="white"/>
        </w:rPr>
        <w:t xml:space="preserve"> </w:t>
      </w:r>
      <w:r>
        <w:rPr>
          <w:rFonts w:ascii="Arial" w:cs="Arial" w:eastAsia="Arial" w:hAnsi="Arial"/>
          <w:sz w:val="16"/>
          <w:szCs w:val="16"/>
          <w:color w:val="auto"/>
        </w:rPr>
        <w:t>shares of OptimizeRx common stock. In connection with this offering, OptimizeRx expects to grant the underwriters a 30-day option to purchase up to an additional 315,555 newly issued shares of common stock from the Company at the public offering price less the underwriting discount and commissions.</w:t>
      </w:r>
    </w:p>
    <w:p>
      <w:pPr>
        <w:spacing w:after="0" w:line="15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OptimizeRx will not receive any proceeds from the sale of the shares by the selling shareholder. If the underwriters’ option to purchase up to the additional 315,555 shares of common stock offered by OptimizeRx is exercised, OptimizeRx will receive proceeds from the sale of newly issued shares of common stock pursuant to such exercise.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 and B. Riley FBR, Inc. are the joint book-running managers for the offering.</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shares of common stock described above are being offered pursuant to a shelf registration statement on Form S-3 (File No. 333-228357) that was originally filed with the Securities and Exchange Commission (the “SEC”) on November 13, 2018 and declared effective by the SEC on December 11, 2018. A preliminary prospectus supplement and accompanying base prospectus relating to the offering and the shares of common stock being offered will be filed with the SEC. Before you invest, you should read the prospectus in the registration statement, the preliminary prospectus supplement, and other documents OptimizeRx has filed with the SEC for more complete information about OptimizeRx and this offering. Copies of the registration statement, the preliminary prospectus supplement and accompanying base prospectus may be obtained, when available, on the SEC’s website at http://www.sec.gov or, when available, from William Blair &amp; Company, L.L.C., Attention: Prospectus Department, 150 North Riverside Plaza, Chicago, IL 60606; Phone: (800) 621-0687; Email: prospectus@williamblair.com; and from B. Riley FBR, Inc., Attention: Syndicate Prospectus Department, 1400 North 17th Street, Suite 1300, Arlington, VA 22209; Phone: (703) 312-9580; Email: prospectuses@brileyfbr.com.</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The Company’s mobile messaging platform also supports direct, real-time communication to patients for improved medication adherence, affordability, and healthcare outcomes.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potential market opportunity for our product candidates. We may, in some cases use terms such as “predicts,” “believes,” “potential,” “continue,” “anticipates,” “estimates,” “expects,” “plans,” “intends,” “may,” “could,” “might,” “will,” “should”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prospectus supplement to be filed with the Securities and Exchange Commission (SEC) on December 13, 2018 under the heading “Risk Factors” and those documents incorporated by reference therein, which includes our Annual Report on Form 10-K filed with the SEC on March 8, 2018.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165735</wp:posOffset>
            </wp:positionV>
            <wp:extent cx="2152650" cy="428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Pricing of Public Offering of Common Stock</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ROCHESTER, Mich., Dec. 18, 2018 – </w:t>
      </w:r>
      <w:r>
        <w:rPr>
          <w:rFonts w:ascii="Arial" w:cs="Arial" w:eastAsia="Arial" w:hAnsi="Arial"/>
          <w:sz w:val="18"/>
          <w:szCs w:val="18"/>
          <w:color w:val="auto"/>
        </w:rPr>
        <w:t>OptimizeRx Corporation (Nasdaq: OPRX),</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 xml:space="preserve">industry, </w:t>
      </w:r>
      <w:r>
        <w:rPr>
          <w:rFonts w:ascii="Arial" w:cs="Arial" w:eastAsia="Arial" w:hAnsi="Arial"/>
          <w:sz w:val="18"/>
          <w:szCs w:val="18"/>
          <w:color w:val="auto"/>
        </w:rPr>
        <w:t>today announced the pricing of the previously announced underwritten public offering by WPP Luxembourg Gamma Three S.à r.l., a shareholder of</w:t>
      </w:r>
      <w:r>
        <w:rPr>
          <w:rFonts w:ascii="Arial" w:cs="Arial" w:eastAsia="Arial" w:hAnsi="Arial"/>
          <w:sz w:val="18"/>
          <w:szCs w:val="18"/>
          <w:color w:val="auto"/>
          <w:highlight w:val="white"/>
        </w:rPr>
        <w:t xml:space="preserve"> </w:t>
      </w:r>
      <w:r>
        <w:rPr>
          <w:rFonts w:ascii="Arial" w:cs="Arial" w:eastAsia="Arial" w:hAnsi="Arial"/>
          <w:sz w:val="18"/>
          <w:szCs w:val="18"/>
          <w:color w:val="auto"/>
        </w:rPr>
        <w:t>OptimizeRx, of 2,103,702 shares of OptimizeRx common stock, at a public offering price of $10.00 per share. In connection with the offering, OptimizeRx granted the underwriters a 30-day option to purchase up to an additional 315,555 newly issued shares of common stock from the Company at the public offering price less the underwriting discount and commissions. The offering is expected to close on or about December 20, 2018, subject to customary closing conditions.</w:t>
      </w:r>
    </w:p>
    <w:p>
      <w:pPr>
        <w:spacing w:after="0" w:line="19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OptimizeRx will not receive any proceeds from the sale of the shares by the selling shareholder. If the underwriters’ option to purchase up to the additional 315,555 shares of common stock offered by OptimizeRx is exercised in full, OptimizeRx would receive net proceeds of approximately $2.9 million, which will be used by the Company for working capital and other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 and B. Riley FBR, Inc. are the joint book-running managers for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 and Lake Street Capital Markets, LLC are acting as the financial advisors for the offering.</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shares of common stock described above are being offered pursuant to a shelf registration statement on Form S-3 (File No. 333-228357) that was originally filed with the Securities and Exchange Commission (the “SEC”) on November 13, 2018 and declared effective by the SEC on December 11, 2018. A preliminary prospectus supplement relating to and describing the terms of the offering was filed with the SEC and is available on the SEC’s website</w:t>
      </w:r>
    </w:p>
    <w:p>
      <w:pPr>
        <w:ind w:right="120"/>
        <w:spacing w:after="0" w:line="292" w:lineRule="auto"/>
        <w:rPr>
          <w:sz w:val="20"/>
          <w:szCs w:val="20"/>
          <w:color w:val="auto"/>
        </w:rPr>
      </w:pPr>
      <w:r>
        <w:rPr>
          <w:rFonts w:ascii="Arial" w:cs="Arial" w:eastAsia="Arial" w:hAnsi="Arial"/>
          <w:sz w:val="16"/>
          <w:szCs w:val="16"/>
          <w:color w:val="auto"/>
        </w:rPr>
        <w:t>at http://www.sec.gov. A final prospectus supplement and the accompanying base prospectus relating to the offering and the shares of common stock being offered will be filed with the SEC. Copies of the registration statement, the final prospectus supplement and the accompanying base prospectus may be obtained on the SEC’s website at http://www.sec.gov or, when available, from William Blair &amp; Company, L.L.C., Attention: Prospectus Department, 150 North Riverside Plaza, Chicago, IL 60606; Phone: (800) 621-0687; Email: prospectus@williamblair.com; and from B. Riley FBR, Inc., Attention: Syndicate Prospectus Department, 1400 North 17th Street, Suite 1300, Arlington, VA 22209; Phone: (703) 312-9580; Email: prospectuses@brileyfbr.com.</w:t>
      </w:r>
    </w:p>
    <w:p>
      <w:pPr>
        <w:spacing w:after="0" w:line="1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The Company’s mobile messaging platform also supports direct, real-time communication to patients for improved medication adherence, affordability, and healthcare outcomes.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potential market opportunity for our product candidates. We may, in some cases use terms such as “predicts,” “believes,” “potential,” “continue,” “anticipates,” “estimates,” “expects,” “plans,” “intends,” “may,” “could,” “might,” “will,” “should”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our ability to satisfy the closing conditions of the offering, the timing or occurrence of the closing, and the anticipated use of the proceeds of the offering, which could change as a result of market conditions or for other reasons. For a further description of the risks and uncertainties that could cause actual results to differ from those expressed in these forward-looking statements, as well as risks relating to our business in general, please refer to our prospectus supplement filed with the Securities and Exchange Commission (SEC) on December 17, 2018 under the heading “Risk Factors” and those documents incorporated by reference therein, which includes our Annual Report on Form 10-K filed with the SEC on March 8, 2018.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lvl w:ilvl="1">
      <w:lvlJc w:val="left"/>
      <w:lvlText w:val="(%2)"/>
      <w:numFmt w:val="lowerLetter"/>
      <w:start w:val="1"/>
    </w:lvl>
  </w:abstractNum>
  <w:abstractNum w:abstractNumId="4">
    <w:nsid w:val="7C3DBD3D"/>
    <w:multiLevelType w:val="hybridMultilevel"/>
    <w:lvl w:ilvl="0">
      <w:lvlJc w:val="left"/>
      <w:lvlText w:val="(%1)"/>
      <w:numFmt w:val="lowerLetter"/>
      <w:start w:val="3"/>
    </w:lvl>
    <w:lvl w:ilvl="1">
      <w:lvlJc w:val="left"/>
      <w:lvlText w:val="(%2)"/>
      <w:numFmt w:val="lowerRoman"/>
      <w:start w:val="1"/>
    </w:lvl>
  </w:abstractNum>
  <w:abstractNum w:abstractNumId="5">
    <w:nsid w:val="737B8DDC"/>
    <w:multiLevelType w:val="hybridMultilevel"/>
    <w:lvl w:ilvl="0">
      <w:lvlJc w:val="left"/>
      <w:lvlText w:val="%1"/>
      <w:numFmt w:val="lowerLetter"/>
      <w:start w:val="1"/>
    </w:lvl>
    <w:lvl w:ilvl="1">
      <w:lvlJc w:val="left"/>
      <w:lvlText w:val="(%2)"/>
      <w:numFmt w:val="lowerLetter"/>
      <w:start w:val="5"/>
    </w:lvl>
  </w:abstractNum>
  <w:abstractNum w:abstractNumId="6">
    <w:nsid w:val="6CEAF087"/>
    <w:multiLevelType w:val="hybridMultilevel"/>
    <w:lvl w:ilvl="0">
      <w:lvlJc w:val="left"/>
      <w:lvlText w:val="(%1)"/>
      <w:numFmt w:val="lowerLetter"/>
      <w:start w:val="25"/>
    </w:lvl>
    <w:lvl w:ilvl="1">
      <w:lvlJc w:val="left"/>
      <w:lvlText w:val="%2"/>
      <w:numFmt w:val="lowerLetter"/>
      <w:start w:val="1"/>
    </w:lvl>
  </w:abstractNum>
  <w:abstractNum w:abstractNumId="7">
    <w:nsid w:val="22221A70"/>
    <w:multiLevelType w:val="hybridMultilevel"/>
    <w:lvl w:ilvl="0">
      <w:lvlJc w:val="left"/>
      <w:lvlText w:val="(%1)"/>
      <w:numFmt w:val="lowerLetter"/>
      <w:start w:val="7"/>
    </w:lvl>
  </w:abstractNum>
  <w:abstractNum w:abstractNumId="8">
    <w:nsid w:val="4516DDE9"/>
    <w:multiLevelType w:val="hybridMultilevel"/>
    <w:lvl w:ilvl="0">
      <w:lvlJc w:val="left"/>
      <w:lvlText w:val="%1"/>
      <w:numFmt w:val="upperLetter"/>
      <w:start w:val="1"/>
    </w:lvl>
    <w:lvl w:ilvl="1">
      <w:lvlJc w:val="left"/>
      <w:lvlText w:val="(%2)"/>
      <w:numFmt w:val="lowerLetter"/>
      <w:start w:val="10"/>
    </w:lvl>
  </w:abstractNum>
  <w:abstractNum w:abstractNumId="9">
    <w:nsid w:val="3006C83E"/>
    <w:multiLevelType w:val="hybridMultilevel"/>
    <w:lvl w:ilvl="0">
      <w:lvlJc w:val="left"/>
      <w:lvlText w:val="(%1)"/>
      <w:numFmt w:val="upperLetter"/>
      <w:start w:val="3"/>
    </w:lvl>
    <w:lvl w:ilvl="1">
      <w:lvlJc w:val="left"/>
      <w:lvlText w:val="%2"/>
      <w:numFmt w:val="lowerLetter"/>
      <w:start w:val="1"/>
    </w:lvl>
  </w:abstractNum>
  <w:abstractNum w:abstractNumId="10">
    <w:nsid w:val="614FD4A1"/>
    <w:multiLevelType w:val="hybridMultilevel"/>
    <w:lvl w:ilvl="0">
      <w:lvlJc w:val="left"/>
      <w:lvlText w:val="(%1)"/>
      <w:numFmt w:val="lowerLetter"/>
      <w:start w:val="11"/>
    </w:lvl>
  </w:abstractNum>
  <w:abstractNum w:abstractNumId="11">
    <w:nsid w:val="419AC241"/>
    <w:multiLevelType w:val="hybridMultilevel"/>
    <w:lvl w:ilvl="0">
      <w:lvlJc w:val="left"/>
      <w:lvlText w:val="%1"/>
      <w:numFmt w:val="upperLetter"/>
      <w:start w:val="1"/>
    </w:lvl>
    <w:lvl w:ilvl="1">
      <w:lvlJc w:val="left"/>
      <w:lvlText w:val="(%2)"/>
      <w:numFmt w:val="lowerLetter"/>
      <w:start w:val="13"/>
    </w:lvl>
  </w:abstractNum>
  <w:abstractNum w:abstractNumId="12">
    <w:nsid w:val="5577F8E1"/>
    <w:multiLevelType w:val="hybridMultilevel"/>
    <w:lvl w:ilvl="0">
      <w:lvlJc w:val="left"/>
      <w:lvlText w:val="(%1)"/>
      <w:numFmt w:val="upperLetter"/>
      <w:start w:val="2"/>
    </w:lvl>
    <w:lvl w:ilvl="1">
      <w:lvlJc w:val="left"/>
      <w:lvlText w:val="%2"/>
      <w:numFmt w:val="lowerLetter"/>
      <w:start w:val="1"/>
    </w:lvl>
  </w:abstractNum>
  <w:abstractNum w:abstractNumId="13">
    <w:nsid w:val="440BADFC"/>
    <w:multiLevelType w:val="hybridMultilevel"/>
    <w:lvl w:ilvl="0">
      <w:lvlJc w:val="left"/>
      <w:lvlText w:val="%1"/>
      <w:numFmt w:val="upperLetter"/>
      <w:start w:val="1"/>
    </w:lvl>
    <w:lvl w:ilvl="1">
      <w:lvlJc w:val="left"/>
      <w:lvlText w:val="(%2)"/>
      <w:numFmt w:val="lowerLetter"/>
      <w:start w:val="15"/>
    </w:lvl>
  </w:abstractNum>
  <w:abstractNum w:abstractNumId="14">
    <w:nsid w:val="5072367"/>
    <w:multiLevelType w:val="hybridMultilevel"/>
    <w:lvl w:ilvl="0">
      <w:lvlJc w:val="left"/>
      <w:lvlText w:val="(%1)"/>
      <w:numFmt w:val="upperLetter"/>
      <w:start w:val="1"/>
    </w:lvl>
    <w:lvl w:ilvl="1">
      <w:lvlJc w:val="left"/>
      <w:lvlText w:val="(%2)"/>
      <w:numFmt w:val="lowerLetter"/>
      <w:start w:val="16"/>
    </w:lvl>
  </w:abstractNum>
  <w:abstractNum w:abstractNumId="15">
    <w:nsid w:val="3804823E"/>
    <w:multiLevelType w:val="hybridMultilevel"/>
    <w:lvl w:ilvl="0">
      <w:lvlJc w:val="left"/>
      <w:lvlText w:val="(%1)"/>
      <w:numFmt w:val="lowerLetter"/>
      <w:start w:val="18"/>
    </w:lvl>
  </w:abstractNum>
  <w:abstractNum w:abstractNumId="16">
    <w:nsid w:val="77465F01"/>
    <w:multiLevelType w:val="hybridMultilevel"/>
    <w:lvl w:ilvl="0">
      <w:lvlJc w:val="left"/>
      <w:lvlText w:val="(%1)"/>
      <w:numFmt w:val="lowerLetter"/>
      <w:start w:val="21"/>
    </w:lvl>
  </w:abstractNum>
  <w:abstractNum w:abstractNumId="17">
    <w:nsid w:val="7724C67E"/>
    <w:multiLevelType w:val="hybridMultilevel"/>
    <w:lvl w:ilvl="0">
      <w:lvlJc w:val="left"/>
      <w:lvlText w:val="(%1)"/>
      <w:numFmt w:val="lowerLetter"/>
      <w:start w:val="26"/>
    </w:lvl>
  </w:abstractNum>
  <w:abstractNum w:abstractNumId="18">
    <w:nsid w:val="5C482A97"/>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19">
    <w:nsid w:val="2463B9EA"/>
    <w:multiLevelType w:val="hybridMultilevel"/>
    <w:lvl w:ilvl="0">
      <w:lvlJc w:val="left"/>
      <w:lvlText w:val="%1"/>
      <w:numFmt w:val="lowerLetter"/>
      <w:start w:val="1"/>
    </w:lvl>
    <w:lvl w:ilvl="1">
      <w:lvlJc w:val="left"/>
      <w:lvlText w:val="(%2)"/>
      <w:numFmt w:val="lowerLetter"/>
      <w:start w:val="61"/>
    </w:lvl>
  </w:abstractNum>
  <w:abstractNum w:abstractNumId="20">
    <w:nsid w:val="5E884ADC"/>
    <w:multiLevelType w:val="hybridMultilevel"/>
    <w:lvl w:ilvl="0">
      <w:lvlJc w:val="left"/>
      <w:lvlText w:val="(%1)"/>
      <w:numFmt w:val="lowerLetter"/>
      <w:start w:val="28"/>
    </w:lvl>
    <w:lvl w:ilvl="1">
      <w:lvlJc w:val="left"/>
      <w:lvlText w:val="%2"/>
      <w:numFmt w:val="lowerLetter"/>
      <w:start w:val="1"/>
    </w:lvl>
  </w:abstractNum>
  <w:abstractNum w:abstractNumId="21">
    <w:nsid w:val="51EAD36B"/>
    <w:multiLevelType w:val="hybridMultilevel"/>
    <w:lvl w:ilvl="0">
      <w:lvlJc w:val="left"/>
      <w:lvlText w:val="%1"/>
      <w:numFmt w:val="lowerLetter"/>
      <w:start w:val="1"/>
    </w:lvl>
    <w:lvl w:ilvl="1">
      <w:lvlJc w:val="left"/>
      <w:lvlText w:val="(%2)"/>
      <w:numFmt w:val="lowerLetter"/>
      <w:start w:val="30"/>
    </w:lvl>
  </w:abstractNum>
  <w:abstractNum w:abstractNumId="22">
    <w:nsid w:val="2D517796"/>
    <w:multiLevelType w:val="hybridMultilevel"/>
    <w:lvl w:ilvl="0">
      <w:lvlJc w:val="left"/>
      <w:lvlText w:val="(%1)"/>
      <w:numFmt w:val="lowerLetter"/>
      <w:start w:val="13"/>
    </w:lvl>
    <w:lvl w:ilvl="1">
      <w:lvlJc w:val="left"/>
      <w:lvlText w:val="(%2)"/>
      <w:numFmt w:val="lowerLetter"/>
      <w:start w:val="31"/>
    </w:lvl>
  </w:abstractNum>
  <w:abstractNum w:abstractNumId="23">
    <w:nsid w:val="580BD78F"/>
    <w:multiLevelType w:val="hybridMultilevel"/>
    <w:lvl w:ilvl="0">
      <w:lvlJc w:val="left"/>
      <w:lvlText w:val="(%1)"/>
      <w:numFmt w:val="lowerLetter"/>
      <w:start w:val="32"/>
    </w:lvl>
  </w:abstractNum>
  <w:abstractNum w:abstractNumId="24">
    <w:nsid w:val="153EA438"/>
    <w:multiLevelType w:val="hybridMultilevel"/>
    <w:lvl w:ilvl="0">
      <w:lvlJc w:val="left"/>
      <w:lvlText w:val="%1"/>
      <w:numFmt w:val="decimal"/>
      <w:start w:val="1"/>
    </w:lvl>
    <w:lvl w:ilvl="1">
      <w:lvlJc w:val="left"/>
      <w:lvlText w:val="(%2)"/>
      <w:numFmt w:val="lowerLetter"/>
      <w:start w:val="37"/>
    </w:lvl>
  </w:abstractNum>
  <w:abstractNum w:abstractNumId="25">
    <w:nsid w:val="3855585C"/>
    <w:multiLevelType w:val="hybridMultilevel"/>
    <w:lvl w:ilvl="0">
      <w:lvlJc w:val="left"/>
      <w:lvlText w:val="%1."/>
      <w:numFmt w:val="decimal"/>
      <w:start w:val="3"/>
    </w:lvl>
    <w:lvl w:ilvl="1">
      <w:lvlJc w:val="left"/>
      <w:lvlText w:val="(%2)"/>
      <w:numFmt w:val="lowerLetter"/>
      <w:start w:val="1"/>
    </w:lvl>
  </w:abstractNum>
  <w:abstractNum w:abstractNumId="26">
    <w:nsid w:val="70A64E2A"/>
    <w:multiLevelType w:val="hybridMultilevel"/>
    <w:lvl w:ilvl="0">
      <w:lvlJc w:val="left"/>
      <w:lvlText w:val="(%1)"/>
      <w:numFmt w:val="lowerLetter"/>
      <w:start w:val="2"/>
    </w:lvl>
  </w:abstractNum>
  <w:abstractNum w:abstractNumId="27">
    <w:nsid w:val="6A2342EC"/>
    <w:multiLevelType w:val="hybridMultilevel"/>
    <w:lvl w:ilvl="0">
      <w:lvlJc w:val="left"/>
      <w:lvlText w:val="%1"/>
      <w:numFmt w:val="lowerLetter"/>
      <w:start w:val="1"/>
    </w:lvl>
    <w:lvl w:ilvl="1">
      <w:lvlJc w:val="left"/>
      <w:lvlText w:val="(%2)"/>
      <w:numFmt w:val="lowerLetter"/>
      <w:start w:val="6"/>
    </w:lvl>
  </w:abstractNum>
  <w:abstractNum w:abstractNumId="28">
    <w:nsid w:val="2A487CB0"/>
    <w:multiLevelType w:val="hybridMultilevel"/>
    <w:lvl w:ilvl="0">
      <w:lvlJc w:val="left"/>
      <w:lvlText w:val="(%1)"/>
      <w:numFmt w:val="lowerLetter"/>
      <w:start w:val="6"/>
    </w:lvl>
    <w:lvl w:ilvl="1">
      <w:lvlJc w:val="left"/>
      <w:lvlText w:val="(%2)"/>
      <w:numFmt w:val="lowerLetter"/>
      <w:start w:val="7"/>
    </w:lvl>
  </w:abstractNum>
  <w:abstractNum w:abstractNumId="29">
    <w:nsid w:val="1D4ED43B"/>
    <w:multiLevelType w:val="hybridMultilevel"/>
    <w:lvl w:ilvl="0">
      <w:lvlJc w:val="left"/>
      <w:lvlText w:val="(%1)"/>
      <w:numFmt w:val="lowerLetter"/>
      <w:start w:val="10"/>
    </w:lvl>
  </w:abstractNum>
  <w:abstractNum w:abstractNumId="30">
    <w:nsid w:val="725A06FB"/>
    <w:multiLevelType w:val="hybridMultilevel"/>
    <w:lvl w:ilvl="0">
      <w:lvlJc w:val="left"/>
      <w:lvlText w:val="%1."/>
      <w:numFmt w:val="decimal"/>
      <w:start w:val="4"/>
    </w:lvl>
    <w:lvl w:ilvl="1">
      <w:lvlJc w:val="left"/>
      <w:lvlText w:val="(%2)"/>
      <w:numFmt w:val="lowerLetter"/>
      <w:start w:val="1"/>
    </w:lvl>
  </w:abstractNum>
  <w:abstractNum w:abstractNumId="31">
    <w:nsid w:val="2CD89A32"/>
    <w:multiLevelType w:val="hybridMultilevel"/>
    <w:lvl w:ilvl="0">
      <w:lvlJc w:val="left"/>
      <w:lvlText w:val="(%1)"/>
      <w:numFmt w:val="lowerLetter"/>
      <w:start w:val="3"/>
    </w:lvl>
    <w:lvl w:ilvl="1">
      <w:lvlJc w:val="left"/>
      <w:lvlText w:val="(%2)"/>
      <w:numFmt w:val="lowerRoman"/>
      <w:start w:val="1"/>
    </w:lvl>
  </w:abstractNum>
  <w:abstractNum w:abstractNumId="32">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7A6D8D3C"/>
    <w:multiLevelType w:val="hybridMultilevel"/>
    <w:lvl w:ilvl="0">
      <w:lvlJc w:val="left"/>
      <w:lvlText w:val="(%1)"/>
      <w:numFmt w:val="lowerLetter"/>
      <w:start w:val="4"/>
    </w:lvl>
  </w:abstractNum>
  <w:abstractNum w:abstractNumId="34">
    <w:nsid w:val="4B588F54"/>
    <w:multiLevelType w:val="hybridMultilevel"/>
    <w:lvl w:ilvl="0">
      <w:lvlJc w:val="left"/>
      <w:lvlText w:val="(%1)"/>
      <w:numFmt w:val="lowerLetter"/>
      <w:start w:val="7"/>
    </w:lvl>
  </w:abstractNum>
  <w:abstractNum w:abstractNumId="35">
    <w:nsid w:val="542289EC"/>
    <w:multiLevelType w:val="hybridMultilevel"/>
    <w:lvl w:ilvl="0">
      <w:lvlJc w:val="left"/>
      <w:lvlText w:val="%1"/>
      <w:numFmt w:val="lowerLetter"/>
      <w:start w:val="1"/>
    </w:lvl>
    <w:lvl w:ilvl="1">
      <w:lvlJc w:val="left"/>
      <w:lvlText w:val="(%2)"/>
      <w:numFmt w:val="lowerLetter"/>
      <w:start w:val="8"/>
    </w:lvl>
  </w:abstractNum>
  <w:abstractNum w:abstractNumId="36">
    <w:nsid w:val="6DE91B18"/>
    <w:multiLevelType w:val="hybridMultilevel"/>
    <w:lvl w:ilvl="0">
      <w:lvlJc w:val="left"/>
      <w:lvlText w:val="(%1)"/>
      <w:numFmt w:val="lowerLetter"/>
      <w:start w:val="9"/>
    </w:lvl>
    <w:lvl w:ilvl="1">
      <w:lvlJc w:val="left"/>
      <w:lvlText w:val="%2"/>
      <w:numFmt w:val="lowerLetter"/>
      <w:start w:val="1"/>
    </w:lvl>
  </w:abstractNum>
  <w:abstractNum w:abstractNumId="37">
    <w:nsid w:val="38437FDB"/>
    <w:multiLevelType w:val="hybridMultilevel"/>
    <w:lvl w:ilvl="0">
      <w:lvlJc w:val="left"/>
      <w:lvlText w:val="(%1)"/>
      <w:numFmt w:val="lowerLetter"/>
      <w:start w:val="10"/>
    </w:lvl>
  </w:abstractNum>
  <w:abstractNum w:abstractNumId="38">
    <w:nsid w:val="7644A45C"/>
    <w:multiLevelType w:val="hybridMultilevel"/>
    <w:lvl w:ilvl="0">
      <w:lvlJc w:val="left"/>
      <w:lvlText w:val="%1."/>
      <w:numFmt w:val="decimal"/>
      <w:start w:val="6"/>
    </w:lvl>
    <w:lvl w:ilvl="1">
      <w:lvlJc w:val="left"/>
      <w:lvlText w:val="(%2)"/>
      <w:numFmt w:val="lowerLetter"/>
      <w:start w:val="1"/>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lowerLetter"/>
      <w:start w:val="6"/>
    </w:lvl>
    <w:lvl w:ilvl="1">
      <w:lvlJc w:val="left"/>
      <w:lvlText w:val="(%2)"/>
      <w:numFmt w:val="lowerRoman"/>
      <w:start w:val="1"/>
    </w:lvl>
  </w:abstractNum>
  <w:abstractNum w:abstractNumId="41">
    <w:nsid w:val="579478FE"/>
    <w:multiLevelType w:val="hybridMultilevel"/>
    <w:lvl w:ilvl="0">
      <w:lvlJc w:val="left"/>
      <w:lvlText w:val="(%1)"/>
      <w:numFmt w:val="lowerLetter"/>
      <w:start w:val="11"/>
    </w:lvl>
  </w:abstractNum>
  <w:abstractNum w:abstractNumId="42">
    <w:nsid w:val="749ABB43"/>
    <w:multiLevelType w:val="hybridMultilevel"/>
    <w:lvl w:ilvl="0">
      <w:lvlJc w:val="left"/>
      <w:lvlText w:val="%1."/>
      <w:numFmt w:val="decimal"/>
      <w:start w:val="8"/>
    </w:lvl>
    <w:lvl w:ilvl="1">
      <w:lvlJc w:val="left"/>
      <w:lvlText w:val="(%2)"/>
      <w:numFmt w:val="lowerLetter"/>
      <w:start w:val="1"/>
    </w:lvl>
  </w:abstractNum>
  <w:abstractNum w:abstractNumId="43">
    <w:nsid w:val="3DC240FB"/>
    <w:multiLevelType w:val="hybridMultilevel"/>
    <w:lvl w:ilvl="0">
      <w:lvlJc w:val="left"/>
      <w:lvlText w:val="%1"/>
      <w:numFmt w:val="lowerLetter"/>
      <w:start w:val="1"/>
    </w:lvl>
    <w:lvl w:ilvl="1">
      <w:lvlJc w:val="left"/>
      <w:lvlText w:val="(%2)"/>
      <w:numFmt w:val="lowerLetter"/>
      <w:start w:val="2"/>
    </w:lvl>
  </w:abstractNum>
  <w:abstractNum w:abstractNumId="44">
    <w:nsid w:val="1BA026FA"/>
    <w:multiLevelType w:val="hybridMultilevel"/>
    <w:lvl w:ilvl="0">
      <w:lvlJc w:val="left"/>
      <w:lvlText w:val="(%1)"/>
      <w:numFmt w:val="lowerLetter"/>
      <w:start w:val="35"/>
    </w:lvl>
    <w:lvl w:ilvl="1">
      <w:lvlJc w:val="left"/>
      <w:lvlText w:val="%2"/>
      <w:numFmt w:val="lowerLetter"/>
      <w:start w:val="1"/>
    </w:lvl>
  </w:abstractNum>
  <w:abstractNum w:abstractNumId="45">
    <w:nsid w:val="79A1DEAA"/>
    <w:multiLevelType w:val="hybridMultilevel"/>
    <w:lvl w:ilvl="0">
      <w:lvlJc w:val="left"/>
      <w:lvlText w:val="(%1)"/>
      <w:numFmt w:val="lowerLetter"/>
      <w:start w:val="9"/>
    </w:lvl>
    <w:lvl w:ilvl="1">
      <w:lvlJc w:val="left"/>
      <w:lvlText w:val="%2"/>
      <w:numFmt w:val="lowerLetter"/>
      <w:start w:val="1"/>
    </w:lvl>
  </w:abstractNum>
  <w:abstractNum w:abstractNumId="46">
    <w:nsid w:val="75C6C33A"/>
    <w:multiLevelType w:val="hybridMultilevel"/>
    <w:lvl w:ilvl="0">
      <w:lvlJc w:val="left"/>
      <w:lvlText w:val="(%1)"/>
      <w:numFmt w:val="lowerLetter"/>
      <w:start w:val="3"/>
    </w:lvl>
  </w:abstractNum>
  <w:abstractNum w:abstractNumId="47">
    <w:nsid w:val="12E685FB"/>
    <w:multiLevelType w:val="hybridMultilevel"/>
    <w:lvl w:ilvl="0">
      <w:lvlJc w:val="left"/>
      <w:lvlText w:val="(%1)"/>
      <w:numFmt w:val="lowerLetter"/>
      <w:start w:val="5"/>
    </w:lvl>
  </w:abstractNum>
  <w:abstractNum w:abstractNumId="48">
    <w:nsid w:val="70C6A529"/>
    <w:multiLevelType w:val="hybridMultilevel"/>
    <w:lvl w:ilvl="0">
      <w:lvlJc w:val="left"/>
      <w:lvlText w:val="%1"/>
      <w:numFmt w:val="decimal"/>
      <w:start w:val="1"/>
    </w:lvl>
    <w:lvl w:ilvl="1">
      <w:lvlJc w:val="left"/>
      <w:lvlText w:val="(%2)"/>
      <w:numFmt w:val="lowerLetter"/>
      <w:start w:val="6"/>
    </w:lvl>
  </w:abstractNum>
  <w:abstractNum w:abstractNumId="49">
    <w:nsid w:val="520EEDD1"/>
    <w:multiLevelType w:val="hybridMultilevel"/>
    <w:lvl w:ilvl="0">
      <w:lvlJc w:val="left"/>
      <w:lvlText w:val="%1."/>
      <w:numFmt w:val="decimal"/>
      <w:start w:val="9"/>
    </w:lvl>
    <w:lvl w:ilvl="1">
      <w:lvlJc w:val="left"/>
      <w:lvlText w:val="%2"/>
      <w:numFmt w:val="lowerLetter"/>
      <w:start w:val="1"/>
    </w:lvl>
  </w:abstractNum>
  <w:abstractNum w:abstractNumId="50">
    <w:nsid w:val="374A3FE6"/>
    <w:multiLevelType w:val="hybridMultilevel"/>
    <w:lvl w:ilvl="0">
      <w:lvlJc w:val="left"/>
      <w:lvlText w:val="%1."/>
      <w:numFmt w:val="decimal"/>
      <w:start w:val="10"/>
    </w:lvl>
    <w:lvl w:ilvl="1">
      <w:lvlJc w:val="left"/>
      <w:lvlText w:val="(%2)"/>
      <w:numFmt w:val="lowerLetter"/>
      <w:start w:val="1"/>
    </w:lvl>
  </w:abstractNum>
  <w:abstractNum w:abstractNumId="51">
    <w:nsid w:val="4F4EF005"/>
    <w:multiLevelType w:val="hybridMultilevel"/>
    <w:lvl w:ilvl="0">
      <w:lvlJc w:val="left"/>
      <w:lvlText w:val="%1."/>
      <w:numFmt w:val="decimal"/>
      <w:start w:val="13"/>
    </w:lvl>
  </w:abstractNum>
  <w:abstractNum w:abstractNumId="52">
    <w:nsid w:val="23F9C13C"/>
    <w:multiLevelType w:val="hybridMultilevel"/>
    <w:lvl w:ilvl="0">
      <w:lvlJc w:val="left"/>
      <w:lvlText w:val="%1."/>
      <w:numFmt w:val="decimal"/>
      <w:start w:val="15"/>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2019-12-28T17:16:33Z</dcterms:created>
  <dcterms:modified xsi:type="dcterms:W3CDTF">2019-12-28T17:16:33Z</dcterms:modified>
</cp:coreProperties>
</file>