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333-252844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5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500" w:type="dxa"/>
            <w:vAlign w:val="bottom"/>
            <w:vMerge w:val="restart"/>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Amount</w:t>
            </w:r>
          </w:p>
        </w:tc>
        <w:tc>
          <w:tcPr>
            <w:tcW w:w="22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940" w:type="dxa"/>
            <w:vAlign w:val="bottom"/>
          </w:tcPr>
          <w:p>
            <w:pPr>
              <w:jc w:val="center"/>
              <w:ind w:right="6"/>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900" w:type="dxa"/>
            <w:vAlign w:val="bottom"/>
            <w:vMerge w:val="restart"/>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50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w:t>
            </w:r>
          </w:p>
        </w:tc>
        <w:tc>
          <w:tcPr>
            <w:tcW w:w="2260" w:type="dxa"/>
            <w:vAlign w:val="bottom"/>
            <w:vMerge w:val="continue"/>
          </w:tcPr>
          <w:p>
            <w:pPr>
              <w:spacing w:after="0"/>
              <w:rPr>
                <w:sz w:val="12"/>
                <w:szCs w:val="12"/>
                <w:color w:val="auto"/>
              </w:rPr>
            </w:pPr>
          </w:p>
        </w:tc>
        <w:tc>
          <w:tcPr>
            <w:tcW w:w="194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22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Offering Price Per Share</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9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Registration Fee (2)</w:t>
            </w:r>
          </w:p>
        </w:tc>
        <w:tc>
          <w:tcPr>
            <w:tcW w:w="0" w:type="dxa"/>
            <w:vAlign w:val="bottom"/>
          </w:tcPr>
          <w:p>
            <w:pPr>
              <w:spacing w:after="0"/>
              <w:rPr>
                <w:sz w:val="1"/>
                <w:szCs w:val="1"/>
                <w:color w:val="auto"/>
              </w:rPr>
            </w:pPr>
          </w:p>
        </w:tc>
      </w:tr>
      <w:tr>
        <w:trPr>
          <w:trHeight w:val="228"/>
        </w:trPr>
        <w:tc>
          <w:tcPr>
            <w:tcW w:w="3500" w:type="dxa"/>
            <w:vAlign w:val="bottom"/>
          </w:tcPr>
          <w:p>
            <w:pPr>
              <w:jc w:val="center"/>
              <w:ind w:right="302"/>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40" w:type="dxa"/>
            <w:vAlign w:val="bottom"/>
          </w:tcPr>
          <w:p>
            <w:pPr>
              <w:jc w:val="center"/>
              <w:ind w:right="6"/>
              <w:spacing w:after="0"/>
              <w:rPr>
                <w:sz w:val="20"/>
                <w:szCs w:val="20"/>
                <w:color w:val="auto"/>
              </w:rPr>
            </w:pPr>
            <w:r>
              <w:rPr>
                <w:rFonts w:ascii="Times New Roman" w:cs="Times New Roman" w:eastAsia="Times New Roman" w:hAnsi="Times New Roman"/>
                <w:sz w:val="18"/>
                <w:szCs w:val="18"/>
                <w:color w:val="auto"/>
                <w:w w:val="99"/>
              </w:rPr>
              <w:t>1,523,750</w:t>
            </w:r>
          </w:p>
        </w:tc>
        <w:tc>
          <w:tcPr>
            <w:tcW w:w="2260" w:type="dxa"/>
            <w:vAlign w:val="bottom"/>
          </w:tcPr>
          <w:p>
            <w:pPr>
              <w:jc w:val="center"/>
              <w:ind w:left="22"/>
              <w:spacing w:after="0"/>
              <w:rPr>
                <w:sz w:val="20"/>
                <w:szCs w:val="20"/>
                <w:color w:val="auto"/>
              </w:rPr>
            </w:pPr>
            <w:r>
              <w:rPr>
                <w:rFonts w:ascii="Times New Roman" w:cs="Times New Roman" w:eastAsia="Times New Roman" w:hAnsi="Times New Roman"/>
                <w:sz w:val="18"/>
                <w:szCs w:val="18"/>
                <w:color w:val="auto"/>
                <w:w w:val="96"/>
              </w:rPr>
              <w:t>$49.50</w:t>
            </w:r>
          </w:p>
        </w:tc>
        <w:tc>
          <w:tcPr>
            <w:tcW w:w="1940" w:type="dxa"/>
            <w:vAlign w:val="bottom"/>
          </w:tcPr>
          <w:p>
            <w:pPr>
              <w:jc w:val="center"/>
              <w:ind w:right="6"/>
              <w:spacing w:after="0"/>
              <w:rPr>
                <w:sz w:val="20"/>
                <w:szCs w:val="20"/>
                <w:color w:val="auto"/>
              </w:rPr>
            </w:pPr>
            <w:r>
              <w:rPr>
                <w:rFonts w:ascii="Times New Roman" w:cs="Times New Roman" w:eastAsia="Times New Roman" w:hAnsi="Times New Roman"/>
                <w:sz w:val="18"/>
                <w:szCs w:val="18"/>
                <w:color w:val="auto"/>
                <w:w w:val="99"/>
              </w:rPr>
              <w:t>$75,425,625</w:t>
            </w:r>
          </w:p>
        </w:tc>
        <w:tc>
          <w:tcPr>
            <w:tcW w:w="1900" w:type="dxa"/>
            <w:vAlign w:val="bottom"/>
          </w:tcPr>
          <w:p>
            <w:pPr>
              <w:jc w:val="center"/>
              <w:ind w:left="22"/>
              <w:spacing w:after="0"/>
              <w:rPr>
                <w:sz w:val="20"/>
                <w:szCs w:val="20"/>
                <w:color w:val="auto"/>
              </w:rPr>
            </w:pPr>
            <w:r>
              <w:rPr>
                <w:rFonts w:ascii="Times New Roman" w:cs="Times New Roman" w:eastAsia="Times New Roman" w:hAnsi="Times New Roman"/>
                <w:sz w:val="18"/>
                <w:szCs w:val="18"/>
                <w:color w:val="auto"/>
                <w:w w:val="96"/>
              </w:rPr>
              <w:t>$8,229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198,750 shares of common stock that may be purchased by the underwriters upon their exercise of the underwriters’ option.</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5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456(b) and Rule 457(r) under the Securities Act of 1933, as amended. Represents deferred payment of the registration fees in connection with the registrant's Registration Statement on Form S-3 (Registration No. 333-252844)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8,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1208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is a public offering of common stock of OptimizeRx Corporation. We are offering 1,325,000 shares of our common stock. Our common stock is listed on the Nasdaq Capital Market under the symbol “OPRX.” On February 8, 2021, the last reported sale price of our common stock on the Nasdaq Capital Market was $51.73 per share.</w:t>
      </w:r>
    </w:p>
    <w:p>
      <w:pPr>
        <w:spacing w:after="0" w:line="172" w:lineRule="exact"/>
        <w:rPr>
          <w:sz w:val="20"/>
          <w:szCs w:val="20"/>
          <w:color w:val="auto"/>
        </w:rPr>
      </w:pPr>
    </w:p>
    <w:p>
      <w:pPr>
        <w:jc w:val="both"/>
        <w:ind w:firstLine="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common stock involves a high degree of risk. See “Risk Factors” beginning on page </w:t>
      </w:r>
      <w:hyperlink w:anchor="page8">
        <w:r>
          <w:rPr>
            <w:rFonts w:ascii="Times New Roman" w:cs="Times New Roman" w:eastAsia="Times New Roman" w:hAnsi="Times New Roman"/>
            <w:sz w:val="18"/>
            <w:szCs w:val="18"/>
            <w:b w:val="1"/>
            <w:bCs w:val="1"/>
            <w:u w:val="single" w:color="auto"/>
            <w:color w:val="0000EE"/>
          </w:rPr>
          <w:t>S-3</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of this prospectus supplement and in the documents incorporated by reference in this prospectus supplement.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8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3,935,250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proceeds, before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61,652,250</w:t>
            </w:r>
          </w:p>
        </w:tc>
      </w:tr>
    </w:tbl>
    <w:p>
      <w:pPr>
        <w:spacing w:after="0" w:line="198" w:lineRule="exact"/>
        <w:rPr>
          <w:sz w:val="20"/>
          <w:szCs w:val="20"/>
          <w:color w:val="auto"/>
        </w:rPr>
      </w:pPr>
    </w:p>
    <w:p>
      <w:pPr>
        <w:ind w:left="400" w:hanging="392"/>
        <w:spacing w:after="0" w:line="282"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refer you to the section entitled “Underwriting” beginning on page </w:t>
      </w:r>
      <w:hyperlink w:anchor="page18">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prospectus supplement for a description of the compensation to be received by the underwriters.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granted to the underwriters the option to purchase up to 198,750 additional shares of our common stock from us at the public offering price, less underwriting discounts and commissions. The underwriters can exercise this option at any time within 30 days following the date of this prospectus supplement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to investors in book-entry form through the facilities of The Depository Trust Company on or about February 11,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43"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22"/>
          <w:szCs w:val="22"/>
          <w:b w:val="1"/>
          <w:bCs w:val="1"/>
          <w:color w:val="auto"/>
        </w:rPr>
        <w:t>William Blair</w:t>
      </w:r>
      <w:r>
        <w:rPr>
          <w:sz w:val="20"/>
          <w:szCs w:val="20"/>
          <w:color w:val="auto"/>
        </w:rPr>
        <w:tab/>
      </w:r>
      <w:r>
        <w:rPr>
          <w:rFonts w:ascii="Times New Roman" w:cs="Times New Roman" w:eastAsia="Times New Roman" w:hAnsi="Times New Roman"/>
          <w:sz w:val="21"/>
          <w:szCs w:val="21"/>
          <w:b w:val="1"/>
          <w:bCs w:val="1"/>
          <w:color w:val="auto"/>
        </w:rPr>
        <w:t>RBC Capital Markets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4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102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 Supplement</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Cautionary Statement Regarding Forward-Looking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Summary</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Use of Proceeds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S-5</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Dividend Policy</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S-5</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Capitalization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S-6</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Dilution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Underwriting</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S-13</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Legal Matters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Experts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Where You Can Find More Information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Incorporation of Certain Information by Reference</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0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w:t>
              </w:r>
            </w:hyperlink>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RISK FACTORS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CAUTIONARY STATEMENT REGARDING FORWARD-LOOKING STATEMENTS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USE OF PROCEEDS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THE SECURITIES WE MAY OFFER</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DESCRIPTION OF CAPITAL STOCK</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DEBT SECURITIES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DESCRIPTION OF WARRANTS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DESCRIPTION OF UNITS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SELLING STOCKHOLDERS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PLAN OF DISTRIBUTION</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LEGAL MATTERS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EXPERTS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WHERE YOU CAN FIND MORE INFORMATION</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34"/>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INCORPORATION OF CERTAIN INFORMATION BY REFERENCE</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February 8, 2021, including the documents incorporated by reference therein, provides more general information about us and our securities.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accompanying prospectus), the statement in the document having the later date modifies or supersedes the earlier statement.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different from that contained or incorporated by reference in this prospectus supplement, the accompanying prospectus or in any free writing prospectus prepared by us or on our behalf that we have authorized for use in connection with this offering. We do not take any responsibility for, nor can we provide any assurance as to the reliability of, any information other than the information contained or incorporated by reference in this prospectus supplement, the accompanying prospectus or any free writing prospectus prepared by us or on our behalf that we have authorized for use in connection with this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assume that the information contained or incorporated by reference in this prospectus supplement, the accompanying prospectus or in any free writing prospectus prepared by us or on our behalf that we have authorized for use in connection with this offering is accurate only as of the date of those respective documents. Our business, financial condition, liquidity, results of operations and prospects may have changed since those dates. You should read this prospectus supplement, the accompanying prospectus, and any free writing prospectus prepared by or on behalf of us that we have authorized for use in connection with this offering, together with the information we incorporate by reference herein and therein, including the additional information described in the sections of this prospectus supplement and the accompanying prospectus entitled “Where You Can Find More Information” and “Incorporation of Certain Information by Reference,”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investors outside of the United States, we have not done anything that would permit the offering, possession or distribution of this prospectus supplement or the accompanying prospectus in any jurisdiction where action for that purpose is required, other than in the United States. You are required to inform yourself about and to observe any restrictions relating to the offering, possession or the distribution of this prospectus supplement outside of the United States.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where the context requires otherwise, references in this prospectus supplement to “OptimizeRx,” “the Company,” “we,” “us” and “our” refer to OptimizeRx Corporation, a Nevada corporation, together with its subsidiaries.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or therein contain forward-looking statements within the meaning of Section 27A of the Securities Act of 1933, as amended, or the Securities Act, and Section 21E of the Securities Exchange Act of 1934, as amended, or the Exchange Act. Such statements contained in this prospectus supplement, the accompanying prospectus and the documents incorporated by reference herein or therein are based upon current expectations that involve risks and uncertainties. Any statements contained in this prospectus supplement, the accompanying prospectus and the documents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competition within the industries in which we operate, the timing, cost and success or failure of new product and service introductions and developments, our ability to attract and retain qualified personnel, maintaining our intellectual property rights and litigation involving intellectual property rights, legislative, regulatory and economic developments, and those factors discussed under “Risk Factors” in this prospectus supplement, in addition to the other information set forth in this prospectus supplement, the accompanying prospectus and the documents incorporated by reference herein or therein. We claim the protection of the safe harbor for forward-looking statements contained in the Private Securities Litigation Reform Act of 1995 for all forward-looking statements. All forward-looking statements contained in this prospectus supplement, the accompanying prospectus and the documents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supplement and the accompanying prospectus, our Annual Report on Form 10-K for the year ended December 31, 2019 and in our other filings with the SEC. You should carefully consider the risks described under “Risk Factors” in this prospectus supplement, in addition to the other information set forth in this prospectus supplement, the accompanying prospectus and the documents incorporated by reference herein or therein, before making an investment decision.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01840" cy="423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1840" cy="4230370"/>
                    </a:xfrm>
                    <a:prstGeom prst="rect">
                      <a:avLst/>
                    </a:prstGeom>
                    <a:noFill/>
                  </pic:spPr>
                </pic:pic>
              </a:graphicData>
            </a:graphic>
          </wp:anchor>
        </w:drawing>
        <w:t>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contained in other parts of this prospectus supplement the accompanying prospectus and the documents incorporated by reference herein or therein.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Investing in our securities involves risks that are described in this prospectus supplement under the heading “Risk Factors,” under the heading “Item 1A. Risk Factors” in our Annual Report on Form 10-K for the year ended December 31, 2019 and under similar headings in our other filings with the SEC.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Nevada corporation organized in September 2008. Our principal executive offices are located at 400 Water Street, Suite 200, Rochester, MI 48307, and our telephone number is (248) 651-6568. Our corporate website address is www.optimizerx.com. Information contained on or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01840" cy="519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1840" cy="5190490"/>
                    </a:xfrm>
                    <a:prstGeom prst="rect">
                      <a:avLst/>
                    </a:prstGeom>
                    <a:noFill/>
                  </pic:spPr>
                </pic:pic>
              </a:graphicData>
            </a:graphic>
          </wp:anchor>
        </w:drawing>
        <w:t>THE OFFERING</w:t>
      </w:r>
    </w:p>
    <w:p>
      <w:pPr>
        <w:sectPr>
          <w:pgSz w:w="11900" w:h="16838" w:orient="portrait"/>
          <w:cols w:equalWidth="0" w:num="1">
            <w:col w:w="11000"/>
          </w:cols>
          <w:pgMar w:left="420" w:top="995" w:right="4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to purchase additional shares from the Company</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1,325,000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from the date of this prospectus supplement to purchase up to 198,750 additional shares of our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16,397,226 shares, or 16,595,976 shares if the underwriters exercise their option to purchase additional shares from the Company in full.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$61.5 million, or $70.8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pacing w:after="0" w:line="187" w:lineRule="exact"/>
        <w:rPr>
          <w:sz w:val="20"/>
          <w:szCs w:val="20"/>
          <w:color w:val="auto"/>
        </w:rPr>
      </w:pPr>
    </w:p>
    <w:p>
      <w:pPr>
        <w:sectPr>
          <w:pgSz w:w="11900" w:h="16838" w:orient="portrait"/>
          <w:cols w:equalWidth="0" w:num="2">
            <w:col w:w="4380" w:space="120"/>
            <w:col w:w="6500"/>
          </w:cols>
          <w:pgMar w:left="420" w:top="995" w:right="479"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w:t>
      </w:r>
    </w:p>
    <w:p>
      <w:pPr>
        <w:spacing w:after="0" w:line="27" w:lineRule="exact"/>
        <w:rPr>
          <w:sz w:val="20"/>
          <w:szCs w:val="20"/>
          <w:color w:val="auto"/>
        </w:rPr>
      </w:pPr>
    </w:p>
    <w:p>
      <w:pPr>
        <w:ind w:left="4500" w:hanging="4490"/>
        <w:spacing w:after="0" w:line="260" w:lineRule="auto"/>
        <w:tabs>
          <w:tab w:leader="none" w:pos="44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 xml:space="preserve">page </w:t>
      </w:r>
      <w:hyperlink w:anchor="page8">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the documents referred to therein for a discussion of factors to consider carefully before deciding to invest in shares of our common stock.</w:t>
      </w:r>
    </w:p>
    <w:p>
      <w:pPr>
        <w:spacing w:after="0" w:line="181"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Nasdaq Capital Market symbol</w:t>
      </w:r>
      <w:r>
        <w:rPr>
          <w:sz w:val="20"/>
          <w:szCs w:val="20"/>
          <w:color w:val="auto"/>
        </w:rPr>
        <w:tab/>
      </w:r>
      <w:r>
        <w:rPr>
          <w:rFonts w:ascii="Times New Roman" w:cs="Times New Roman" w:eastAsia="Times New Roman" w:hAnsi="Times New Roman"/>
          <w:sz w:val="17"/>
          <w:szCs w:val="17"/>
          <w:color w:val="auto"/>
        </w:rPr>
        <w:t>OPRX</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15,072,226 shares of our common stock outstanding as of September 30, 2020 and excludes:</w:t>
      </w:r>
    </w:p>
    <w:p>
      <w:pPr>
        <w:spacing w:after="0" w:line="162" w:lineRule="exact"/>
        <w:rPr>
          <w:sz w:val="20"/>
          <w:szCs w:val="20"/>
          <w:color w:val="auto"/>
        </w:rPr>
      </w:pPr>
    </w:p>
    <w:p>
      <w:pPr>
        <w:ind w:left="1040" w:hanging="390"/>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376,342 shares of common stock reserved for future issuance under our 2013 Equity Incentive Plan, or the 2013 Plan, as of September 30, 2020;</w:t>
      </w:r>
    </w:p>
    <w:p>
      <w:pPr>
        <w:spacing w:after="0" w:line="161" w:lineRule="exact"/>
        <w:rPr>
          <w:rFonts w:ascii="Times New Roman" w:cs="Times New Roman" w:eastAsia="Times New Roman" w:hAnsi="Times New Roman"/>
          <w:sz w:val="18"/>
          <w:szCs w:val="18"/>
          <w:color w:val="auto"/>
        </w:rPr>
      </w:pPr>
    </w:p>
    <w:p>
      <w:pPr>
        <w:ind w:left="1040" w:hanging="390"/>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1,590,436 shares of common stock issuable upon the exercise of stock options outstanding as of September 30, 2020 under the 2013 Plan at a weighted average exercise price of $6.58; and</w:t>
      </w:r>
    </w:p>
    <w:p>
      <w:pPr>
        <w:spacing w:after="0" w:line="161"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111,186 shares of common stock issuable upon the vesting of restricted stock units outstanding as of September 30, 2020.</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by the underwriters of their option to purchase up to an additional 198,750 shares of our common stock from us and no exercise of the outstanding options described above.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You should carefully consider the risks and uncertainties described in our Annual Report on Form 10-K for the fiscal year ended December 31, 2019, which is incorporated by reference into this prospectus supplement, as revised or supplemented by our filings with the SEC since the filing of our most recent Annual Report on Form 10-K, and which may be amended, supplemented or superseded from time to time by other reports we file with the SEC in the future. You should also carefully consider the other information contained or incorporated by reference in this prospectus supplement, in the accompanying prospectus and in any free writing prospectus that we may authorize for use in connection with this offering before acquiring any shares of our common stock. These risks could materially affect our business, results of operations or financial condition and cause the value of our common stock to decline. In addition, the risks and uncertainties we have described are not the only ones facing our company. Additional risks and uncertainties not presently known to us or that we currently deem immaterial may also affect our business operations, and you could lose all or part of your investment. Please also read carefully the section entitled “Cautionary Statement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Company’s proceeds from this offering, and we may not use the proceeds effectively.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net proceeds from this offering and could spend the proceeds in ways that do not improve our results of operations or enhance the value of our common stock. Our failure to apply these funds effectively could have a material adverse effect on our business, delay the growth of our business, or cause the price of our common stock to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of common stock in this offering will experience immediate and substantial dilution in the book value of their investment. You may experience further dilution upon exercise of our outstanding options and warrants.</w:t>
      </w:r>
    </w:p>
    <w:p>
      <w:pPr>
        <w:spacing w:after="0" w:line="159" w:lineRule="exact"/>
        <w:rPr>
          <w:sz w:val="20"/>
          <w:szCs w:val="20"/>
          <w:color w:val="auto"/>
        </w:rPr>
      </w:pPr>
    </w:p>
    <w:p>
      <w:pPr>
        <w:jc w:val="both"/>
        <w:ind w:firstLine="847"/>
        <w:spacing w:after="0" w:line="256" w:lineRule="auto"/>
        <w:rPr>
          <w:sz w:val="20"/>
          <w:szCs w:val="20"/>
          <w:color w:val="auto"/>
        </w:rPr>
      </w:pPr>
      <w:r>
        <w:rPr>
          <w:rFonts w:ascii="Times New Roman" w:cs="Times New Roman" w:eastAsia="Times New Roman" w:hAnsi="Times New Roman"/>
          <w:sz w:val="18"/>
          <w:szCs w:val="18"/>
          <w:color w:val="auto"/>
        </w:rPr>
        <w:t>The public offering price per share of common stock in this offering is substantially higher than the net tangible book value per share of our common stock before giving effect to this offering. Accordingly, if you purchase common stock in this offering, you will incur immediate substantial dilution of approximately $44.60 per share, representing the difference between the public offering price per share of common stock and our pro forma as adjusted net tangible book value as of September 30, 2020. In addition, if our outstanding stock options are exercised, you could experience further dilution. For a further description of the dilution that you will experience immediately after this offering, see the section in this prospectus supplement entitled “Dilution.”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securities in any other offering at a price per share that is equal to or greater than the price per share paid by investors in this offering, and investors purchasing shares of our common stock or other securities in the future could have rights superior to existing shareholders, including investors who purchase shares of common stock in this offering. The price per share at which we sell additional shares of our common stock or securities convertible into common stock in future transactions may be higher or lower than the price per share in this offering.</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currently do not have any immediate arrangements, commitments or understandings regarding any future acquisitions, as part of our strategy for growth, we may continue to explore acquisitions or strategic alliances, which may not be completed or may not be ultimately beneficial to us. Acquisitions may pose risks to our operations, including:</w:t>
      </w:r>
    </w:p>
    <w:p>
      <w:pPr>
        <w:spacing w:after="0" w:line="176"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and increased costs in connection with the integration of the personnel, operations, technologies, or products of the acquired businesses;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anticipated increases in revenues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business relationships with suppliers and customers and those of the acquired company;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assets becoming impaired as a result of technical advancements or worse-than-expected performance by the acquired company;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associated with accounting for earn-outs in a given transaction;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markets in which we have no, or limited, prior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internal control over financial reporting before the acquiree’s complete integration into our control environment.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 connection with any acquisitions or investments we could:</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shareholders’ ownership percentages;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financing on unfavorable terms, or not be able to obtain financing on any terms at all;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acquired intangible assets or incur large and immediate write-offs;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cash that would otherwise be available to fund operations or for other purposes.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to successfully integrate any acquisitions in an efficient or timely manner may negatively impact our financial condition and operating results, or we may not be able to fully realize anticipated savings. In addition, our competitors could try to emulate our acquisition strategy, leading to greater competition for scarce acquisition targets and could lead to larger competitors if they succeed in emulating our strategy.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 discounts and commissions and estimated offering expenses payable by us, will be approximately $61.5 million, or $70.8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for the net proceeds to us from this offering. Accordingly, our management will have broad discretion in the timing and application of these proceeds.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Pending use of the proceeds from this offering as described above, we intend to invest the net proceeds of this offering in money market funds, certificates of deposit and corporate debt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in the foreseeable future, but intend to retain our capital resources for reinvestment in our business. Any future determination to pay cash dividends on our common stock will be at the discretion of our Board of Directors and will be dependent upon our financial condition, results of operations, capital requirements and other factors as the Board of Directors deems relevant.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capitalization as of September 30, 2020 on an actual basis and as adjusted to give effect to the sale of the common stock in this offering. The information set forth in the table below is only a summary and is qualified in its entirety by, and should be read in conjunction with, the consolidated financial statements, the notes thereto, and “Management’s Discussion and Analysis of Results of Operations and Financial Condition” in our Annual Report on Form 10-K for the fiscal year ended December 31, 2019 and our Quarterly Report on Form 10-Q for the period ending September 30, 2020, each of which is incorporated by reference in this prospectus supplement and the accompanying prospectus. See “Where You Can Find More Information” in this prospectus supplement.</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340" w:right="220" w:hanging="179"/>
        <w:spacing w:after="0" w:line="250" w:lineRule="auto"/>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 actual and as adjusted</w:t>
      </w:r>
    </w:p>
    <w:p>
      <w:pPr>
        <w:spacing w:after="0" w:line="1" w:lineRule="exact"/>
        <w:rPr>
          <w:sz w:val="20"/>
          <w:szCs w:val="20"/>
          <w:color w:val="auto"/>
        </w:rPr>
      </w:pPr>
    </w:p>
    <w:p>
      <w:pPr>
        <w:ind w:left="340" w:hanging="179"/>
        <w:spacing w:after="0" w:line="250" w:lineRule="auto"/>
        <w:rPr>
          <w:sz w:val="20"/>
          <w:szCs w:val="20"/>
          <w:color w:val="auto"/>
        </w:rPr>
      </w:pPr>
      <w:r>
        <w:rPr>
          <w:rFonts w:ascii="Times New Roman" w:cs="Times New Roman" w:eastAsia="Times New Roman" w:hAnsi="Times New Roman"/>
          <w:sz w:val="18"/>
          <w:szCs w:val="18"/>
          <w:color w:val="auto"/>
        </w:rPr>
        <w:t>Common stock, $0.001 par value, 500,000,000 shares authorized, 15,072,226 shares issued and outstanding, actual and 16,397,226 shares outstanding,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excludes: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60" w:type="dxa"/>
            <w:vAlign w:val="bottom"/>
            <w:gridSpan w:val="2"/>
          </w:tcPr>
          <w:p>
            <w:pPr>
              <w:spacing w:after="0"/>
              <w:rPr>
                <w:sz w:val="21"/>
                <w:szCs w:val="21"/>
                <w:color w:val="auto"/>
              </w:rPr>
            </w:pPr>
          </w:p>
        </w:tc>
      </w:tr>
      <w:tr>
        <w:trPr>
          <w:trHeight w:val="238"/>
        </w:trPr>
        <w:tc>
          <w:tcPr>
            <w:tcW w:w="2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73,534</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8"/>
        </w:trPr>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414"/>
        </w:trPr>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83,653</w:t>
            </w:r>
          </w:p>
        </w:tc>
        <w:tc>
          <w:tcPr>
            <w:tcW w:w="4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145,158</w:t>
            </w:r>
          </w:p>
        </w:tc>
        <w:tc>
          <w:tcPr>
            <w:tcW w:w="40" w:type="dxa"/>
            <w:vAlign w:val="bottom"/>
          </w:tcPr>
          <w:p>
            <w:pPr>
              <w:spacing w:after="0"/>
              <w:rPr>
                <w:sz w:val="18"/>
                <w:szCs w:val="18"/>
                <w:color w:val="auto"/>
              </w:rPr>
            </w:pPr>
          </w:p>
        </w:tc>
      </w:tr>
      <w:tr>
        <w:trPr>
          <w:trHeight w:val="248"/>
        </w:trPr>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(36,989)</w:t>
            </w:r>
          </w:p>
        </w:tc>
        <w:tc>
          <w:tcPr>
            <w:tcW w:w="4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(36,989)</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46,679</w:t>
            </w:r>
          </w:p>
        </w:tc>
        <w:tc>
          <w:tcPr>
            <w:tcW w:w="48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108,169</w:t>
            </w:r>
          </w:p>
        </w:tc>
        <w:tc>
          <w:tcPr>
            <w:tcW w:w="40" w:type="dxa"/>
            <w:vAlign w:val="bottom"/>
          </w:tcPr>
          <w:p>
            <w:pPr>
              <w:spacing w:after="0"/>
              <w:rPr>
                <w:sz w:val="21"/>
                <w:szCs w:val="21"/>
                <w:color w:val="auto"/>
              </w:rPr>
            </w:pPr>
          </w:p>
        </w:tc>
      </w:tr>
      <w:tr>
        <w:trPr>
          <w:trHeight w:val="21"/>
        </w:trPr>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108,169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8420" w:space="260"/>
            <w:col w:w="2560"/>
          </w:cols>
          <w:pgMar w:left="320" w:top="900" w:right="339" w:bottom="1440" w:gutter="0" w:footer="0" w:header="0"/>
          <w:type w:val="continuous"/>
        </w:sectPr>
      </w:pPr>
    </w:p>
    <w:p>
      <w:pPr>
        <w:spacing w:after="0" w:line="52" w:lineRule="exact"/>
        <w:rPr>
          <w:sz w:val="20"/>
          <w:szCs w:val="20"/>
          <w:color w:val="auto"/>
        </w:rPr>
      </w:pPr>
    </w:p>
    <w:p>
      <w:pPr>
        <w:ind w:left="1040" w:hanging="38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376,342 shares of common stock reserved for future issuance under the 2013 Plan, as of September 30, 2020;</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1,590,436 shares of common stock issuable upon the exercise of stock options outstanding as of September 30, 2020 under the 2013 Plan at a weighted average exercise price of $6.58;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111,186 shares of common stock issuable upon the vesting of restricted stock units outstanding as of September 30,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amounts in the table above assume no exercise by the underwriters of their option to purchase additional shares.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public offering price per share of our common stock and the as adjusted net tangible book value per share of common stock after this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tangible book value of our common stock as of September 30, 2020 was approximately $19.0 million, or approximately $1.26 per share. Net tangible book value per share represents the amount of our total tangible assets less total liabilities divided by the total number of shares of our common stock outstanding.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Dilution per share to new investors represents the difference between the amount per share paid by purchasers for our common stock in this offering and the net tangible book value per share of our common stock immediately following the completion of this offering.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shares of common stock offered by this prospectus supplement at a public offering price of $49.50 per share, and after deducting commissions and estimated aggregate offering expenses payable by us, our as adjusted net tangible book value as of September 30, 2020 would have been approximately $80.4 million, or approximately $4.90 per share. This represents an immediate increase in net tangible book value of approximately $3.64 per share to our existing stockholders and an immediate dilution in as adjusted net tangible book value of approximately $44.60 per share to purchasers of our common stock in this offering, as illustrated by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4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2020</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 our common stock in this offering</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2020 after giving effect to this offering</w:t>
            </w:r>
          </w:p>
        </w:tc>
        <w:tc>
          <w:tcPr>
            <w:tcW w:w="4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of our common stock, our as adjusted net tangible book value as of September 30, 2020 would have been $89.7 million, or $5.40 per share. This represents an immediate increase in as adjusted net tangible book value per share of $4.14 per share to existing stockholders, and an immediate dilution of $44.10 per share to investors participating in this offering.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above is based on 15,072,226 shares of our common stock outstanding and issued as of September 30, 2020, which excludes 376,342 shares of common stock reserved for future issuance under our 2013 Plan, 1,590,436 shares of common stock issuable upon the exercise of stock options outstanding as of September 30, 2020 under the 2013 Plan at a weighted average exercise price of $6.58 and 111,186 shares of common stock issuable upon the vesting of restricted stock units outstanding as of September 30, 2020.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and estate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80"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other pass-through entities. The tax treatment of a partner in a partnership or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or the IRS, all as in effect as of the date hereof. These authorities are subject to change and to differing interpretations, possibly with retroactive effect, which could result in U.S. federal income or estate tax consequences different from those summarized below. No ruling has been or is expected to be sought from the IRS with respect to the matters summarized below, and there can be no assurance that the IRS will not take a contrary position regarding the U.S. federal income or estate tax consequences of the acquisition, ownership, or disposition of our common stock, or that any such contrary position would not be sustained by a court.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discussion is not a complete analysis of all of the potential U.S. federal income and estate tax consequences relating to the acquisition, ownership, and disposition of our common stock by non-U.S. holders, nor does it address any U.S. federal gift or generation-skipping transfer tax consequences, any tax consequences arising under any state, local, or non-U.S. tax laws, the impact of any applicable tax treaty, any consequences under the Medicare contribution tax on net investment income, the alternative minimum tax, or any consequences under other U.S. federal tax laws. In addition, this discussion does not address tax consequences resulting from a non-U.S. holder’s particular circumstances or to non-U.S. holders that may be subject to special tax rules, including, without limitation:</w:t>
      </w:r>
    </w:p>
    <w:p>
      <w:pPr>
        <w:spacing w:after="0" w:line="187" w:lineRule="exact"/>
        <w:rPr>
          <w:sz w:val="20"/>
          <w:szCs w:val="20"/>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 agencies or instrumentalities thereof, or entities they control;</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their shareholders;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their shareholders;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grantor trusts or other entities that are treated as pass-through entities for U.S. federal income tax purposes, and their owners;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pension funds or other tax-exempt organizations;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employee stock options or otherwise as compensation;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brokers, or dealers in securities, commodities, or currencies;</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wash sale, “straddle,” “conversion transaction” or other risk reduction transaction or synthetic security;</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w:t>
      </w:r>
    </w:p>
    <w:p>
      <w:pPr>
        <w:spacing w:after="0" w:line="161" w:lineRule="exact"/>
        <w:rPr>
          <w:rFonts w:ascii="Times New Roman" w:cs="Times New Roman" w:eastAsia="Times New Roman" w:hAnsi="Times New Roman"/>
          <w:sz w:val="18"/>
          <w:szCs w:val="18"/>
          <w:color w:val="auto"/>
        </w:rPr>
      </w:pPr>
    </w:p>
    <w:p>
      <w:pPr>
        <w:ind w:left="1040" w:right="2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 financial statement;</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have owned, or are deemed to own or to have owned, more than 5% of our common stock (except to the extent specifically set forth below); or</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Prospective investors should consult their own tax advisors regarding the particular U.S. federal income, estate, gift, and generation-skipping transfer tax consequences to them of acquiring, owning, and disposing of our common stock, as well as any tax consequences arising under any state, local, or foreign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disclosure in this section addresses the consequences should our board of directors determine to make a distribution of cash or property with respect to our common stock (other than certain distributions of stock which may be made free of tax), or to effect a redemption that is treated for tax purposes as a distribution.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Any such excess allocated to a share of common stock will constitute a return of capital to the extent of the non-U.S. holder’s adjusted tax basis in that share of common stock, reducing that adjusted tax basis, but not below zero. After the non-U.S. holder’s adjusted tax basis in a share of common stock has been reduced to zero, any remaining excess allocated to that share of common stock will be treated as capital gain from the sale of that share of common stock, subject to the tax treatment described below under “Gain on Disposition of Common Stock.” Any such distributions will also be subject to the discussion below regarding backup withholding and foreign accounts. A non-U.S. holder’s adjusted tax basis in a share of common stock is generally the purchase price of the share, reduced by the amount of any distributions constituting a return of capital with respect to that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U.S., as defined under the applicable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 a portion of its earnings and profits for the taxable year that are effectively connected with a U.S. trade or business, as adjusted for certain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 non-U.S. holder generally will not be subject to U.S. federal income tax on any gain realized upon the sale, exchange, or other taxable disposition of our common stock unless:</w:t>
      </w:r>
    </w:p>
    <w:p>
      <w:pPr>
        <w:spacing w:after="0" w:line="162" w:lineRule="exact"/>
        <w:rPr>
          <w:sz w:val="20"/>
          <w:szCs w:val="20"/>
          <w:color w:val="auto"/>
        </w:rPr>
      </w:pPr>
    </w:p>
    <w:p>
      <w:pPr>
        <w:jc w:val="both"/>
        <w:ind w:left="1040" w:hanging="384"/>
        <w:spacing w:after="0" w:line="255"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1040" w:hanging="384"/>
        <w:spacing w:after="0" w:line="25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U.S.) provided that the non-U.S. holder has timely filed U.S. federal income tax returns reporting those losses; or</w:t>
      </w:r>
    </w:p>
    <w:p>
      <w:pPr>
        <w:spacing w:after="0" w:line="187"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 No assurance can be provided that our common stock will be regularly traded on an established securities market for purposes of the rule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rules relating to information reporting requirements and backup withholding with respect to payments of the proceeds from the disposition of shares of our common stock are as follows:</w:t>
      </w:r>
    </w:p>
    <w:p>
      <w:pPr>
        <w:spacing w:after="0" w:line="162" w:lineRule="exact"/>
        <w:rPr>
          <w:sz w:val="20"/>
          <w:szCs w:val="20"/>
          <w:color w:val="auto"/>
        </w:rPr>
      </w:pPr>
    </w:p>
    <w:p>
      <w:pPr>
        <w:jc w:val="both"/>
        <w:ind w:left="1040" w:hanging="384"/>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5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w:t>
      </w:r>
    </w:p>
    <w:p>
      <w:pPr>
        <w:spacing w:after="0" w:line="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foreign partnership is engaged in a U.S. trade or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Sections 1471 to 1474 of the Code (commonly referred to as the Foreign Account Tax Compliance Act, or FATCA) generally impose withholding tax on certain types of payments made to “foreign financial institutions” (as defined in the Code) and other non-U.S. entities unless those institutions and entities meet additional certification, information reporting and other requirements. FATCA generally imposes a 30% withholding tax on dividends on our common 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 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dividends on our common stock paid to a “non-financial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Withholding under FATCA generally will not be reduced or limited by bilateral income tax treaties. However, intergovernmental agreements between the U.S. and other countries with respect to the implementation of FATCA and non-U.S. laws, regulations and other authorities enacted or issued with respect to those intergovernmental agreements may modify the FATCA requirements described above.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Common stock owned or treated as owned at the time of death by an individual who is not a citizen or resident of the United States (as specifically defined for U.S. federal estate tax purposes) is considered a U.S. situs asset and will be included in the individual’s gross estate for U.S. federal estate tax purposes and, therefore, may be subject to U.S. federal estate tax, unless an applicable estate tax or other treaty between the United States and such individual’s country of residence provides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preceding discussion of U.S. federal tax considerations is for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William Blair &amp; Company, L.L.C. and RBC Capital Markets, LLC are acting as joint book-running managers and representatives of each of the underwriters named below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1,325,000</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$1.782 per share. After the initial offering of the shares, the public offering price, concession or any other term of the offering may be changed by the representatives.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Without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65,587,500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75,425,625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3,935,250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4,525,537.50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61,652,250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70,900,087.50</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 of the underwriters to pay for and accept delivery of the shares of common stock offered by this prospectus supplement are subject to the approval of certain legal matters by its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The underwriters reserve the right to withdraw, cancel or modify offers to the public and to reject orders in whole or in part.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$150,000. We also have agreed to reimburse the underwriters for up to $50,000 for their counsel. In accordance with FINRA Rule 5110, this reimbursed fee is deemed underwriting compensation for this offering.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Roth Capital Partners, LLC, or Roth, and Lake Street Capital Markets, LLC, or Lake Street, is acting as financial advisor in connection with this offering. Neither Roth nor Lake Street is acting as an underwriter in connection with this offering, and accordingly, neither Roth nor Lake Street is either purchasing shares or offering shares to the public in connection with this offering. Each of Roth and Lake Street will receive a fee of $157,410 for their respective services. The fees to Roth and Lake Street are not included in our calculation of the estimated expenses payable by us in connection with this offering, as the underwriters have agreed to reimburse us for such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additional shares at the public offering price less the underwriting discounts and commissions. If the underwriters exercise this option, each</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underwriter will be obligated, subject to conditions contained in the underwriting agreement, to purchase a number of additional shares proportionate to that underwriter’s initial amount reflected in the above table.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56"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certain of our current and future officers and our directors have agreed not to sell or transfer any shares of common stock or securities convertible into or exchangeable or exercisable for shares of common stock, for 90 days after the date of this prospectus supplement without first obtaining the written consent of William Blair &amp; Company, L.L.C. and RBC Capital Markets, LLC, on behalf of the underwriters. Specifically, we and these other persons have agreed, with certain exceptions, not to (i) offer, sell, contract to sell, announce the intention to sell, pledge, grant any option to purchase or otherwise dispose of any of our securities or any securities convertible into or exercisable or exchangeable for, or any rights to purchase or otherwise acquire our securities, (ii) request or demand that we file a registration statement related to the shares of common stock or (iii) publicly announce any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provision applies to shares of common stock and to securities convertible into or exchangeable or exercisable for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The underwriters and their affiliates are currently providing investment banking advice to us and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offer of shares may be made to the public in that Relevant Member State other than:</w:t>
      </w:r>
    </w:p>
    <w:p>
      <w:pPr>
        <w:spacing w:after="0" w:line="162" w:lineRule="exact"/>
        <w:rPr>
          <w:sz w:val="20"/>
          <w:szCs w:val="20"/>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2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w:t>
      </w:r>
    </w:p>
    <w:p>
      <w:pPr>
        <w:spacing w:after="0" w:line="27" w:lineRule="exact"/>
        <w:rPr>
          <w:rFonts w:ascii="Times New Roman" w:cs="Times New Roman" w:eastAsia="Times New Roman" w:hAnsi="Times New Roman"/>
          <w:sz w:val="18"/>
          <w:szCs w:val="18"/>
          <w:color w:val="auto"/>
        </w:rPr>
      </w:pPr>
    </w:p>
    <w:p>
      <w:pPr>
        <w:ind w:left="1040" w:hanging="384"/>
        <w:spacing w:after="0" w:line="26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legal persons (other than qualified investors as defined in the Prospectus Directive), as permitted under the Prospectus Directive, subject to obtaining the prior consent of the representatives; or</w:t>
      </w:r>
    </w:p>
    <w:p>
      <w:pPr>
        <w:spacing w:after="0" w:line="18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shall require the</w:t>
      </w:r>
    </w:p>
    <w:p>
      <w:pPr>
        <w:spacing w:after="0" w:line="27" w:lineRule="exact"/>
        <w:rPr>
          <w:rFonts w:ascii="Times New Roman" w:cs="Times New Roman" w:eastAsia="Times New Roman" w:hAnsi="Times New Roman"/>
          <w:sz w:val="18"/>
          <w:szCs w:val="18"/>
          <w:color w:val="auto"/>
        </w:rPr>
      </w:pPr>
    </w:p>
    <w:p>
      <w:pPr>
        <w:ind w:left="1040" w:hanging="384"/>
        <w:spacing w:after="0" w:line="26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the representatives and each of our affiliates will rely upon the truth and accuracy of the foregoing representations, acknowledgements and agreements.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common stock being offered in this offering will be passed upon for us by The Doney Law Firm, Las Vegas, Nevada. Certain other matters with respect to this offering will be passed upon for us by Morgan, Lewis &amp; Bockius LLP, Boston, Massachusetts. Certain legal matters related to this offering will be passed upon for the underwriters by DLA Piper LLP (US),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December 31, 2019, and for the year then ended have been incorporated by reference herein in reliance upon the report, of Marcum LLP, an independent registered public accounting firm, given on the authority of said firm as experts in auditing and accounting.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December 31, 2018 and for the year then ended have been incorporated by reference herein in reliance upon the report of Sadler Gibb &amp; Associates, LLC,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website is </w:t>
      </w:r>
      <w:r>
        <w:rPr>
          <w:rFonts w:ascii="Times New Roman" w:cs="Times New Roman" w:eastAsia="Times New Roman" w:hAnsi="Times New Roman"/>
          <w:sz w:val="18"/>
          <w:szCs w:val="18"/>
          <w:i w:val="1"/>
          <w:iCs w:val="1"/>
          <w:color w:val="auto"/>
        </w:rPr>
        <w:t>https://www.optimizerx.com</w:t>
      </w:r>
      <w:r>
        <w:rPr>
          <w:rFonts w:ascii="Times New Roman" w:cs="Times New Roman" w:eastAsia="Times New Roman" w:hAnsi="Times New Roman"/>
          <w:sz w:val="18"/>
          <w:szCs w:val="18"/>
          <w:color w:val="auto"/>
        </w:rPr>
        <w:t>. The information contained on, or that can be accessed through, our website is not a part of this prospectus supplement,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should not consider any information on, or accessible through, our website as part of this prospectus supplement. We have included our website address in this prospectus supplement solely as an inactive textual reference.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information we file with it, which means that we can disclose important information to you by referring you to those documents. The information incorporated by reference is considered to be part of this prospectus supplement, and information in documents that we file later with the SEC will automatically update and supersede information in this prospectus supplement. We incorporate by reference into this prospectus supplement the documents listed below and any future filings made by us with the SEC under Section 13(a), 13(c), 14 or 15(d) of the Exchange Act, except for information “furnished” under Items 2.02, 7.01 or 9.01 on Form 8-K or other information “furnished” to the SEC which is not deemed filed and not incorporated in this prospectus supplement, until the termination of the offering of securities described in this prospectus supplement. We hereby incorporate by reference the following documents:</w:t>
      </w:r>
    </w:p>
    <w:p>
      <w:pPr>
        <w:spacing w:after="0" w:line="18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SEC on March 26, 2020 (File No. 001-38543);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2020, June 30, 2020 and September 30, 2020, filed with the SEC on </w:t>
      </w:r>
      <w:hyperlink r:id="rId39">
        <w:r>
          <w:rPr>
            <w:rFonts w:ascii="Times New Roman" w:cs="Times New Roman" w:eastAsia="Times New Roman" w:hAnsi="Times New Roman"/>
            <w:sz w:val="18"/>
            <w:szCs w:val="18"/>
            <w:u w:val="single" w:color="auto"/>
            <w:color w:val="0000EE"/>
          </w:rPr>
          <w:t>May 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August 5, 2020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November 9,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 (File No. 001-38543);</w:t>
      </w:r>
    </w:p>
    <w:p>
      <w:pPr>
        <w:spacing w:after="0" w:line="161" w:lineRule="exact"/>
        <w:rPr>
          <w:rFonts w:ascii="Times New Roman" w:cs="Times New Roman" w:eastAsia="Times New Roman" w:hAnsi="Times New Roman"/>
          <w:sz w:val="18"/>
          <w:szCs w:val="18"/>
          <w:color w:val="0000EE"/>
        </w:rPr>
      </w:pPr>
    </w:p>
    <w:p>
      <w:pPr>
        <w:jc w:val="both"/>
        <w:ind w:left="980" w:hanging="324"/>
        <w:spacing w:after="0" w:line="255" w:lineRule="auto"/>
        <w:tabs>
          <w:tab w:leader="none" w:pos="98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January 29, 2020</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February 18, 2020</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2, 2020</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3, 2020</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March 6, 2020</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March 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10,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11,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16,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18,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25,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April 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April 6,</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48">
        <w:r>
          <w:rPr>
            <w:rFonts w:ascii="Times New Roman" w:cs="Times New Roman" w:eastAsia="Times New Roman" w:hAnsi="Times New Roman"/>
            <w:sz w:val="18"/>
            <w:szCs w:val="18"/>
            <w:u w:val="single" w:color="auto"/>
            <w:color w:val="0000EE"/>
          </w:rPr>
          <w:t>April 9,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49">
        <w:r>
          <w:rPr>
            <w:rFonts w:ascii="Times New Roman" w:cs="Times New Roman" w:eastAsia="Times New Roman" w:hAnsi="Times New Roman"/>
            <w:sz w:val="18"/>
            <w:szCs w:val="18"/>
            <w:u w:val="single" w:color="auto"/>
            <w:color w:val="0000EE"/>
          </w:rPr>
          <w:t>April 17,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0">
        <w:r>
          <w:rPr>
            <w:rFonts w:ascii="Times New Roman" w:cs="Times New Roman" w:eastAsia="Times New Roman" w:hAnsi="Times New Roman"/>
            <w:sz w:val="18"/>
            <w:szCs w:val="18"/>
            <w:u w:val="single" w:color="auto"/>
            <w:color w:val="0000EE"/>
          </w:rPr>
          <w:t>April 22,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1">
        <w:r>
          <w:rPr>
            <w:rFonts w:ascii="Times New Roman" w:cs="Times New Roman" w:eastAsia="Times New Roman" w:hAnsi="Times New Roman"/>
            <w:sz w:val="18"/>
            <w:szCs w:val="18"/>
            <w:u w:val="single" w:color="auto"/>
            <w:color w:val="0000EE"/>
          </w:rPr>
          <w:t>May 6,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2">
        <w:r>
          <w:rPr>
            <w:rFonts w:ascii="Times New Roman" w:cs="Times New Roman" w:eastAsia="Times New Roman" w:hAnsi="Times New Roman"/>
            <w:sz w:val="18"/>
            <w:szCs w:val="18"/>
            <w:u w:val="single" w:color="auto"/>
            <w:color w:val="0000EE"/>
          </w:rPr>
          <w:t>May 7,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3">
        <w:r>
          <w:rPr>
            <w:rFonts w:ascii="Times New Roman" w:cs="Times New Roman" w:eastAsia="Times New Roman" w:hAnsi="Times New Roman"/>
            <w:sz w:val="18"/>
            <w:szCs w:val="18"/>
            <w:u w:val="single" w:color="auto"/>
            <w:color w:val="0000EE"/>
          </w:rPr>
          <w:t>May 8,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4">
        <w:r>
          <w:rPr>
            <w:rFonts w:ascii="Times New Roman" w:cs="Times New Roman" w:eastAsia="Times New Roman" w:hAnsi="Times New Roman"/>
            <w:sz w:val="18"/>
            <w:szCs w:val="18"/>
            <w:u w:val="single" w:color="auto"/>
            <w:color w:val="0000EE"/>
          </w:rPr>
          <w:t>May 13,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5">
        <w:r>
          <w:rPr>
            <w:rFonts w:ascii="Times New Roman" w:cs="Times New Roman" w:eastAsia="Times New Roman" w:hAnsi="Times New Roman"/>
            <w:sz w:val="18"/>
            <w:szCs w:val="18"/>
            <w:u w:val="single" w:color="auto"/>
            <w:color w:val="0000EE"/>
          </w:rPr>
          <w:t>May 19, 2020</w:t>
        </w:r>
      </w:hyperlink>
      <w:hyperlink r:id="rId47">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6">
        <w:r>
          <w:rPr>
            <w:rFonts w:ascii="Times New Roman" w:cs="Times New Roman" w:eastAsia="Times New Roman" w:hAnsi="Times New Roman"/>
            <w:sz w:val="18"/>
            <w:szCs w:val="18"/>
            <w:u w:val="single" w:color="auto"/>
            <w:color w:val="0000EE"/>
          </w:rPr>
          <w:t>June 1, 2020</w:t>
        </w:r>
      </w:hyperlink>
      <w:hyperlink r:id="rId47">
        <w:r>
          <w:rPr>
            <w:rFonts w:ascii="Times New Roman" w:cs="Times New Roman" w:eastAsia="Times New Roman" w:hAnsi="Times New Roman"/>
            <w:sz w:val="18"/>
            <w:szCs w:val="18"/>
            <w:u w:val="single" w:color="auto"/>
            <w:color w:val="000000"/>
          </w:rPr>
          <w:t>,</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June 10,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June 26,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June 29,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July 7,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July 10,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July 22,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July 28,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August 20,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August 24,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September 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September 15,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September 21,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17,</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3,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7,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11,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January 6,</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 xml:space="preserve">January 15, 2021 </w:t>
        </w:r>
      </w:hyperlink>
      <w:hyperlink r:id="rId6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 xml:space="preserve">January 22, 2021 </w:t>
        </w:r>
      </w:hyperlink>
      <w:hyperlink r:id="rId67">
        <w:r>
          <w:rPr>
            <w:rFonts w:ascii="Times New Roman" w:cs="Times New Roman" w:eastAsia="Times New Roman" w:hAnsi="Times New Roman"/>
            <w:sz w:val="18"/>
            <w:szCs w:val="18"/>
            <w:color w:val="000000"/>
          </w:rPr>
          <w:t>(File No. 001-38543); and</w:t>
        </w:r>
      </w:hyperlink>
    </w:p>
    <w:p>
      <w:pPr>
        <w:spacing w:after="0" w:line="188"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capital stock contained in the Registration Statement on </w:t>
      </w:r>
      <w:hyperlink r:id="rId70">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June 19, 2018 (File No. 001-38543), as supplemented by the “Description of Capital Stock” found on page </w:t>
      </w:r>
      <w:hyperlink w:anchor="page11">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accompanying base prospectus and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(248) 651-6568</w:t>
      </w:r>
    </w:p>
    <w:p>
      <w:pPr>
        <w:spacing w:after="0" w:line="205" w:lineRule="exact"/>
        <w:rPr>
          <w:rFonts w:ascii="Times New Roman" w:cs="Times New Roman" w:eastAsia="Times New Roman" w:hAnsi="Times New Roman"/>
          <w:sz w:val="18"/>
          <w:szCs w:val="18"/>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Copies of these filings are also available, without charge, on the SEC’s website at www.sec.gov and on our website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as soon as reasonably practicable after they are filed electronically with the SEC. The information contained on our website is not a part of this prospectus.</w:t>
      </w:r>
    </w:p>
    <w:p>
      <w:pPr>
        <w:spacing w:after="0" w:line="36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1208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OptimizeRx Corporation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offer and sell any combination of the securities described in this prospectus, either individually or in combination, at prices and on terms described in one or more supplements to this prospectus. Selling stockholders to be named in a supplement to this prospectus may also from time to time offer and sell shares of our common stock, in one or more offerings.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offer securities as may be issuable upon conversion, redemption, repurchase, exchange or exercise of any securities registered hereunder, including any applicable anti-dilution provisions. We or any selling stockholder may sell the securities to or through underwriters and also to other purchasers or through agents, on a continuous or delayed basis. The names of any underwriters or agents, and any fees, conversions, or discount arrangements will be set forth in the applicable prospectus supplement accompanying this prospectus. The price to the public of such securities and the net proceeds that we or the selling stockholders expect to receive from such sale will also be set forth in a prospectus supplement. Unless the applicable prospectus supplement provides otherwise, we will not receive any proceeds from the sale of securities by selling stockholders.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a general description of the securities we may offer and the common stock the selling stockholders may offer. We will provide the specific terms of these offerings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 </w:t>
      </w:r>
      <w:r>
        <w:rPr>
          <w:rFonts w:ascii="Times New Roman" w:cs="Times New Roman" w:eastAsia="Times New Roman" w:hAnsi="Times New Roman"/>
          <w:sz w:val="18"/>
          <w:szCs w:val="18"/>
          <w:b w:val="1"/>
          <w:bCs w:val="1"/>
          <w:color w:val="auto"/>
        </w:rPr>
        <w:t>This prospectus may not be used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consummate a sale of securities unless it is accompanied by the applicable prospectus supplement.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“OPRX.”</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a high degree of risk. You should review carefully the risks and uncertainties described under the heading “Risk Factors” contained in this prospectus beginning on page 2 and any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1034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52"/>
        </w:trPr>
        <w:tc>
          <w:tcPr>
            <w:tcW w:w="103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RISK FACTORS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CAUTIONARY STATEMENT REGARDING FORWARD-LOOKING STATEMENTS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USE OF PROCEEDS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THE SECURITIES WE MAY OFFER</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DESCRIPTION OF CAPITAL STOCK</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DEBT SECURITIES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DESCRIPTION OF WARRANTS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DESCRIPTION OF UNITS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SELLING STOCKHOLDERS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PLAN OF DISTRIBUTION</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LEGAL MATTERS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EXPERTS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WHERE YOU CAN FIND MORE INFORMATION</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INCORPORATION OF CERTAIN INFORMATION BY REFERENCE</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may sell common stock, preferred stock, various series of debt securities, or warrants to purchase any of such securities, either individually or as units in combination with other securities described in this prospectus, in one or more offerings from time to time. Selling stockholders may offer and sell, in one or more offerings, shares of our common stock as described in this prospectus or the applicable prospectus supplement. There is no limit on the aggregate amount of the securities that we or selling stockholders may offer pursuant to the registration statement of which this prospectus is a part. This prospectus provides you with a general description of the securities we, and the common stock selling stockholders, may offer.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or selling stockholders offer common stock, under this prospectus, we will provide a prospectus supplement that will include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we urge you to carefully read this prospectus, the applicable prospectus supplement and any related free writing prospectuses we have authorized for use in connection with a specific offering, together with the additional information incorporated herein and therein by reference.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prospectus supplement or any related free writing prospectus, or the time of any sale of a security.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includes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under the heading “Where You Can Find More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stated, all references to “us,” “our,” “OPRX,” “OptimizeRx,” “we,” the “Company” and similar designations refer to OptimizeRx Corporation. Our principal executive offices are located at 400 Water Street, Suite 200, Rochester, MI 48307, and our telephone number is (248) 651-6568.</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230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7127875" cy="423037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or incorporated by reference elsewhere in this prospectus and does not contain all of the information that you should consider in making your investment decision. Before investing in our securities, you should carefully read this entire prospectus, the applicable prospectus supplement and any related free writing prospectus, including the information under the caption “Risk Factors” herein and the applicable prospectus supplement and under similar headings in the other documents that are incorporated by reference into this prospectus. You should also carefully read the other information incorporated by reference into this prospectus, including our financial statements and the related notes, and the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are a Nevada corporation organized in September 2008. Our principal executive offices are located at 400 Water Street, Suite 200, Rochester, MI 48307, and our telephone number is (248) 651-6568. Our corporate website address is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995"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carefully consider the risks described in the documents incorporated by reference in this prospectus and any applicable prospectus supplement and any related free writing prospectus, as well as other information we include or incorporate by reference into this prospectus and any applicable prospectus supplement, before making an investment decision. Our business, financial condition or results of operations could be materially adversely affected by any of these risks. The trading price of our securities could decline due to the occurrence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in our most recent annual report on Form 10-K and our quarterly reports on Form 10-Q, each on file with the SEC and any amendments thereto reflected in subsequent filings with the SEC, all of which are incorporated by reference into this prospectus in their entirety, together with other information in this prospectus, the documents incorporated by reference and any free writing prospectus that we may authorize for use in connection with a specific offering.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prospectus and the documents incorporated by reference herein and include statements regarding our intentions, beliefs or current expectations concerning, among other things, the impact on our business and the global economy as a result of the COVID-19 pandemic, our results of operations, financial condition, liquidity, prospects, growth, strategies and the industries in which we and our partners operate.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Important factors that could cause actual results to differ materially from those indicated in the forward-looking statements will be discussed in greater detail in any applicable prospectus supplement.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above is not a complete list of factors or events that could cause actual results to differ from our expectations, and it is not possible for us to predict all of them. Important factors that could cause actual results to differ materially from our expectations are more fully described in our other filings with the SEC, including in the “Risk Factors” section of our most recent Annual Report on Form 10-K and in subsequent Quarterly Reports on Form 10-Q, each of which are incorporated by reference in this prospectus, and in the “Risk Factors” section in the applicable prospectus supplement. See “Where You Can Find More Information.”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prospectus and in the documents incorporated by reference herein. In addition, even if our results of operations, financial condition and liquidity, and the development of the industry in which we operate, are consistent with the forward-looking statements contained in this prospectus and in the documents incorporated by reference herein, those results or developments may not be indicative of results or developments in subsequent periods.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Any forward-looking statement that we make in this prospectus and in the documents incorporated by reference herein speaks only as of the date of such statement, and we undertake no obligation to update any forward-looking statements or to publicly announce the results of any revisions to any of those statements to reflect future events or developments, except as required by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related free writing prospectuses we may authorize for use in connection with a specific offering, we currently intend to use the net proceeds from the sale of the securities offered by us hereunder, if any, for working capital and general corporate purposes, including selling, general and administrative expenses. As of the date of this prospectus, we cannot specify with certainty all of the particular uses for the net proceeds to us from the sale of the securities offered by us hereunder. We will set forth in the applicable prospectus supplement or free writing prospectus our intended use for the net proceeds received from the sale of any securities sold pursuant to the prospectus supplement or free writing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our common stock may be offered by selling stockholders under an applicable prospectus supplement to this prospectus. Unless the applicable prospectus supplement provides otherwise, we will not receive any of the proceeds from the sale or other disposition of shares of our common stock sold by selling stockholders in any offering by them.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warrants to purchase common stock or preferred stock, debt securities, in one or more series, as either senior or subordinated debt or as senior or subordinated convertible debt, units or any combination thereof, and any selling stockholder may offer shares of our common stock, from time to time in one or more offerings under this prospectus at prices and on terms to be determined at the time of any offering. This prospectus provides you with a general description of the securities we and any selling stockholder may offer. Each time we or any selling stockholder offer a type or series of securities under this prospectus, we will provide a prospectus supplement or free writing prospectus, or both, that will describe the specific amounts, prices and other important terms of the securities.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and does not purport to be complete. It is subject to, and qualified in its entirety by reference to, our Articles of Incorporation and our Amended and Restated Bylaws (our “Bylaws”), each of which are incorporated by reference as an exhibit to the Registration Statement on Form S-3 of which this prospectus is a part. The terms of these securities also may be affected by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Articles of Incorporation provides for authorized capital stock of 166,666,667 shares of common stock, par value $0.001 per share, and 10,000,000 shares of undesignated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number of shares constituting that series and the distinctive designation of that series, which may be by distinguishing number, letter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firstLine="656"/>
        <w:spacing w:after="0" w:line="282" w:lineRule="auto"/>
        <w:tabs>
          <w:tab w:leader="none" w:pos="9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voting rights, in addition to the voting rights provided by law, and, if so, the terms of such voting rights;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a sinking fund for the redemption or purchase of shares of that series, and, if so, the terms and amount of such sinking fund;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current directors and executive officers and expect to enter into a similar agreement with any new directors or executive officers. We also maintain customary directors’ and officers’ liability insurance policies that provide coverage to our directors and officers against loss arising from claims made by reason of breach of duty or other wrongful act and to us with respect to indemnification payments that we may make to directors and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Empire Stock Transfer, 1859 Whitney Mesa Dr, Henderson, NV 89014, telephone: (702) 974-1444.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“OPRX.”</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any debt securities we issue will be governed by a document called an “indenture,” the forms of which are filed as an exhibit to the registration statement of which this prospectus forms a part. We have summarized the general features of the debt securities to be governed by the indentures. The summary is not complete. An indenture is a contract between us and a financial institution acting as trustee on behalf of the holders of the debt securities, and is subject to and governed by the Trust Indenture Act of 1939, as amended, or the Trust Indenture Act. The trustee has two main roles. First, the trustee can enforce holders' rights against us if we default. There are some limitations on the extent to which the trustee acts on holders' behalf, described in the second paragraph under “Description of Debt Securities— Events of Default.” Second, the trustee performs certain administrative duties, such as sending interest and principal payments to holders.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issue any senior or subordinated debt securities under a senior or subordinated indenture, as applicable, that we will enter into with the trustee named in the subordinated indenture. We have filed a form of senior indenture and a form of subordinated indenture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The indentures will be qualified under the Trust Indenture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debt securities we may issue, including some or all of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transfer, conversion and/or exchange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legal defeasance or covenant defeasance;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debt securities on any securities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including those related to original issue discount, if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we do not cure this default within five days;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occurs in respect of debt securities of the series described in the prospectus supplement.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the trustee written notice that an Event of Default has occurred and remains uncured;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225" w:lineRule="exact"/>
        <w:rPr>
          <w:rFonts w:ascii="Times New Roman" w:cs="Times New Roman" w:eastAsia="Times New Roman" w:hAnsi="Times New Roman"/>
          <w:sz w:val="18"/>
          <w:szCs w:val="18"/>
          <w:color w:val="auto"/>
        </w:rPr>
      </w:pPr>
    </w:p>
    <w:p>
      <w:pPr>
        <w:ind w:left="980" w:hanging="324"/>
        <w:spacing w:after="0" w:line="184" w:lineRule="auto"/>
        <w:tabs>
          <w:tab w:leader="none" w:pos="980" w:val="left"/>
        </w:tabs>
        <w:numPr>
          <w:ilvl w:val="0"/>
          <w:numId w:val="1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holders of a majority in principal amount of the debt securities must not have given the trustee a direction inconsistent with the above notice during that 60-day period.</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62" w:lineRule="exact"/>
        <w:rPr>
          <w:sz w:val="20"/>
          <w:szCs w:val="20"/>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types of changes we may make to an indenture and the debt securities issued thereunder.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rate of interest on a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change of control has occurred, reduce any premium payable upon a change of control;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holders to sue for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may require the following approval:</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When taking a vote on proposed changes to the indenture and the debt securities, we expect to use the following rules to decide how much principal to attribute to a debt security:</w:t>
      </w:r>
    </w:p>
    <w:p>
      <w:pPr>
        <w:spacing w:after="0" w:line="162" w:lineRule="exact"/>
        <w:rPr>
          <w:sz w:val="20"/>
          <w:szCs w:val="20"/>
          <w:color w:val="auto"/>
        </w:rPr>
      </w:pPr>
    </w:p>
    <w:p>
      <w:pPr>
        <w:ind w:left="980" w:right="3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83" w:lineRule="exact"/>
        <w:rPr>
          <w:sz w:val="20"/>
          <w:szCs w:val="20"/>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certain documentation stating that all conditions precedent to covenant defeasance have been complied with.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76" w:lineRule="exact"/>
        <w:rPr>
          <w:sz w:val="20"/>
          <w:szCs w:val="20"/>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legal defeasance have been complied with.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“Senior Indebtedness” will be defined in an applicable indenture as the principal of (and premium, if any) and unpaid interest on:</w:t>
      </w:r>
    </w:p>
    <w:p>
      <w:pPr>
        <w:spacing w:after="0" w:line="225" w:lineRule="exact"/>
        <w:rPr>
          <w:sz w:val="20"/>
          <w:szCs w:val="20"/>
          <w:color w:val="auto"/>
        </w:rPr>
      </w:pPr>
    </w:p>
    <w:p>
      <w:pPr>
        <w:jc w:val="both"/>
        <w:ind w:left="980" w:hanging="324"/>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such indebtedness.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name the indenture trustee for each series of indenture securities in the related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shares of common stock or shares of preferred stock that may be purchased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that the warrants are issued with and the number of warrants issued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shares of preferred stock that may be purchased upon exercise of a warrant and the price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debt securities will describe the terms of those warrants, including the following:</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that the warrants are issued with and the number of warrants issued with each debt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debt securities issued with them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warrant and the price at which the debt securities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the warrant certificates or debt securities that may be issued upon exercise of the warrants will be issued in registered or bearer form;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book-entry procedures,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may issue, in one or more series, units consisting of common stock, preferred stock, or warrants for the purchase of common stock or preferred stock in any combination. We urge you to read the applicable prospectus supplement and any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form of unit agreement and any supplemental agreements that describe the terms of the series of units we are offering before the issuance of the related series of units.</w:t>
      </w:r>
    </w:p>
    <w:p>
      <w:pPr>
        <w:spacing w:after="0" w:line="1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Units may be issued under a unit agreement that we enter into with a unit agent. We will indicate the name and address of the unit agent, if applicable, in the prospectus supplement relating to the particular series of units being offered.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may describe:</w:t>
      </w:r>
    </w:p>
    <w:p>
      <w:pPr>
        <w:spacing w:after="0" w:line="225"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composing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Selling stockholders are persons or entities that, directly or indirectly, have acquired or will from time to time acquire from us, our securities. If the registration statement of which this prospectus is a part is used by any selling stockholder for the resale of any shares of our common stock registered thereunder, information about such selling stockholder, its beneficial ownership of our securities and its relationship with us will be set forth in a supplement to this prospectus, or in one or more documents incorporated by reference into this prospectus or the applicable prospectus supplement. The applicable prospectus supplement will also disclose whether any of the selling stockholders has held any position or office with, has been employed by or otherwise has had a material relationship with us during the three years prior to the date of the applicable prospectus supplement.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any selling stockholder may sell our securities from time to time:</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184" w:lineRule="auto"/>
        <w:tabs>
          <w:tab w:leader="none" w:pos="98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 block trades in which the broker-dealer will attempt to sell the shares as agent but may position and resell a portion of the block as principal to facilitate the transaction;</w:t>
      </w:r>
    </w:p>
    <w:p>
      <w:pPr>
        <w:spacing w:after="0" w:line="198" w:lineRule="exact"/>
        <w:rPr>
          <w:rFonts w:ascii="Times New Roman" w:cs="Times New Roman" w:eastAsia="Times New Roman" w:hAnsi="Times New Roman"/>
          <w:sz w:val="34"/>
          <w:szCs w:val="34"/>
          <w:color w:val="auto"/>
          <w:vertAlign w:val="subscript"/>
        </w:rPr>
      </w:pPr>
    </w:p>
    <w:p>
      <w:pPr>
        <w:ind w:left="980" w:hanging="324"/>
        <w:spacing w:after="0" w:line="184" w:lineRule="auto"/>
        <w:tabs>
          <w:tab w:leader="none" w:pos="98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 “at the market offerings,” within the meaning of Rule 415(a)(4) of the Securities Act, to or through a market maker or into an existing trading market, on an exchange or otherwise;</w:t>
      </w:r>
    </w:p>
    <w:p>
      <w:pPr>
        <w:spacing w:after="0" w:line="198" w:lineRule="exact"/>
        <w:rPr>
          <w:rFonts w:ascii="Times New Roman" w:cs="Times New Roman" w:eastAsia="Times New Roman" w:hAnsi="Times New Roman"/>
          <w:sz w:val="34"/>
          <w:szCs w:val="34"/>
          <w:color w:val="auto"/>
          <w:vertAlign w:val="subscript"/>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law.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or selling stockholders may directly solicit offers to purchase securities, or agents may be designated to solicit such offers. In any applicable prospectus supplement relating to such offering, we will name any agent that could be viewed as an underwriter under the Securities Act and describe any commissions that we or selling stockholders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our securities stock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with respect to a particular offering) will describe the terms of the offering of our securities, including the following:</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agent or any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stockholders,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of the securities or other consideration therefor, and the proceeds, if any,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 or any selling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commissions to be allowed or paid to the agent or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will be listed.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our securities in respect of which this prospectus is delivered, we or selling stockholders will enter into an underwriting agreement, sales agreement or other agreement with them at the time of sale to them, and we will set forth in the applicable prospectus supplement relating to such offering the names of the underwriters or agents and the terms of the related agreement with them.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the securities, and selling stockholders may sell shares of our common stock, to the public through underwriting syndicates represented by managing underwriters or by underwriters without a syndicate. In connection with the offering of securities, we or selling stockholders may grant to the underwriters an option to purchase additional securities with an additional underwriting commission, as may be set forth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a selling stockholder, or an underwriter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or selling stockholders may provide agents and underwriters with indemnification against civil liabilities, including liabilities under the Securities Act, or contribution with respect to payments that the agents or underwriters may make with respect to those liabilities.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stockholders may be deemed to be underwriters under the Securities Act in connection with the common stock they resell and any profits on the sales may be deemed to be underwriting discounts and commissions under the Securities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or selling stockholders will authorize underwriters or other persons acting as agents to solicit offers by certain institutions to purchase securities from us or selling stockholders pursuant to delayed delivery contracts providing for payment and delivery on the date stated in the applicable prospectus supplement. Each contract will be for an amount not less than, and the aggregate amount of securities sold pursuant to such contracts shall not be less nor more than, the respective amounts stated in the applicable prospectus supplement. Institutions with whom the contracts, when authorized, may be made include commercial and savings banks, insurance companies, pension funds, investment companies, educational and charitable institutions and other institutions. Delayed delivery contracts will not be subject to any conditions except that:</w:t>
      </w:r>
    </w:p>
    <w:p>
      <w:pPr>
        <w:spacing w:after="0" w:line="187" w:lineRule="exact"/>
        <w:rPr>
          <w:sz w:val="20"/>
          <w:szCs w:val="20"/>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selling stockholders or one or more of our respective affiliates in the ordinary course of business for which they receive compensation.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our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our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Rule 15c6-1 of the Securities Exchange Act of 1934, or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shares of common stock being offered by this prospectus will be passed upon for us by The Doney Law Firm, and for any underwriters or agents by counsel named in the applicable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OptimizeRx Corporation as of December 31, 2019, and for the year then ended have been incorporated by reference herein in reliance upon the report, of Marcum LLP, an independent registered public accounting firm, given on the authority of said firm as experts in auditing and accounting.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OptimizeRx Corporation as of December 31, 2018 and for the year then ended have been incorporated by reference herein in reliance upon the report of Sadler Gibb &amp; Associates, LLC,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Our corporate website address is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prospectus is an inactive textual reference only.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that we filed with the SEC under the Securities Act and does not contain all of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w:t>
      </w:r>
    </w:p>
    <w:p>
      <w:pPr>
        <w:spacing w:after="0" w:line="18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SEC on March 26, 2020 (File No. 001-38543);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auto"/>
          </w:rPr>
          <w:t xml:space="preserve">our Quarterly Reports on Form 10-Q for the quarters ended March 31, 2020, June 30, 2020 and September 30, 2020, filed with the SEC on </w:t>
        </w:r>
        <w:r>
          <w:rPr>
            <w:rFonts w:ascii="Times New Roman" w:cs="Times New Roman" w:eastAsia="Times New Roman" w:hAnsi="Times New Roman"/>
            <w:sz w:val="18"/>
            <w:szCs w:val="18"/>
            <w:u w:val="single" w:color="auto"/>
            <w:color w:val="0000EE"/>
          </w:rPr>
          <w:t>May 6,</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 xml:space="preserve">August 5, 2020 </w:t>
        </w:r>
      </w:hyperlink>
      <w:hyperlink r:id="rId3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November 9, 2020</w:t>
        </w:r>
      </w:hyperlink>
      <w:hyperlink r:id="rId39">
        <w:r>
          <w:rPr>
            <w:rFonts w:ascii="Times New Roman" w:cs="Times New Roman" w:eastAsia="Times New Roman" w:hAnsi="Times New Roman"/>
            <w:sz w:val="18"/>
            <w:szCs w:val="18"/>
            <w:color w:val="000000"/>
          </w:rPr>
          <w:t>, respectively (File No. 001-38543);</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55" w:lineRule="auto"/>
        <w:tabs>
          <w:tab w:leader="none" w:pos="660" w:val="left"/>
        </w:tabs>
        <w:numPr>
          <w:ilvl w:val="0"/>
          <w:numId w:val="3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8">
        <w:r>
          <w:rPr>
            <w:rFonts w:ascii="Times New Roman" w:cs="Times New Roman" w:eastAsia="Times New Roman" w:hAnsi="Times New Roman"/>
            <w:sz w:val="18"/>
            <w:szCs w:val="18"/>
            <w:u w:val="single" w:color="auto"/>
            <w:color w:val="0000EE"/>
          </w:rPr>
          <w:t xml:space="preserve">January 29, 2020, </w:t>
        </w:r>
      </w:hyperlink>
      <w:hyperlink r:id="rId99">
        <w:r>
          <w:rPr>
            <w:rFonts w:ascii="Times New Roman" w:cs="Times New Roman" w:eastAsia="Times New Roman" w:hAnsi="Times New Roman"/>
            <w:sz w:val="18"/>
            <w:szCs w:val="18"/>
            <w:u w:val="single" w:color="auto"/>
            <w:color w:val="auto"/>
          </w:rPr>
          <w:t xml:space="preserve">February </w:t>
        </w:r>
        <w:r>
          <w:rPr>
            <w:rFonts w:ascii="Times New Roman" w:cs="Times New Roman" w:eastAsia="Times New Roman" w:hAnsi="Times New Roman"/>
            <w:sz w:val="18"/>
            <w:szCs w:val="18"/>
            <w:u w:val="single" w:color="auto"/>
            <w:color w:val="0000EE"/>
          </w:rPr>
          <w:t xml:space="preserve">18, 2020, </w:t>
        </w:r>
      </w:hyperlink>
      <w:hyperlink r:id="rId100">
        <w:r>
          <w:rPr>
            <w:rFonts w:ascii="Times New Roman" w:cs="Times New Roman" w:eastAsia="Times New Roman" w:hAnsi="Times New Roman"/>
            <w:sz w:val="18"/>
            <w:szCs w:val="18"/>
            <w:u w:val="single" w:color="auto"/>
            <w:color w:val="auto"/>
          </w:rPr>
          <w:t xml:space="preserve">March </w:t>
        </w:r>
        <w:r>
          <w:rPr>
            <w:rFonts w:ascii="Times New Roman" w:cs="Times New Roman" w:eastAsia="Times New Roman" w:hAnsi="Times New Roman"/>
            <w:sz w:val="18"/>
            <w:szCs w:val="18"/>
            <w:u w:val="single" w:color="auto"/>
            <w:color w:val="0000EE"/>
          </w:rPr>
          <w:t xml:space="preserve">2, 2020, </w:t>
        </w:r>
      </w:hyperlink>
      <w:hyperlink r:id="rId101">
        <w:r>
          <w:rPr>
            <w:rFonts w:ascii="Times New Roman" w:cs="Times New Roman" w:eastAsia="Times New Roman" w:hAnsi="Times New Roman"/>
            <w:sz w:val="18"/>
            <w:szCs w:val="18"/>
            <w:u w:val="single" w:color="auto"/>
            <w:color w:val="auto"/>
          </w:rPr>
          <w:t xml:space="preserve">March </w:t>
        </w:r>
        <w:r>
          <w:rPr>
            <w:rFonts w:ascii="Times New Roman" w:cs="Times New Roman" w:eastAsia="Times New Roman" w:hAnsi="Times New Roman"/>
            <w:sz w:val="18"/>
            <w:szCs w:val="18"/>
            <w:u w:val="single" w:color="auto"/>
            <w:color w:val="0000EE"/>
          </w:rPr>
          <w:t xml:space="preserve">3, 2020, </w:t>
        </w:r>
      </w:hyperlink>
      <w:hyperlink r:id="rId102">
        <w:r>
          <w:rPr>
            <w:rFonts w:ascii="Times New Roman" w:cs="Times New Roman" w:eastAsia="Times New Roman" w:hAnsi="Times New Roman"/>
            <w:sz w:val="18"/>
            <w:szCs w:val="18"/>
            <w:u w:val="single" w:color="auto"/>
            <w:color w:val="auto"/>
          </w:rPr>
          <w:t xml:space="preserve">March </w:t>
        </w:r>
        <w:r>
          <w:rPr>
            <w:rFonts w:ascii="Times New Roman" w:cs="Times New Roman" w:eastAsia="Times New Roman" w:hAnsi="Times New Roman"/>
            <w:sz w:val="18"/>
            <w:szCs w:val="18"/>
            <w:u w:val="single" w:color="auto"/>
            <w:color w:val="0000EE"/>
          </w:rPr>
          <w:t>6, 2020,</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EE"/>
          </w:rPr>
          <w:t>March 9, 2020, March 10, 2020, March 11, 2020, March 12, 2020, March 16, 2020, March 18, 2020, March 25, 2020, April 2, 2020, April 6,</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 xml:space="preserve">2020, </w:t>
        </w:r>
      </w:hyperlink>
      <w:hyperlink r:id="rId104">
        <w:r>
          <w:rPr>
            <w:rFonts w:ascii="Times New Roman" w:cs="Times New Roman" w:eastAsia="Times New Roman" w:hAnsi="Times New Roman"/>
            <w:sz w:val="18"/>
            <w:szCs w:val="18"/>
            <w:u w:val="single" w:color="auto"/>
            <w:color w:val="0000EE"/>
          </w:rPr>
          <w:t xml:space="preserve">April 9, 2020, </w:t>
        </w:r>
      </w:hyperlink>
      <w:hyperlink r:id="rId105">
        <w:r>
          <w:rPr>
            <w:rFonts w:ascii="Times New Roman" w:cs="Times New Roman" w:eastAsia="Times New Roman" w:hAnsi="Times New Roman"/>
            <w:sz w:val="18"/>
            <w:szCs w:val="18"/>
            <w:u w:val="single" w:color="auto"/>
            <w:color w:val="0000EE"/>
          </w:rPr>
          <w:t xml:space="preserve">April 17, 2020, </w:t>
        </w:r>
      </w:hyperlink>
      <w:hyperlink r:id="rId106">
        <w:r>
          <w:rPr>
            <w:rFonts w:ascii="Times New Roman" w:cs="Times New Roman" w:eastAsia="Times New Roman" w:hAnsi="Times New Roman"/>
            <w:sz w:val="18"/>
            <w:szCs w:val="18"/>
            <w:u w:val="single" w:color="auto"/>
            <w:color w:val="0000EE"/>
          </w:rPr>
          <w:t xml:space="preserve">April 22, 2020, </w:t>
        </w:r>
      </w:hyperlink>
      <w:hyperlink r:id="rId107">
        <w:r>
          <w:rPr>
            <w:rFonts w:ascii="Times New Roman" w:cs="Times New Roman" w:eastAsia="Times New Roman" w:hAnsi="Times New Roman"/>
            <w:sz w:val="18"/>
            <w:szCs w:val="18"/>
            <w:u w:val="single" w:color="auto"/>
            <w:color w:val="0000EE"/>
          </w:rPr>
          <w:t xml:space="preserve">May 6, 2020, </w:t>
        </w:r>
      </w:hyperlink>
      <w:hyperlink r:id="rId108">
        <w:r>
          <w:rPr>
            <w:rFonts w:ascii="Times New Roman" w:cs="Times New Roman" w:eastAsia="Times New Roman" w:hAnsi="Times New Roman"/>
            <w:sz w:val="18"/>
            <w:szCs w:val="18"/>
            <w:u w:val="single" w:color="auto"/>
            <w:color w:val="0000EE"/>
          </w:rPr>
          <w:t xml:space="preserve">May 7, 2020, </w:t>
        </w:r>
      </w:hyperlink>
      <w:hyperlink r:id="rId109">
        <w:r>
          <w:rPr>
            <w:rFonts w:ascii="Times New Roman" w:cs="Times New Roman" w:eastAsia="Times New Roman" w:hAnsi="Times New Roman"/>
            <w:sz w:val="18"/>
            <w:szCs w:val="18"/>
            <w:u w:val="single" w:color="auto"/>
            <w:color w:val="0000EE"/>
          </w:rPr>
          <w:t xml:space="preserve">May 8, 2020, </w:t>
        </w:r>
      </w:hyperlink>
      <w:hyperlink r:id="rId110">
        <w:r>
          <w:rPr>
            <w:rFonts w:ascii="Times New Roman" w:cs="Times New Roman" w:eastAsia="Times New Roman" w:hAnsi="Times New Roman"/>
            <w:sz w:val="18"/>
            <w:szCs w:val="18"/>
            <w:u w:val="single" w:color="auto"/>
            <w:color w:val="0000EE"/>
          </w:rPr>
          <w:t xml:space="preserve">May 13, 2020, </w:t>
        </w:r>
      </w:hyperlink>
      <w:hyperlink r:id="rId111">
        <w:r>
          <w:rPr>
            <w:rFonts w:ascii="Times New Roman" w:cs="Times New Roman" w:eastAsia="Times New Roman" w:hAnsi="Times New Roman"/>
            <w:sz w:val="18"/>
            <w:szCs w:val="18"/>
            <w:u w:val="single" w:color="auto"/>
            <w:color w:val="0000EE"/>
          </w:rPr>
          <w:t>May 19, 2020</w:t>
        </w:r>
      </w:hyperlink>
      <w:hyperlink r:id="rId103">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112">
        <w:r>
          <w:rPr>
            <w:rFonts w:ascii="Times New Roman" w:cs="Times New Roman" w:eastAsia="Times New Roman" w:hAnsi="Times New Roman"/>
            <w:sz w:val="18"/>
            <w:szCs w:val="18"/>
            <w:u w:val="single" w:color="auto"/>
            <w:color w:val="0000EE"/>
          </w:rPr>
          <w:t>June 1, 2020,</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June 10,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4">
        <w:r>
          <w:rPr>
            <w:rFonts w:ascii="Times New Roman" w:cs="Times New Roman" w:eastAsia="Times New Roman" w:hAnsi="Times New Roman"/>
            <w:sz w:val="18"/>
            <w:szCs w:val="18"/>
            <w:u w:val="single" w:color="auto"/>
            <w:color w:val="0000EE"/>
          </w:rPr>
          <w:t xml:space="preserve">June 26, 2020, </w:t>
        </w:r>
      </w:hyperlink>
      <w:hyperlink r:id="rId115">
        <w:r>
          <w:rPr>
            <w:rFonts w:ascii="Times New Roman" w:cs="Times New Roman" w:eastAsia="Times New Roman" w:hAnsi="Times New Roman"/>
            <w:sz w:val="18"/>
            <w:szCs w:val="18"/>
            <w:u w:val="single" w:color="auto"/>
            <w:color w:val="0000EE"/>
          </w:rPr>
          <w:t xml:space="preserve">June 29, 2020, </w:t>
        </w:r>
      </w:hyperlink>
      <w:hyperlink r:id="rId116">
        <w:r>
          <w:rPr>
            <w:rFonts w:ascii="Times New Roman" w:cs="Times New Roman" w:eastAsia="Times New Roman" w:hAnsi="Times New Roman"/>
            <w:sz w:val="18"/>
            <w:szCs w:val="18"/>
            <w:u w:val="single" w:color="auto"/>
            <w:color w:val="0000EE"/>
          </w:rPr>
          <w:t xml:space="preserve">July 7, 2020, </w:t>
        </w:r>
      </w:hyperlink>
      <w:hyperlink r:id="rId117">
        <w:r>
          <w:rPr>
            <w:rFonts w:ascii="Times New Roman" w:cs="Times New Roman" w:eastAsia="Times New Roman" w:hAnsi="Times New Roman"/>
            <w:sz w:val="18"/>
            <w:szCs w:val="18"/>
            <w:u w:val="single" w:color="auto"/>
            <w:color w:val="0000EE"/>
          </w:rPr>
          <w:t xml:space="preserve">July 10, 2020, </w:t>
        </w:r>
      </w:hyperlink>
      <w:hyperlink r:id="rId118">
        <w:r>
          <w:rPr>
            <w:rFonts w:ascii="Times New Roman" w:cs="Times New Roman" w:eastAsia="Times New Roman" w:hAnsi="Times New Roman"/>
            <w:sz w:val="18"/>
            <w:szCs w:val="18"/>
            <w:u w:val="single" w:color="auto"/>
            <w:color w:val="0000EE"/>
          </w:rPr>
          <w:t xml:space="preserve">July 22, 2020, </w:t>
        </w:r>
      </w:hyperlink>
      <w:hyperlink r:id="rId119">
        <w:r>
          <w:rPr>
            <w:rFonts w:ascii="Times New Roman" w:cs="Times New Roman" w:eastAsia="Times New Roman" w:hAnsi="Times New Roman"/>
            <w:sz w:val="18"/>
            <w:szCs w:val="18"/>
            <w:u w:val="single" w:color="auto"/>
            <w:color w:val="0000EE"/>
          </w:rPr>
          <w:t xml:space="preserve">July 28, 2020, </w:t>
        </w:r>
      </w:hyperlink>
      <w:hyperlink r:id="rId120">
        <w:r>
          <w:rPr>
            <w:rFonts w:ascii="Times New Roman" w:cs="Times New Roman" w:eastAsia="Times New Roman" w:hAnsi="Times New Roman"/>
            <w:sz w:val="18"/>
            <w:szCs w:val="18"/>
            <w:u w:val="single" w:color="auto"/>
            <w:color w:val="0000EE"/>
          </w:rPr>
          <w:t xml:space="preserve">August 7, 2020, </w:t>
        </w:r>
      </w:hyperlink>
      <w:hyperlink r:id="rId121">
        <w:r>
          <w:rPr>
            <w:rFonts w:ascii="Times New Roman" w:cs="Times New Roman" w:eastAsia="Times New Roman" w:hAnsi="Times New Roman"/>
            <w:sz w:val="18"/>
            <w:szCs w:val="18"/>
            <w:u w:val="single" w:color="auto"/>
            <w:color w:val="0000EE"/>
          </w:rPr>
          <w:t>August 20, 2020,</w:t>
        </w:r>
      </w:hyperlink>
      <w:r>
        <w:rPr>
          <w:rFonts w:ascii="Times New Roman" w:cs="Times New Roman" w:eastAsia="Times New Roman" w:hAnsi="Times New Roman"/>
          <w:sz w:val="18"/>
          <w:szCs w:val="18"/>
          <w:color w:val="0000EE"/>
        </w:rPr>
        <w:t xml:space="preserve"> </w:t>
      </w:r>
      <w:hyperlink r:id="rId122">
        <w:r>
          <w:rPr>
            <w:rFonts w:ascii="Times New Roman" w:cs="Times New Roman" w:eastAsia="Times New Roman" w:hAnsi="Times New Roman"/>
            <w:sz w:val="18"/>
            <w:szCs w:val="18"/>
            <w:u w:val="single" w:color="auto"/>
            <w:color w:val="0000EE"/>
          </w:rPr>
          <w:t xml:space="preserve">August 24, 2020, </w:t>
        </w:r>
      </w:hyperlink>
      <w:hyperlink r:id="rId123">
        <w:r>
          <w:rPr>
            <w:rFonts w:ascii="Times New Roman" w:cs="Times New Roman" w:eastAsia="Times New Roman" w:hAnsi="Times New Roman"/>
            <w:sz w:val="18"/>
            <w:szCs w:val="18"/>
            <w:u w:val="single" w:color="auto"/>
            <w:color w:val="0000EE"/>
          </w:rPr>
          <w:t xml:space="preserve">September 9, 2020, </w:t>
        </w:r>
      </w:hyperlink>
      <w:hyperlink r:id="rId124">
        <w:r>
          <w:rPr>
            <w:rFonts w:ascii="Times New Roman" w:cs="Times New Roman" w:eastAsia="Times New Roman" w:hAnsi="Times New Roman"/>
            <w:sz w:val="18"/>
            <w:szCs w:val="18"/>
            <w:u w:val="single" w:color="auto"/>
            <w:color w:val="0000EE"/>
          </w:rPr>
          <w:t xml:space="preserve">September 15, 2020, </w:t>
        </w:r>
      </w:hyperlink>
      <w:hyperlink r:id="rId125">
        <w:r>
          <w:rPr>
            <w:rFonts w:ascii="Times New Roman" w:cs="Times New Roman" w:eastAsia="Times New Roman" w:hAnsi="Times New Roman"/>
            <w:sz w:val="18"/>
            <w:szCs w:val="18"/>
            <w:u w:val="single" w:color="auto"/>
            <w:color w:val="0000EE"/>
          </w:rPr>
          <w:t xml:space="preserve">September 21, 2020, </w:t>
        </w:r>
      </w:hyperlink>
      <w:hyperlink r:id="rId126">
        <w:r>
          <w:rPr>
            <w:rFonts w:ascii="Times New Roman" w:cs="Times New Roman" w:eastAsia="Times New Roman" w:hAnsi="Times New Roman"/>
            <w:sz w:val="18"/>
            <w:szCs w:val="18"/>
            <w:u w:val="single" w:color="auto"/>
            <w:color w:val="0000EE"/>
          </w:rPr>
          <w:t xml:space="preserve">November 12, 2020, November 12, 2020, </w:t>
        </w:r>
      </w:hyperlink>
      <w:hyperlink r:id="rId127">
        <w:r>
          <w:rPr>
            <w:rFonts w:ascii="Times New Roman" w:cs="Times New Roman" w:eastAsia="Times New Roman" w:hAnsi="Times New Roman"/>
            <w:sz w:val="18"/>
            <w:szCs w:val="18"/>
            <w:u w:val="single" w:color="auto"/>
            <w:color w:val="0000EE"/>
          </w:rPr>
          <w:t>November 17, 2020,</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 xml:space="preserve">November 19, 2020, November 19, 2020, </w:t>
        </w:r>
      </w:hyperlink>
      <w:hyperlink r:id="rId129">
        <w:r>
          <w:rPr>
            <w:rFonts w:ascii="Times New Roman" w:cs="Times New Roman" w:eastAsia="Times New Roman" w:hAnsi="Times New Roman"/>
            <w:sz w:val="18"/>
            <w:szCs w:val="18"/>
            <w:u w:val="single" w:color="auto"/>
            <w:color w:val="0000EE"/>
          </w:rPr>
          <w:t xml:space="preserve">December 3, 2020, </w:t>
        </w:r>
      </w:hyperlink>
      <w:hyperlink r:id="rId130">
        <w:r>
          <w:rPr>
            <w:rFonts w:ascii="Times New Roman" w:cs="Times New Roman" w:eastAsia="Times New Roman" w:hAnsi="Times New Roman"/>
            <w:sz w:val="18"/>
            <w:szCs w:val="18"/>
            <w:u w:val="single" w:color="auto"/>
            <w:color w:val="0000EE"/>
          </w:rPr>
          <w:t xml:space="preserve">December 7, 2020, </w:t>
        </w:r>
      </w:hyperlink>
      <w:hyperlink r:id="rId131">
        <w:r>
          <w:rPr>
            <w:rFonts w:ascii="Times New Roman" w:cs="Times New Roman" w:eastAsia="Times New Roman" w:hAnsi="Times New Roman"/>
            <w:sz w:val="18"/>
            <w:szCs w:val="18"/>
            <w:u w:val="single" w:color="auto"/>
            <w:color w:val="0000EE"/>
          </w:rPr>
          <w:t xml:space="preserve">December 9, 2020, </w:t>
        </w:r>
      </w:hyperlink>
      <w:hyperlink r:id="rId132">
        <w:r>
          <w:rPr>
            <w:rFonts w:ascii="Times New Roman" w:cs="Times New Roman" w:eastAsia="Times New Roman" w:hAnsi="Times New Roman"/>
            <w:sz w:val="18"/>
            <w:szCs w:val="18"/>
            <w:u w:val="single" w:color="auto"/>
            <w:color w:val="0000EE"/>
          </w:rPr>
          <w:t xml:space="preserve">December 11, 2020, </w:t>
        </w:r>
      </w:hyperlink>
      <w:hyperlink r:id="rId133">
        <w:r>
          <w:rPr>
            <w:rFonts w:ascii="Times New Roman" w:cs="Times New Roman" w:eastAsia="Times New Roman" w:hAnsi="Times New Roman"/>
            <w:sz w:val="18"/>
            <w:szCs w:val="18"/>
            <w:u w:val="single" w:color="auto"/>
            <w:color w:val="0000EE"/>
          </w:rPr>
          <w:t>January 6, 2021,</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January 15,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35">
        <w:r>
          <w:rPr>
            <w:rFonts w:ascii="Times New Roman" w:cs="Times New Roman" w:eastAsia="Times New Roman" w:hAnsi="Times New Roman"/>
            <w:sz w:val="18"/>
            <w:szCs w:val="18"/>
            <w:u w:val="single" w:color="auto"/>
            <w:color w:val="0000EE"/>
          </w:rPr>
          <w:t xml:space="preserve">January 22, 2021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001-38543); and</w:t>
      </w:r>
    </w:p>
    <w:p>
      <w:pPr>
        <w:spacing w:after="0" w:line="188"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capital stock contained in the Registration Statement on </w:t>
      </w:r>
      <w:hyperlink r:id="rId13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June 19, 2018 (File No. 001-38543), as supplemented by the “Description of Capital Stock” found on page 4 of this base prospectus and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(248) 651-6568</w:t>
      </w:r>
    </w:p>
    <w:p>
      <w:pPr>
        <w:spacing w:after="0" w:line="205" w:lineRule="exact"/>
        <w:rPr>
          <w:rFonts w:ascii="Times New Roman" w:cs="Times New Roman" w:eastAsia="Times New Roman" w:hAnsi="Times New Roman"/>
          <w:sz w:val="18"/>
          <w:szCs w:val="18"/>
          <w:color w:val="0000EE"/>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Copies of these filings are also available, without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as soon as reasonably practicable after they are filed electronically with the SEC. The information contained on our website is not a part of this prospectus.</w:t>
      </w:r>
    </w:p>
    <w:p>
      <w:pPr>
        <w:spacing w:after="0" w:line="36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1,325,000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1208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8">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16"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22"/>
          <w:szCs w:val="22"/>
          <w:b w:val="1"/>
          <w:bCs w:val="1"/>
          <w:color w:val="auto"/>
        </w:rPr>
        <w:t>William Blair</w:t>
      </w:r>
      <w:r>
        <w:rPr>
          <w:sz w:val="20"/>
          <w:szCs w:val="20"/>
          <w:color w:val="auto"/>
        </w:rPr>
        <w:tab/>
      </w:r>
      <w:r>
        <w:rPr>
          <w:rFonts w:ascii="Times New Roman" w:cs="Times New Roman" w:eastAsia="Times New Roman" w:hAnsi="Times New Roman"/>
          <w:sz w:val="21"/>
          <w:szCs w:val="21"/>
          <w:b w:val="1"/>
          <w:bCs w:val="1"/>
          <w:color w:val="auto"/>
        </w:rPr>
        <w:t>RBC Capital Markets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upperLetter"/>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2"/>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71" Type="http://schemas.openxmlformats.org/officeDocument/2006/relationships/image" Target="media/image31.png"/><Relationship Id="rId72" Type="http://schemas.openxmlformats.org/officeDocument/2006/relationships/image" Target="media/image32.jpeg"/><Relationship Id="rId73"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137" Type="http://schemas.openxmlformats.org/officeDocument/2006/relationships/image" Target="media/image58.png"/><Relationship Id="rId138" Type="http://schemas.openxmlformats.org/officeDocument/2006/relationships/image" Target="media/image59.jpeg"/><Relationship Id="rId139" Type="http://schemas.openxmlformats.org/officeDocument/2006/relationships/image" Target="media/image60.png"/><Relationship Id="rId38" Type="http://schemas.openxmlformats.org/officeDocument/2006/relationships/hyperlink" Target="http://www.sec.gov/Archives/edgar/data/1448431/000121390020007491/f10k2019_optimizerxcorp.htm" TargetMode="External"/><Relationship Id="rId39" Type="http://schemas.openxmlformats.org/officeDocument/2006/relationships/hyperlink" Target="http://www.sec.gov/Archives/edgar/data/1448431/000121390020011158/f10q0320_optimizerx.htm" TargetMode="External"/><Relationship Id="rId40" Type="http://schemas.openxmlformats.org/officeDocument/2006/relationships/hyperlink" Target="http://www.sec.gov/Archives/edgar/data/1448431/000121390020020375/f10q0620_optimizerxcorp.htm" TargetMode="External"/><Relationship Id="rId41" Type="http://schemas.openxmlformats.org/officeDocument/2006/relationships/hyperlink" Target="http://www.sec.gov/Archives/edgar/data/1448431/000121390020035891/f10q0920_optimizerx.htm" TargetMode="External"/><Relationship Id="rId42" Type="http://schemas.openxmlformats.org/officeDocument/2006/relationships/hyperlink" Target="http://www.sec.gov/Archives/edgar/data/1448431/000121390020002100/f8k012920_optimizerx.htm" TargetMode="External"/><Relationship Id="rId43" Type="http://schemas.openxmlformats.org/officeDocument/2006/relationships/hyperlink" Target="http://www.sec.gov/Archives/edgar/data/1448431/000121390020004131/f8k021820_optimizerxcorp.htm" TargetMode="External"/><Relationship Id="rId44" Type="http://schemas.openxmlformats.org/officeDocument/2006/relationships/hyperlink" Target="http://www.sec.gov/Archives/edgar/data/1448431/000121390020005137/ea119182-8k_optimizerx.htm" TargetMode="External"/><Relationship Id="rId45" Type="http://schemas.openxmlformats.org/officeDocument/2006/relationships/hyperlink" Target="http://www.sec.gov/Archives/edgar/data/1448431/000121390020005258/ea119241-8k_optimizerx.htm" TargetMode="External"/><Relationship Id="rId46" Type="http://schemas.openxmlformats.org/officeDocument/2006/relationships/hyperlink" Target="http://www.sec.gov/Archives/edgar/data/1448431/000121390020005596/ea119386-8k_optimizerxcorp.htm" TargetMode="External"/><Relationship Id="rId47" Type="http://schemas.openxmlformats.org/officeDocument/2006/relationships/hyperlink" Target="http://www.sec.gov/Archives/edgar/data/1448431/000121390020008624/ea120453-8k_optimizerx.htm" TargetMode="External"/><Relationship Id="rId48" Type="http://schemas.openxmlformats.org/officeDocument/2006/relationships/hyperlink" Target="http://www.sec.gov/Archives/edgar/data/1448431/000121390020008867/ea120541-8k_optimizerx.htm" TargetMode="External"/><Relationship Id="rId49" Type="http://schemas.openxmlformats.org/officeDocument/2006/relationships/hyperlink" Target="http://www.sec.gov/Archives/edgar/data/1448431/000121390020009488/ea120773-8k_optimizerx.htm" TargetMode="External"/><Relationship Id="rId50" Type="http://schemas.openxmlformats.org/officeDocument/2006/relationships/hyperlink" Target="http://www.sec.gov/Archives/edgar/data/1448431/000121390020009800/ea120942-8k_optimizerx.htm" TargetMode="External"/><Relationship Id="rId51" Type="http://schemas.openxmlformats.org/officeDocument/2006/relationships/hyperlink" Target="http://www.sec.gov/Archives/edgar/data/1448431/000121390020011117/ea121449-8k_optimizerxcorp.htm" TargetMode="External"/><Relationship Id="rId52" Type="http://schemas.openxmlformats.org/officeDocument/2006/relationships/hyperlink" Target="http://www.sec.gov/Archives/edgar/data/1448431/000121390020011286/ea121512-8k_optimizerx.htm" TargetMode="External"/><Relationship Id="rId53" Type="http://schemas.openxmlformats.org/officeDocument/2006/relationships/hyperlink" Target="http://www.sec.gov/Archives/edgar/data/1448431/000121390020011394/ea121560-8k_optimizerx.htm" TargetMode="External"/><Relationship Id="rId54" Type="http://schemas.openxmlformats.org/officeDocument/2006/relationships/hyperlink" Target="http://www.sec.gov/Archives/edgar/data/1448431/000121390020012040/ea121755-8k_optimizerx.htm" TargetMode="External"/><Relationship Id="rId55" Type="http://schemas.openxmlformats.org/officeDocument/2006/relationships/hyperlink" Target="http://www.sec.gov/Archives/edgar/data/1448431/000121390020012894/ea122102-8k_optimize.htm" TargetMode="External"/><Relationship Id="rId56" Type="http://schemas.openxmlformats.org/officeDocument/2006/relationships/hyperlink" Target="http://www.sec.gov/Archives/edgar/data/1448431/000121390020013773/ea122522-8k_optimizerx.htm" TargetMode="External"/><Relationship Id="rId57" Type="http://schemas.openxmlformats.org/officeDocument/2006/relationships/hyperlink" Target="http://www.sec.gov/Archives/edgar/data/1448431/000121390020014568/ea122879-8k_optimizerx.htm" TargetMode="External"/><Relationship Id="rId58" Type="http://schemas.openxmlformats.org/officeDocument/2006/relationships/hyperlink" Target="http://www.sec.gov/Archives/edgar/data/1448431/000121390020015991/ea123477-8k_optimizerx.htm" TargetMode="External"/><Relationship Id="rId59" Type="http://schemas.openxmlformats.org/officeDocument/2006/relationships/hyperlink" Target="http://www.sec.gov/Archives/edgar/data/1448431/000121390020016166/ea123605-8k_optimizerx.htm" TargetMode="External"/><Relationship Id="rId60" Type="http://schemas.openxmlformats.org/officeDocument/2006/relationships/hyperlink" Target="http://www.sec.gov/Archives/edgar/data/1448431/000121390020016870/ea123906-8k_optimizerxcorp.htm" TargetMode="External"/><Relationship Id="rId61" Type="http://schemas.openxmlformats.org/officeDocument/2006/relationships/hyperlink" Target="http://www.sec.gov/Archives/edgar/data/1448431/000121390020017235/ea124037-8k_optimizerxcorp.htm" TargetMode="External"/><Relationship Id="rId62" Type="http://schemas.openxmlformats.org/officeDocument/2006/relationships/hyperlink" Target="http://www.sec.gov/Archives/edgar/data/1448431/000121390020018238/ea124405-8k_optimizerx.htm" TargetMode="External"/><Relationship Id="rId63" Type="http://schemas.openxmlformats.org/officeDocument/2006/relationships/hyperlink" Target="http://www.sec.gov/Archives/edgar/data/1448431/000121390020018775/ea124573-8k_optimize.htm" TargetMode="External"/><Relationship Id="rId64" Type="http://schemas.openxmlformats.org/officeDocument/2006/relationships/hyperlink" Target="http://www.sec.gov/Archives/edgar/data/1448431/000121390020020802/ea125181-8k_optimizerxcorp.htm" TargetMode="External"/><Relationship Id="rId65" Type="http://schemas.openxmlformats.org/officeDocument/2006/relationships/hyperlink" Target="http://www.sec.gov/Archives/edgar/data/1448431/000121390020023057/ea125841-8k_optimizerx.htm" TargetMode="External"/><Relationship Id="rId66" Type="http://schemas.openxmlformats.org/officeDocument/2006/relationships/hyperlink" Target="http://www.sec.gov/Archives/edgar/data/1448431/000121390020037651/ea130082-8k_optimizerx.htm" TargetMode="External"/><Relationship Id="rId67" Type="http://schemas.openxmlformats.org/officeDocument/2006/relationships/hyperlink" Target="http://www.sec.gov/Archives/edgar/data/1448431/000121390021000670/ea132830-8k_optimizerx.htm" TargetMode="External"/><Relationship Id="rId68" Type="http://schemas.openxmlformats.org/officeDocument/2006/relationships/hyperlink" Target="http://www.sec.gov/Archives/edgar/data/1448431/000121390021002572/ea133463-8k_optimizerx.htm" TargetMode="External"/><Relationship Id="rId69" Type="http://schemas.openxmlformats.org/officeDocument/2006/relationships/hyperlink" Target="http://www.sec.gov/Archives/edgar/data/1448431/000121390021003675/ea133771-8k_optimizerx.htm" TargetMode="External"/><Relationship Id="rId70" Type="http://schemas.openxmlformats.org/officeDocument/2006/relationships/hyperlink" Target="http://www.sec.gov/Archives/edgar/data/1448431/000121390018007863/f8a12b061918_optimizerx.htm" TargetMode="External"/><Relationship Id="rId98" Type="http://schemas.openxmlformats.org/officeDocument/2006/relationships/hyperlink" Target="https://www.sec.gov/Archives/edgar/data/1448431/000121390020002100/f8k012920_optimizerx.htm" TargetMode="External"/><Relationship Id="rId99" Type="http://schemas.openxmlformats.org/officeDocument/2006/relationships/hyperlink" Target="https://www.sec.gov/Archives/edgar/data/1448431/000121390020004131/f8k021820_optimizerxcorp.htm" TargetMode="External"/><Relationship Id="rId100" Type="http://schemas.openxmlformats.org/officeDocument/2006/relationships/hyperlink" Target="https://www.sec.gov/Archives/edgar/data/1448431/000121390020005137/ea119182-8k_optimizerx.htm" TargetMode="External"/><Relationship Id="rId101" Type="http://schemas.openxmlformats.org/officeDocument/2006/relationships/hyperlink" Target="https://www.sec.gov/Archives/edgar/data/1448431/000121390020005258/ea119241-8k_optimizerx.htm" TargetMode="External"/><Relationship Id="rId102" Type="http://schemas.openxmlformats.org/officeDocument/2006/relationships/hyperlink" Target="https://www.sec.gov/Archives/edgar/data/1448431/000121390020005596/ea119386-8k_optimizerxcorp.htm" TargetMode="External"/><Relationship Id="rId103" Type="http://schemas.openxmlformats.org/officeDocument/2006/relationships/hyperlink" Target="https://www.sec.gov/Archives/edgar/data/1448431/000121390020008624/ea120453-8k_optimizerx.htm" TargetMode="External"/><Relationship Id="rId104" Type="http://schemas.openxmlformats.org/officeDocument/2006/relationships/hyperlink" Target="https://www.sec.gov/Archives/edgar/data/1448431/000121390020008867/ea120541-8k_optimizerx.htm" TargetMode="External"/><Relationship Id="rId105" Type="http://schemas.openxmlformats.org/officeDocument/2006/relationships/hyperlink" Target="https://www.sec.gov/Archives/edgar/data/1448431/000121390020009488/ea120773-8k_optimizerx.htm" TargetMode="External"/><Relationship Id="rId106" Type="http://schemas.openxmlformats.org/officeDocument/2006/relationships/hyperlink" Target="https://www.sec.gov/Archives/edgar/data/1448431/000121390020009800/ea120942-8k_optimizerx.htm" TargetMode="External"/><Relationship Id="rId107" Type="http://schemas.openxmlformats.org/officeDocument/2006/relationships/hyperlink" Target="https://www.sec.gov/Archives/edgar/data/1448431/000121390020011117/ea121449-8k_optimizerxcorp.htm" TargetMode="External"/><Relationship Id="rId108" Type="http://schemas.openxmlformats.org/officeDocument/2006/relationships/hyperlink" Target="https://www.sec.gov/Archives/edgar/data/1448431/000121390020011286/ea121512-8k_optimizerx.htm" TargetMode="External"/><Relationship Id="rId109" Type="http://schemas.openxmlformats.org/officeDocument/2006/relationships/hyperlink" Target="https://www.sec.gov/Archives/edgar/data/1448431/000121390020011394/ea121560-8k_optimizerx.htm" TargetMode="External"/><Relationship Id="rId110" Type="http://schemas.openxmlformats.org/officeDocument/2006/relationships/hyperlink" Target="https://www.sec.gov/Archives/edgar/data/1448431/000121390020012040/ea121755-8k_optimizerx.htm" TargetMode="External"/><Relationship Id="rId111" Type="http://schemas.openxmlformats.org/officeDocument/2006/relationships/hyperlink" Target="https://www.sec.gov/Archives/edgar/data/1448431/000121390020012894/ea122102-8k_optimize.htm" TargetMode="External"/><Relationship Id="rId112" Type="http://schemas.openxmlformats.org/officeDocument/2006/relationships/hyperlink" Target="https://www.sec.gov/Archives/edgar/data/1448431/000121390020013773/ea122522-8k_optimizerx.htm" TargetMode="External"/><Relationship Id="rId113" Type="http://schemas.openxmlformats.org/officeDocument/2006/relationships/hyperlink" Target="https://www.sec.gov/Archives/edgar/data/1448431/000121390020014568/ea122879-8k_optimizerx.htm" TargetMode="External"/><Relationship Id="rId114" Type="http://schemas.openxmlformats.org/officeDocument/2006/relationships/hyperlink" Target="https://www.sec.gov/Archives/edgar/data/1448431/000121390020015991/ea123477-8k_optimizerx.htm" TargetMode="External"/><Relationship Id="rId115" Type="http://schemas.openxmlformats.org/officeDocument/2006/relationships/hyperlink" Target="https://www.sec.gov/Archives/edgar/data/1448431/000121390020016166/ea123605-8k_optimizerx.htm" TargetMode="External"/><Relationship Id="rId116" Type="http://schemas.openxmlformats.org/officeDocument/2006/relationships/hyperlink" Target="https://www.sec.gov/Archives/edgar/data/1448431/000121390020016870/ea123906-8k_optimizerxcorp.htm" TargetMode="External"/><Relationship Id="rId117" Type="http://schemas.openxmlformats.org/officeDocument/2006/relationships/hyperlink" Target="https://www.sec.gov/Archives/edgar/data/1448431/000121390020017235/ea124037-8k_optimizerxcorp.htm" TargetMode="External"/><Relationship Id="rId118" Type="http://schemas.openxmlformats.org/officeDocument/2006/relationships/hyperlink" Target="https://www.sec.gov/Archives/edgar/data/1448431/000121390020018238/ea124405-8k_optimizerx.htm" TargetMode="External"/><Relationship Id="rId119" Type="http://schemas.openxmlformats.org/officeDocument/2006/relationships/hyperlink" Target="https://www.sec.gov/Archives/edgar/data/1448431/000121390020018775/ea124573-8k_optimize.htm" TargetMode="External"/><Relationship Id="rId120" Type="http://schemas.openxmlformats.org/officeDocument/2006/relationships/hyperlink" Target="https://www.sec.gov/Archives/edgar/data/1448431/000121390020020802/ea125181-8k_optimizerxcorp.htm" TargetMode="External"/><Relationship Id="rId121" Type="http://schemas.openxmlformats.org/officeDocument/2006/relationships/hyperlink" Target="https://www.sec.gov/Archives/edgar/data/1448431/000121390020023057/ea125841-8k_optimizerx.htm" TargetMode="External"/><Relationship Id="rId122" Type="http://schemas.openxmlformats.org/officeDocument/2006/relationships/hyperlink" Target="https://www.sec.gov/Archives/edgar/data/1448431/000121390020023388/ea125946-8k_optimizerx.htm" TargetMode="External"/><Relationship Id="rId123" Type="http://schemas.openxmlformats.org/officeDocument/2006/relationships/hyperlink" Target="https://www.sec.gov/Archives/edgar/data/1448431/000121390020025765/ea126625-8k_optimizerx.htm" TargetMode="External"/><Relationship Id="rId124" Type="http://schemas.openxmlformats.org/officeDocument/2006/relationships/hyperlink" Target="https://www.sec.gov/Archives/edgar/data/1448431/000121390020026656/ea126880-8k_optimizerxcorp.htm" TargetMode="External"/><Relationship Id="rId125" Type="http://schemas.openxmlformats.org/officeDocument/2006/relationships/hyperlink" Target="https://www.sec.gov/Archives/edgar/data/1448431/000121390020027474/ea127136-8k_optimizerx.htm" TargetMode="External"/><Relationship Id="rId126" Type="http://schemas.openxmlformats.org/officeDocument/2006/relationships/hyperlink" Target="https://www.sec.gov/Archives/edgar/data/1448431/000121390020036386/ea129686-8k_optimizerx.htm" TargetMode="External"/><Relationship Id="rId127" Type="http://schemas.openxmlformats.org/officeDocument/2006/relationships/hyperlink" Target="https://www.sec.gov/Archives/edgar/data/1448431/000121390020037651/ea130082-8k_optimizerx.htm" TargetMode="External"/><Relationship Id="rId128" Type="http://schemas.openxmlformats.org/officeDocument/2006/relationships/hyperlink" Target="https://www.sec.gov/Archives/edgar/data/1448431/000121390020038233/ea130240-8k_optimizerx.htm" TargetMode="External"/><Relationship Id="rId129" Type="http://schemas.openxmlformats.org/officeDocument/2006/relationships/hyperlink" Target="https://www.sec.gov/Archives/edgar/data/1448431/000121390020040647/ea130832-8k_optimizerx.htm" TargetMode="External"/><Relationship Id="rId130" Type="http://schemas.openxmlformats.org/officeDocument/2006/relationships/hyperlink" Target="https://www.sec.gov/Archives/edgar/data/1448431/000121390020041251/ea131150-8k_optimizerx.htm" TargetMode="External"/><Relationship Id="rId131" Type="http://schemas.openxmlformats.org/officeDocument/2006/relationships/hyperlink" Target="https://www.sec.gov/Archives/edgar/data/1448431/000121390020041717/ea131328-8k_optimizerx.htm" TargetMode="External"/><Relationship Id="rId132" Type="http://schemas.openxmlformats.org/officeDocument/2006/relationships/hyperlink" Target="https://www.sec.gov/Archives/edgar/data/1448431/000121390020042186/ea131499-8k_optimizerx.htm" TargetMode="External"/><Relationship Id="rId133" Type="http://schemas.openxmlformats.org/officeDocument/2006/relationships/hyperlink" Target="https://www.sec.gov/Archives/edgar/data/1448431/000121390021000670/ea132830-8k_optimizerx.htm" TargetMode="External"/><Relationship Id="rId134" Type="http://schemas.openxmlformats.org/officeDocument/2006/relationships/hyperlink" Target="https://www.sec.gov/Archives/edgar/data/1448431/000121390021002572/ea133463-8k_optimizerx.htm" TargetMode="External"/><Relationship Id="rId135" Type="http://schemas.openxmlformats.org/officeDocument/2006/relationships/hyperlink" Target="https://www.sec.gov/Archives/edgar/data/1448431/000121390021003675/ea133771-8k_optimizerx.htm" TargetMode="External"/><Relationship Id="rId136" Type="http://schemas.openxmlformats.org/officeDocument/2006/relationships/hyperlink" Target="https://www.sec.gov/Archives/edgar/data/1448431/000121390018007863/f8a12b061918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2021-02-10T15:45:24Z</dcterms:created>
  <dcterms:modified xsi:type="dcterms:W3CDTF">2021-02-10T15:45:24Z</dcterms:modified>
</cp:coreProperties>
</file>