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5"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Shad Stastney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Vicis Capital,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445 Park Avenue, Suite 1043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909-4600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January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93" w:lineRule="exact"/>
        <w:rPr>
          <w:sz w:val="20"/>
          <w:szCs w:val="20"/>
          <w:color w:val="auto"/>
        </w:rPr>
      </w:pPr>
    </w:p>
    <w:p>
      <w:pPr>
        <w:ind w:left="580" w:right="8720" w:hanging="572"/>
        <w:spacing w:after="0" w:line="580"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Vicis Capital, LLC</w:t>
      </w: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58"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-1039495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-1639570</wp:posOffset>
            </wp:positionV>
            <wp:extent cx="6886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OO — funds of its advisory client</w:t>
      </w:r>
    </w:p>
    <w:p>
      <w:pPr>
        <w:spacing w:after="0" w:line="23" w:lineRule="exact"/>
        <w:rPr>
          <w:sz w:val="20"/>
          <w:szCs w:val="20"/>
          <w:color w:val="auto"/>
        </w:rPr>
      </w:pPr>
    </w:p>
    <w:p>
      <w:pPr>
        <w:spacing w:after="0" w:line="271" w:lineRule="exact"/>
        <w:tabs>
          <w:tab w:leader="none" w:pos="560" w:val="left"/>
          <w:tab w:leader="none" w:pos="11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right="8200" w:hanging="572"/>
        <w:spacing w:after="0" w:line="59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84" w:lineRule="exact"/>
        <w:rPr>
          <w:rFonts w:ascii="Arial" w:cs="Arial" w:eastAsia="Arial" w:hAnsi="Arial"/>
          <w:sz w:val="18"/>
          <w:szCs w:val="18"/>
          <w:color w:val="auto"/>
        </w:rPr>
      </w:pPr>
    </w:p>
    <w:p>
      <w:pPr>
        <w:ind w:left="2880" w:hanging="576"/>
        <w:spacing w:after="0"/>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43"/>
        </w:trPr>
        <w:tc>
          <w:tcPr>
            <w:tcW w:w="182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NUMBER OF</w:t>
            </w:r>
          </w:p>
        </w:tc>
        <w:tc>
          <w:tcPr>
            <w:tcW w:w="36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95"/>
              </w:rPr>
              <w:t>SHARES</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8.</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36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30"/>
              <w:spacing w:after="0"/>
              <w:rPr>
                <w:sz w:val="20"/>
                <w:szCs w:val="20"/>
                <w:color w:val="auto"/>
              </w:rPr>
            </w:pPr>
            <w:r>
              <w:rPr>
                <w:rFonts w:ascii="Arial" w:cs="Arial" w:eastAsia="Arial" w:hAnsi="Arial"/>
                <w:sz w:val="18"/>
                <w:szCs w:val="18"/>
                <w:b w:val="1"/>
                <w:bCs w:val="1"/>
                <w:color w:val="auto"/>
              </w:rPr>
              <w:t>EACH</w:t>
            </w:r>
          </w:p>
        </w:tc>
        <w:tc>
          <w:tcPr>
            <w:tcW w:w="3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rPr>
              <w:t>REPORTING</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9.</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PERSON WITH</w:t>
            </w:r>
          </w:p>
        </w:tc>
        <w:tc>
          <w:tcPr>
            <w:tcW w:w="360" w:type="dxa"/>
            <w:vAlign w:val="bottom"/>
          </w:tcPr>
          <w:p>
            <w:pPr>
              <w:spacing w:after="0"/>
              <w:rPr>
                <w:sz w:val="20"/>
                <w:szCs w:val="20"/>
                <w:color w:val="auto"/>
              </w:rPr>
            </w:pPr>
          </w:p>
        </w:tc>
        <w:tc>
          <w:tcPr>
            <w:tcW w:w="8760" w:type="dxa"/>
            <w:vAlign w:val="bottom"/>
            <w:vMerge w:val="restart"/>
          </w:tcPr>
          <w:p>
            <w:pPr>
              <w:ind w:left="22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80" w:right="6680" w:hanging="576"/>
        <w:spacing w:after="0" w:line="528" w:lineRule="auto"/>
        <w:tabs>
          <w:tab w:leader="none" w:pos="2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580" w:right="6020" w:hanging="572"/>
        <w:spacing w:after="0" w:line="5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896,340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-1302385</wp:posOffset>
            </wp:positionV>
            <wp:extent cx="5788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4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7"/>
              </w:rPr>
              <w:t>12.</w:t>
            </w:r>
          </w:p>
        </w:tc>
        <w:tc>
          <w:tcPr>
            <w:tcW w:w="8740" w:type="dxa"/>
            <w:vAlign w:val="bottom"/>
            <w:tcBorders>
              <w:top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2260" w:type="dxa"/>
            <w:vAlign w:val="bottom"/>
            <w:tcBorders>
              <w:top w:val="single" w:sz="8" w:color="auto"/>
            </w:tcBorders>
          </w:tcPr>
          <w:p>
            <w:pPr>
              <w:ind w:left="2020"/>
              <w:spacing w:after="0" w:line="221" w:lineRule="exact"/>
              <w:rPr>
                <w:sz w:val="20"/>
                <w:szCs w:val="20"/>
                <w:color w:val="auto"/>
              </w:rPr>
            </w:pPr>
            <w:r>
              <w:rPr>
                <w:rFonts w:ascii="MS PGothic" w:cs="MS PGothic" w:eastAsia="MS PGothic" w:hAnsi="MS PGothic"/>
                <w:sz w:val="22"/>
                <w:szCs w:val="22"/>
                <w:color w:val="auto"/>
                <w:w w:val="99"/>
              </w:rPr>
              <w:t>☐</w:t>
            </w:r>
          </w:p>
        </w:tc>
        <w:tc>
          <w:tcPr>
            <w:tcW w:w="0" w:type="dxa"/>
            <w:vAlign w:val="bottom"/>
          </w:tcPr>
          <w:p>
            <w:pPr>
              <w:spacing w:after="0"/>
              <w:rPr>
                <w:sz w:val="1"/>
                <w:szCs w:val="1"/>
                <w:color w:val="auto"/>
              </w:rPr>
            </w:pPr>
          </w:p>
        </w:tc>
      </w:tr>
      <w:tr>
        <w:trPr>
          <w:trHeight w:val="134"/>
        </w:trPr>
        <w:tc>
          <w:tcPr>
            <w:tcW w:w="420" w:type="dxa"/>
            <w:vAlign w:val="bottom"/>
            <w:tcBorders>
              <w:bottom w:val="single" w:sz="8" w:color="auto"/>
            </w:tcBorders>
            <w:gridSpan w:val="2"/>
          </w:tcPr>
          <w:p>
            <w:pPr>
              <w:spacing w:after="0"/>
              <w:rPr>
                <w:sz w:val="11"/>
                <w:szCs w:val="11"/>
                <w:color w:val="auto"/>
              </w:rPr>
            </w:pPr>
          </w:p>
        </w:tc>
        <w:tc>
          <w:tcPr>
            <w:tcW w:w="87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w w:val="87"/>
              </w:rPr>
              <w:t>13.</w:t>
            </w:r>
          </w:p>
        </w:tc>
        <w:tc>
          <w:tcPr>
            <w:tcW w:w="8740" w:type="dxa"/>
            <w:vAlign w:val="bottom"/>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6.3%</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14.</w:t>
            </w:r>
          </w:p>
        </w:tc>
        <w:tc>
          <w:tcPr>
            <w:tcW w:w="8740" w:type="dxa"/>
            <w:vAlign w:val="bottom"/>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IA</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68401U105</w:t>
      </w:r>
    </w:p>
    <w:p>
      <w:pPr>
        <w:spacing w:after="0" w:line="200" w:lineRule="exact"/>
        <w:rPr>
          <w:sz w:val="20"/>
          <w:szCs w:val="20"/>
          <w:color w:val="auto"/>
        </w:rPr>
      </w:pPr>
    </w:p>
    <w:p>
      <w:pPr>
        <w:spacing w:after="0" w:line="309" w:lineRule="exact"/>
        <w:rPr>
          <w:sz w:val="20"/>
          <w:szCs w:val="20"/>
          <w:color w:val="auto"/>
        </w:rPr>
      </w:pPr>
    </w:p>
    <w:p>
      <w:pPr>
        <w:ind w:left="580" w:right="8720" w:hanging="572"/>
        <w:spacing w:after="0" w:line="62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SLS Holdings I, LLC</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980" w:hanging="391"/>
        <w:spacing w:after="0" w:line="207" w:lineRule="exact"/>
        <w:tabs>
          <w:tab w:leader="none" w:pos="9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5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-1039495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-1648460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WC</w:t>
      </w:r>
    </w:p>
    <w:p>
      <w:pPr>
        <w:spacing w:after="0" w:line="23" w:lineRule="exact"/>
        <w:rPr>
          <w:sz w:val="20"/>
          <w:szCs w:val="20"/>
          <w:color w:val="auto"/>
        </w:rPr>
      </w:pPr>
    </w:p>
    <w:p>
      <w:pPr>
        <w:spacing w:after="0" w:line="271" w:lineRule="exact"/>
        <w:tabs>
          <w:tab w:leader="none" w:pos="560" w:val="left"/>
          <w:tab w:leader="none" w:pos="11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right="8200" w:hanging="572"/>
        <w:spacing w:after="0" w:line="54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876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820" w:type="dxa"/>
            <w:vAlign w:val="bottom"/>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43"/>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rPr>
              <w:t>BENEFICIALLY</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8.</w:t>
            </w:r>
          </w:p>
        </w:tc>
        <w:tc>
          <w:tcPr>
            <w:tcW w:w="8760" w:type="dxa"/>
            <w:vAlign w:val="bottom"/>
          </w:tcPr>
          <w:p>
            <w:pPr>
              <w:ind w:left="260"/>
              <w:spacing w:after="0" w:line="19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36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3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94"/>
              </w:rPr>
              <w:t>PERSON</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9.</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360" w:type="dxa"/>
            <w:vAlign w:val="bottom"/>
          </w:tcPr>
          <w:p>
            <w:pPr>
              <w:spacing w:after="0"/>
              <w:rPr>
                <w:sz w:val="20"/>
                <w:szCs w:val="20"/>
                <w:color w:val="auto"/>
              </w:rPr>
            </w:pPr>
          </w:p>
        </w:tc>
        <w:tc>
          <w:tcPr>
            <w:tcW w:w="8760" w:type="dxa"/>
            <w:vAlign w:val="bottom"/>
            <w:vMerge w:val="restart"/>
          </w:tcPr>
          <w:p>
            <w:pPr>
              <w:ind w:left="22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80" w:right="6680" w:hanging="576"/>
        <w:spacing w:after="0" w:line="528" w:lineRule="auto"/>
        <w:tabs>
          <w:tab w:leader="none" w:pos="2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580" w:right="6020" w:hanging="572"/>
        <w:spacing w:after="0" w:line="415"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-1148080</wp:posOffset>
            </wp:positionV>
            <wp:extent cx="5788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52" w:lineRule="exact"/>
        <w:tabs>
          <w:tab w:leader="none" w:pos="560" w:val="left"/>
          <w:tab w:leader="none" w:pos="11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right="6960" w:hanging="572"/>
        <w:spacing w:after="0" w:line="555"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w:t>
      </w:r>
    </w:p>
    <w:p>
      <w:pPr>
        <w:spacing w:after="0" w:line="1" w:lineRule="exact"/>
        <w:rPr>
          <w:rFonts w:ascii="Arial" w:cs="Arial" w:eastAsia="Arial" w:hAnsi="Arial"/>
          <w:sz w:val="18"/>
          <w:szCs w:val="18"/>
          <w:color w:val="auto"/>
        </w:rPr>
      </w:pPr>
    </w:p>
    <w:p>
      <w:pPr>
        <w:ind w:left="580" w:right="7660" w:hanging="572"/>
        <w:spacing w:after="0" w:line="639"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-1268730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Preliminary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is being jointly filed by Vicis Capital, LLC (“Vicis”) and SLS Holdings I, LLC (“SLS I”). Messrs. Shadron Stastney, John Succo and Sky Lucas are each members of Vicis and SLS I. Because the same three individuals are members of both entities, Vicis and SLS I may be deemed to constitute a “group.” This filing does not constitute an admission that, by these actions, Vicis and SLS I constitute or have formed a “group” within the meaning of Regulation 13D under the Securities Exchange Act of 1934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securities to which this Schedule 13D (the “Schedule”) relates are shares of common stock, par value $0.001 per share (the “Common Stock”), of OptimizeRx Corporation (the “Issuer”). The address of the Issuer’s principal executive offices is 407 6th Street, Rochester, MI, 48307.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name of the Reporting Persons are Vicis and SLS I. Vicis Capital Master Fund (the “Fund”), for which Vicis acts as investment advisor, directly holds 896,340 of the shares reported on this Schedule. Vicis may be deemed to beneficially own such 896,340 shares within the meaning of Rule 13d-3 of the Securities Exchange Act of 1934, as amended, by virtue of the voting and dispositive power over such shares granted by the Fund to Vicis. SLS I directly holds 650,000 of the shares reported on this Schedule.</w:t>
      </w:r>
    </w:p>
    <w:p>
      <w:pPr>
        <w:spacing w:after="0" w:line="171"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Vicis is 445 Park Avenue, Suite 1043, New York, NY 10022. The address of SLS I is 445 Park Avenue, Suite 1043, New York, NY 10022.</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Vicis is an investment adviser registered under the Investment Advisers Act of 1940, as amended, that provides investment advisory services to the Fund. SLS I is a limited liability company, the principal business of which is the ownership of the securities of the Issuer.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Vicis nor SLS I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Vicis nor SLS I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4" w:name="page5"/>
    <w:bookmarkEnd w:id="4"/>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Vicis Capital, LLC is a limited liability company organized under the laws of the state of Delaware. SLS Holdings I, LLC is a limited liability company organized under the laws of the state of Delaware.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General Instruction C of Schedule 13D, the following information is being provided with respect to each member of Vicis and each member of the Board of Directors of SLS I (the “Insiders”):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Members of Vicis Capital, LLC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4460" w:type="dxa"/>
            <w:vAlign w:val="bottom"/>
          </w:tcPr>
          <w:p>
            <w:pPr>
              <w:spacing w:after="0"/>
              <w:rPr>
                <w:sz w:val="17"/>
                <w:szCs w:val="17"/>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5300" w:type="dxa"/>
            <w:vAlign w:val="bottom"/>
            <w:gridSpan w:val="2"/>
          </w:tcPr>
          <w:p>
            <w:pPr>
              <w:spacing w:after="0"/>
              <w:rPr>
                <w:sz w:val="20"/>
                <w:szCs w:val="20"/>
                <w:color w:val="auto"/>
              </w:rPr>
            </w:pPr>
            <w:r>
              <w:rPr>
                <w:rFonts w:ascii="Arial" w:cs="Arial" w:eastAsia="Arial" w:hAnsi="Arial"/>
                <w:sz w:val="18"/>
                <w:szCs w:val="18"/>
                <w:color w:val="auto"/>
              </w:rPr>
              <w:t>Member and Chief Operating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5300" w:type="dxa"/>
            <w:vAlign w:val="bottom"/>
            <w:gridSpan w:val="2"/>
          </w:tcPr>
          <w:p>
            <w:pPr>
              <w:spacing w:after="0"/>
              <w:rPr>
                <w:sz w:val="20"/>
                <w:szCs w:val="20"/>
                <w:color w:val="auto"/>
              </w:rPr>
            </w:pPr>
            <w:r>
              <w:rPr>
                <w:rFonts w:ascii="Arial" w:cs="Arial" w:eastAsia="Arial" w:hAnsi="Arial"/>
                <w:sz w:val="18"/>
                <w:szCs w:val="18"/>
                <w:color w:val="auto"/>
              </w:rPr>
              <w:t>Member and Chief Investment Officer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5300" w:type="dxa"/>
            <w:vAlign w:val="bottom"/>
            <w:gridSpan w:val="2"/>
          </w:tcPr>
          <w:p>
            <w:pPr>
              <w:spacing w:after="0"/>
              <w:rPr>
                <w:sz w:val="20"/>
                <w:szCs w:val="20"/>
                <w:color w:val="auto"/>
              </w:rPr>
            </w:pPr>
            <w:r>
              <w:rPr>
                <w:rFonts w:ascii="Arial" w:cs="Arial" w:eastAsia="Arial" w:hAnsi="Arial"/>
                <w:sz w:val="18"/>
                <w:szCs w:val="18"/>
                <w:color w:val="auto"/>
              </w:rPr>
              <w:t>Member and Head of Global Convertible Arbitrage</w:t>
            </w:r>
          </w:p>
        </w:tc>
      </w:tr>
      <w:tr>
        <w:trPr>
          <w:trHeight w:val="756"/>
        </w:trPr>
        <w:tc>
          <w:tcPr>
            <w:tcW w:w="5380" w:type="dxa"/>
            <w:vAlign w:val="bottom"/>
            <w:gridSpan w:val="2"/>
          </w:tcPr>
          <w:p>
            <w:pPr>
              <w:spacing w:after="0"/>
              <w:rPr>
                <w:sz w:val="20"/>
                <w:szCs w:val="20"/>
                <w:color w:val="auto"/>
              </w:rPr>
            </w:pPr>
            <w:r>
              <w:rPr>
                <w:rFonts w:ascii="Arial" w:cs="Arial" w:eastAsia="Arial" w:hAnsi="Arial"/>
                <w:sz w:val="18"/>
                <w:szCs w:val="18"/>
                <w:color w:val="auto"/>
              </w:rPr>
              <w:t>Members of Board of Directors of SLS Holdings I, LLC</w:t>
            </w:r>
          </w:p>
        </w:tc>
        <w:tc>
          <w:tcPr>
            <w:tcW w:w="8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500"/>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4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Occupation</w:t>
            </w:r>
          </w:p>
        </w:tc>
        <w:tc>
          <w:tcPr>
            <w:tcW w:w="4460" w:type="dxa"/>
            <w:vAlign w:val="bottom"/>
          </w:tcPr>
          <w:p>
            <w:pPr>
              <w:spacing w:after="0"/>
              <w:rPr>
                <w:sz w:val="24"/>
                <w:szCs w:val="24"/>
                <w:color w:val="auto"/>
              </w:rPr>
            </w:pPr>
          </w:p>
        </w:tc>
      </w:tr>
      <w:tr>
        <w:trPr>
          <w:trHeight w:val="453"/>
        </w:trPr>
        <w:tc>
          <w:tcPr>
            <w:tcW w:w="53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5300" w:type="dxa"/>
            <w:vAlign w:val="bottom"/>
            <w:gridSpan w:val="2"/>
          </w:tcPr>
          <w:p>
            <w:pPr>
              <w:spacing w:after="0"/>
              <w:rPr>
                <w:sz w:val="20"/>
                <w:szCs w:val="20"/>
                <w:color w:val="auto"/>
              </w:rPr>
            </w:pPr>
            <w:r>
              <w:rPr>
                <w:rFonts w:ascii="Arial" w:cs="Arial" w:eastAsia="Arial" w:hAnsi="Arial"/>
                <w:sz w:val="18"/>
                <w:szCs w:val="18"/>
                <w:color w:val="auto"/>
              </w:rPr>
              <w:t>Member and Chief Operating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5300" w:type="dxa"/>
            <w:vAlign w:val="bottom"/>
            <w:gridSpan w:val="2"/>
          </w:tcPr>
          <w:p>
            <w:pPr>
              <w:spacing w:after="0"/>
              <w:rPr>
                <w:sz w:val="20"/>
                <w:szCs w:val="20"/>
                <w:color w:val="auto"/>
              </w:rPr>
            </w:pPr>
            <w:r>
              <w:rPr>
                <w:rFonts w:ascii="Arial" w:cs="Arial" w:eastAsia="Arial" w:hAnsi="Arial"/>
                <w:sz w:val="18"/>
                <w:szCs w:val="18"/>
                <w:color w:val="auto"/>
              </w:rPr>
              <w:t>Member and Chief Investment Officer of Vicis Capital, LLC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5300" w:type="dxa"/>
            <w:vAlign w:val="bottom"/>
            <w:gridSpan w:val="2"/>
          </w:tcPr>
          <w:p>
            <w:pPr>
              <w:spacing w:after="0"/>
              <w:rPr>
                <w:sz w:val="20"/>
                <w:szCs w:val="20"/>
                <w:color w:val="auto"/>
              </w:rPr>
            </w:pPr>
            <w:r>
              <w:rPr>
                <w:rFonts w:ascii="Arial" w:cs="Arial" w:eastAsia="Arial" w:hAnsi="Arial"/>
                <w:sz w:val="18"/>
                <w:szCs w:val="18"/>
                <w:color w:val="auto"/>
                <w:w w:val="93"/>
              </w:rPr>
              <w:t>Member and Head of Global Convertible Arbitrage of Vicis Capital,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business address of each of the Insiders is 445 Park Avenue, Suite 1043, New York, NY 10022. To Vicis’s and SLS I’s knowledge, respectively, each of the Insiders is a United States citizen, and none of the Insiders has, during the last five years, been convicted in a criminal proceeding (excluding traffic violations or similar misdemeanors), nor has any Insider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Fund holds: (i) 896,340 shares of Common Stock; (ii) 35 shares of the Issuer’s Series A Convertible Preferred Stock (the “Series A Preferred Stock”); (iii) a warrant to purchase 6,000,000 shares of Common Stock (the “Series A Warrant”); (iv) 30 shares of the Issuer’s Series B Convertible Preferred Stock (the “Series B Preferred Stock” and together with the Series A Preferred Stock, the “Preferred Stock”); and (v) warrants to purchase 4,000,000 shares of Common Stock (each a “Series B Warrant” and each Series B Warrant together with the Series A Warrant, the “Warrants”).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terms of the Series A Preferred Stock and Series B Preferred Stock Certificates of Designations and of each of the Warrants contain conversion caps that prevent the Fund from exercising or converting, as the case may be, an amount of such Series A Preferred Stock, Series B Preferred Stock, or Warrant to the extent that the Fund would beneficially own greater than 4.9% of the outstanding Common Stock. As a result of such conversion caps, no shares of Common Stock underlying the Series A Preferred Stock, the Series B Preferred Stock, or any of the Warrants is included in the shares reported by Vicis on this Schedule. As a result, Vicis may be deemed to beneficially own 896,340 shares of Common Stock.</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the Series A Preferred Stock and of the Series B Preferred Stock is convertible, subject to adjustment, into such number of shares of Common Stock equal to the stated value of such share divided by the conversion price of such share, such that 3,500,000 shares of Common Stock underlie the Series A Preferred Stock owned by Vicis (subject to the limitations imposed by the applicable conversion cap) and 4,000,000 shares of Common Stock underlie the Series B Preferred Stock owned by Vicis (subject to the limitations imposed by the applicable conversion cap).</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January 10, 2013, the Fund granted to the Issuer an option (the “Option”) to redeem all of the Issuer’s securities currently owned by the Fund at any time on or prior to December 31, 2013, for an exercise price of $9,000,000. The Option also provides the Issuer certain rights of first refusal to purchase such securities of the Fund in the event that the Fund has received an offer for and intends to sell all or a portion of such securities to a third party.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21, 2010, SLS I acquired from a private party: (i) 400,000 shares of Common Stock and (ii) a purchase right option to acquire up to 250,000 shares of Common Stock from such party at any time on or before September 21, 2013, for aggregate consideration of $500,000. As a result, SLS I may be deemed to beneficially own 650,000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Vicis, on behalf of the Fund, acquired the securities of the Issuer described in this Schedule as held by the Fund and granted the Option for investment purposes in the ordinary course of its business pursuant to specified investment objectives of the Fund. SLS I acquired the securities of the Issuer described in this Schedule as held by SLS I for investment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6"/>
          <w:szCs w:val="16"/>
          <w:color w:val="auto"/>
        </w:rPr>
        <w:t>On July 28, 2010, Mr. Shad Stastney was appointed to the Issuer's board of directors pursuant to the board election rights granted to the holders of the Issuer’s Series B Preferred Stock (which right provides that so long as any shares of Series B Preferred Stock are outstanding, the holders of the outstanding shares of Series B Preferred Stock shall, voting together as a separate class, be entitled to elect the number of directors on the Issuer’s board of directors that is determined using the following formula, rounded up: X = D x ((B + C) / O), where X equals the number of Series B Preferred Stock directors, rounded up or down to the nearest whole number; D equals the then-current total number of directors of the Issuer; B equals the then-current total number of shares of Common Stock underlying all of the outstanding shares of Series B Preferred Stock, C equals the then-current total number of shares of Common Stock held by all holders of Series B Preferred Stock, and O equals the then-current total number of shares of the Issuer’s Common Stock issued and outstanding). Mr. Stastney is the Chief Operating Officer and Head of Research for Vicis Capital, LLC, a company he jointly founded in 2004, and a member of SLS I.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 Mr. Stastney is currently a director of several public companies.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14, 2013, Mr. Stastney was appointed as Chairman and Chief Executive Officer of the Issuer by its Board of Directors. In conjunction with his appointment, he entered into an employment agreement with the Issuer pursuant to which he will be employed for a period of 12 months. In consideration for his services, he will receive a base salary of $175,000 and an option to acquire two million shares of the Issuer’s Common Stock at an exercise price per share of $1.00 and with a term of 5 years, is eligible to participate in any Board-established employee-benefit plans of the Issuer, and has agreed to certain customary confidentiality, non-compete, and non-solicitation agreement provisions. Payment of this base salary is deferred until, and the date on which this option becomes exercisable is, the later of (i) January 1, 2014, and (ii) the date on which the Issuer’s securities held by the Fund have been redeemed in full.</w:t>
      </w:r>
    </w:p>
    <w:p>
      <w:pPr>
        <w:spacing w:after="0" w:line="18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Each Reporting Person and its representatives, and representatives of the Fund, have had discussions with senior management of the Issuer and expect in the future to have such discussions, through Mr. Stastney or otherwise, concerning ways in which the Issuer could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Each Reporting Person and its representatives, and representatives of the Fund, expect that Mr. Stastney, in his role as Chairman and Chief Executive Officer of the Issuer, will work with the Issuer’s Board and senior management to explore implementing a variety of measures on behalf of the Issuer that seek to grow the Issuer, including through opportunistic merger and acquisition and joint venture activity. The Reporting Persons expect that such growth will maximize value for all shareholders while facilitating the exercise of the Option by the Issuer.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set forth in this Item 4 or in Item 3 hereto, neither of the Reporting Persons has any present plan or proposal that relates to or would result in any of the actions specified in clauses (a) through (j) of Item 4 of Schedule 13D of the Act. Each Reporting Person will continue to review this position based upon further developments. Furthermore, each Reporting Person anticipates that any measure implemented by the Issuer relating to any such clause, to the extent such measure may be attributable to Mr. Stastney, will be so attributable to him in his role as Chairman and Chief Executive Officer of the Issuer rather than in his role with either of the Reporting Persons.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permitted by law, each Reporting Person may purchase additional shares of Common Stock or other securities convertible, exchangeable or exercisable into Common Stock or dispose of any or all of such securities from time to time in the open market, in privately negotiated transactions, or otherwise, depending upon future evaluation of the Issuer and upon other developments, including general economic and stock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91"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Fund, for which Vicis Capital, LLC acts as investment advisor, directly holds 896,340 of the shares reported on this Schedule. Vicis Capital, LLC may be deemed to beneficially own such 896,340 shares within the meaning of Rule 13d-3 of the Securities Exchange Act of 1934, as amended, by virtue of the voting and dispositive power over such shares granted by Vicis Capital Master Fund to Vicis Capital, LLC. The voting and dispositive power granted to Vicis Capital, LLC by Vicis Capital Master Fund may be revoked at any time. Vicis disclaims beneficial ownership of any shares reported on this Schedule. The foregoing 896,340 shares of Common Stock represent approximately 6.3% of the Issuer’s outstanding Common Stock (based upon 14,232,496 shares of Common Stock outstanding at September 30, 2012, as reported by the Issuer in its Quarterly Report on Form 10-Q filed with the SEC on November 14, 2012).</w:t>
      </w:r>
    </w:p>
    <w:p>
      <w:pPr>
        <w:spacing w:after="0" w:line="167" w:lineRule="exact"/>
        <w:rPr>
          <w:rFonts w:ascii="Arial" w:cs="Arial" w:eastAsia="Arial" w:hAnsi="Arial"/>
          <w:sz w:val="16"/>
          <w:szCs w:val="16"/>
          <w:color w:val="auto"/>
        </w:rPr>
      </w:pPr>
    </w:p>
    <w:p>
      <w:pPr>
        <w:jc w:val="both"/>
        <w:ind w:left="1300"/>
        <w:spacing w:after="0" w:line="257" w:lineRule="auto"/>
        <w:rPr>
          <w:rFonts w:ascii="Arial" w:cs="Arial" w:eastAsia="Arial" w:hAnsi="Arial"/>
          <w:sz w:val="16"/>
          <w:szCs w:val="16"/>
          <w:color w:val="auto"/>
        </w:rPr>
      </w:pPr>
      <w:r>
        <w:rPr>
          <w:rFonts w:ascii="Arial" w:cs="Arial" w:eastAsia="Arial" w:hAnsi="Arial"/>
          <w:sz w:val="18"/>
          <w:szCs w:val="18"/>
          <w:color w:val="auto"/>
        </w:rPr>
        <w:t>SLS I directly holds 650,000 of the shares reported on this Schedule. The foregoing 650,000 shares of Common Stock represent approximately 4.6% of the Issuer’s outstanding Common Stock (based upon 14,232,496 shares of Common Stock outstanding at September 30, 2012, as reported by the Issuer in its Quarterly Report on Form 10-Q filed with the SEC on November 14, 2012, and 250,000 shares of Common Stock underlying the purchase right option owned by SLS I). SLS I disclaims beneficial ownership of any shares held by the Fund reported on this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information on voting and dispositive power with respect to the above listed shares, see Items 7-10 of the Cover Pages.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disclosed in Item 3 of this Schedule, the Reporting Persons have not effected any transaction in the Common Stock in the past 60 days.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is hereby incorporated by reference in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3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Exhibit A</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5"/>
              </w:rPr>
              <w:t>Joint Filing Agreement, dated January 20, 2012, between Vicis Capital, LLC and SLS Holdings I, LLC (incorporated herein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4"/>
              </w:rPr>
              <w:t>reference to Exhibit A to Schedule 13D filed by the Reporting Persons with respect to OptimizeRx Corporation on January 24,</w:t>
            </w:r>
          </w:p>
        </w:tc>
      </w:tr>
      <w:tr>
        <w:trPr>
          <w:trHeight w:val="230"/>
        </w:trPr>
        <w:tc>
          <w:tcPr>
            <w:tcW w:w="880" w:type="dxa"/>
            <w:vAlign w:val="bottom"/>
          </w:tcPr>
          <w:p>
            <w:pPr>
              <w:spacing w:after="0"/>
              <w:rPr>
                <w:sz w:val="20"/>
                <w:szCs w:val="20"/>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2012)</w:t>
            </w: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 B</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2"/>
              </w:rPr>
              <w:t>Securities Redemption Option Agreement by and between OptimizeRx Corporation and Vicis Capital Master Fund dated January</w:t>
            </w:r>
          </w:p>
        </w:tc>
      </w:tr>
      <w:tr>
        <w:trPr>
          <w:trHeight w:val="230"/>
        </w:trPr>
        <w:tc>
          <w:tcPr>
            <w:tcW w:w="880" w:type="dxa"/>
            <w:vAlign w:val="bottom"/>
          </w:tcPr>
          <w:p>
            <w:pPr>
              <w:spacing w:after="0"/>
              <w:rPr>
                <w:sz w:val="20"/>
                <w:szCs w:val="20"/>
                <w:color w:val="auto"/>
              </w:rPr>
            </w:pP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w w:val="95"/>
              </w:rPr>
              <w:t>10, 2013 (incorporated herein by reference to Exhibit 10.1 to Form 8-K filed by OptimizeRx Corporation on January 11, 2013)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Exhibit C</w:t>
            </w:r>
          </w:p>
        </w:tc>
        <w:tc>
          <w:tcPr>
            <w:tcW w:w="10540" w:type="dxa"/>
            <w:vAlign w:val="bottom"/>
            <w:gridSpan w:val="3"/>
          </w:tcPr>
          <w:p>
            <w:pPr>
              <w:ind w:left="1060"/>
              <w:spacing w:after="0"/>
              <w:rPr>
                <w:sz w:val="20"/>
                <w:szCs w:val="20"/>
                <w:color w:val="auto"/>
              </w:rPr>
            </w:pPr>
            <w:r>
              <w:rPr>
                <w:rFonts w:ascii="Arial" w:cs="Arial" w:eastAsia="Arial" w:hAnsi="Arial"/>
                <w:sz w:val="18"/>
                <w:szCs w:val="18"/>
                <w:color w:val="auto"/>
              </w:rPr>
              <w:t>Employment Agreement by and between OptimizeRx Corporation and Shad Stastney dated January 14, 2013</w:t>
            </w:r>
          </w:p>
        </w:tc>
      </w:tr>
      <w:tr>
        <w:trPr>
          <w:trHeight w:val="864"/>
        </w:trPr>
        <w:tc>
          <w:tcPr>
            <w:tcW w:w="8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VICIS CAPITAL, LLC</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Andrew Comito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Compliance Officer*</w:t>
      </w:r>
    </w:p>
    <w:p>
      <w:pPr>
        <w:spacing w:after="0" w:line="200" w:lineRule="exact"/>
        <w:rPr>
          <w:sz w:val="20"/>
          <w:szCs w:val="20"/>
          <w:color w:val="auto"/>
        </w:rPr>
      </w:pPr>
    </w:p>
    <w:p>
      <w:pPr>
        <w:spacing w:after="0" w:line="254" w:lineRule="exact"/>
        <w:rPr>
          <w:sz w:val="20"/>
          <w:szCs w:val="20"/>
          <w:color w:val="auto"/>
        </w:rPr>
      </w:pPr>
    </w:p>
    <w:p>
      <w:pPr>
        <w:ind w:right="34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Vicis Capital, LLC attached as Attachment A to the Schedule 13D/A previously filed with the SEC by Vicis Capital, LLC with respect to The Amacore Group, Inc. on October 1, 2009.</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SLS HOLDINGS I, LLC</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Andrew Comito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Authorized Representative*</w:t>
      </w:r>
    </w:p>
    <w:p>
      <w:pPr>
        <w:spacing w:after="0" w:line="238" w:lineRule="exact"/>
        <w:rPr>
          <w:sz w:val="20"/>
          <w:szCs w:val="20"/>
          <w:color w:val="auto"/>
        </w:rPr>
      </w:pPr>
    </w:p>
    <w:p>
      <w:pPr>
        <w:ind w:right="8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SLS Holdings I, LLC attached as Exhibit B to the Schedule 13D/A previously filed with the SEC by SLS Holdings I, LLC with respect to the Issuer on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AGREEMENT, made and entered into this 14th day of January, 2013, by and between OptimizeRx Corporation, a Nevada Company, hereinafter referred to as "Employer” and Shad Stastney, hereinafter referred to as the "Employee".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Employer is engaged in the business of developing and marketing healthcare technology and services, and desires the Employee as Chairman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Employment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Employer hereby employs the Employee and the Employee hereby accepts employment with the Employer beginning on January 14,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Employee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Employee shall perform such duties as are consistent with the duties of Chairman and Chief Executive Officer, as approved by the Board of Directors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These duties include, but are not limited to:</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Providing leadership to position the company at the forefront of the industry.</w:t>
      </w:r>
    </w:p>
    <w:p>
      <w:pPr>
        <w:spacing w:after="0" w:line="23" w:lineRule="exact"/>
        <w:rPr>
          <w:sz w:val="20"/>
          <w:szCs w:val="20"/>
          <w:color w:val="auto"/>
        </w:rPr>
      </w:pPr>
    </w:p>
    <w:p>
      <w:pPr>
        <w:ind w:left="660" w:right="20"/>
        <w:spacing w:after="0" w:line="250" w:lineRule="auto"/>
        <w:rPr>
          <w:sz w:val="20"/>
          <w:szCs w:val="20"/>
          <w:color w:val="auto"/>
        </w:rPr>
      </w:pPr>
      <w:r>
        <w:rPr>
          <w:rFonts w:ascii="Arial" w:cs="Arial" w:eastAsia="Arial" w:hAnsi="Arial"/>
          <w:sz w:val="18"/>
          <w:szCs w:val="18"/>
          <w:color w:val="auto"/>
        </w:rPr>
        <w:t>Developing and overseeing execution of a strategic plan to advance the company's mission and objectives and to maximize revenue, profitability and growth as an organization.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Oversee company operations to insure efficiency, quality, service, and cost-effective management of resources.</w:t>
      </w:r>
    </w:p>
    <w:p>
      <w:pPr>
        <w:spacing w:after="0" w:line="9" w:lineRule="exact"/>
        <w:rPr>
          <w:sz w:val="20"/>
          <w:szCs w:val="20"/>
          <w:color w:val="auto"/>
        </w:rPr>
      </w:pPr>
    </w:p>
    <w:p>
      <w:pPr>
        <w:ind w:left="660" w:right="460"/>
        <w:spacing w:after="0" w:line="250" w:lineRule="auto"/>
        <w:rPr>
          <w:sz w:val="20"/>
          <w:szCs w:val="20"/>
          <w:color w:val="auto"/>
        </w:rPr>
      </w:pPr>
      <w:r>
        <w:rPr>
          <w:rFonts w:ascii="Arial" w:cs="Arial" w:eastAsia="Arial" w:hAnsi="Arial"/>
          <w:sz w:val="18"/>
          <w:szCs w:val="18"/>
          <w:color w:val="auto"/>
        </w:rPr>
        <w:t>Reviewing activity reports and financial statements to determine progress and status in attaining objectives and revising objectives and plans in accordance with current conditions.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Updating and engaging company's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Duties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duties of the Employee, as specified in above paragraph of this agreement (Duties of Employee), may be changed at any time by the mutual consent of the Employer and the Employee. Notwithstanding any such change, the employment of the Employee shall be construed as continuing under this Agreement as modified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 of Disability</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If the Employee at any time during the term of this Agreement should be unable to perform his duties under this Agreement because of personal injury, illness, or any other cause, the Employer may assign the Employee to other duties, and the compensation to be paid thereafter to the Employee shall be determined by the Employer in its sole discretion.</w:t>
      </w:r>
    </w:p>
    <w:p>
      <w:pPr>
        <w:spacing w:after="0" w:line="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If the Employee is unwilling to accept the modification in duties and compensation made by the Employer, or if the Employee's inability to perform is of such extent as to make a modification of duties hereunder not feasible, this Agreement shall terminate upon the completion of its term, with no renewal.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Work</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At the commencement of this employment, the Employee shall perform his duties at the office of the Employer located at 400 Water Street, Suite 200, Rochester, MI 48307, or work at such other place or places as may be determined by the Employer to best meet the employee's duties.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Engaging in Other Businesses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Employer recognizes that Employee is actively involved in other business as board member or advisor, and that therefore, the Employee shall devote the necessary time, ability, and attention to the business of the Employer as he and the Board of Directors mutually deem necessary to carry out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compensation for services rendered under this Agreement, the Employee shall be entitled to receive from the Employer:</w:t>
      </w:r>
    </w:p>
    <w:p>
      <w:pPr>
        <w:spacing w:after="0" w:line="130" w:lineRule="exact"/>
        <w:rPr>
          <w:sz w:val="20"/>
          <w:szCs w:val="20"/>
          <w:color w:val="auto"/>
        </w:rPr>
      </w:pPr>
    </w:p>
    <w:p>
      <w:pPr>
        <w:ind w:left="1040" w:right="120" w:hanging="330"/>
        <w:spacing w:after="0" w:line="288"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salary of $175,000 per year, payable in semi-monthly installments in which such payment becomes due, prorated for any partial employment period. Such salary shall be accrued but deferred until the later of (i) January 1, 2014, and (ii) the date on which Vicis Capital Master Fund's stake has been fully redeemed, at which time such accrued salary shall be payable, and such ongoing salary will be paid semi-monthly in cash.</w:t>
      </w:r>
    </w:p>
    <w:p>
      <w:pPr>
        <w:ind w:left="1040" w:right="180" w:hanging="330"/>
        <w:spacing w:after="0" w:line="25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to acquire two million (2,000,000) shares of OPRX common stock at an exercise price per share of $1.00, with a term of 5 years, and with such other terms and conditions as are customary for executive stock options and consistent with the Company's existing stock option grants. Such options shall be immediately vested, but shall not be exercisable until the later of (i) January 1, 2014, and (ii) the date on which Vicis Capital Master Fund's stake has been fully redeemed.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Employee shall be entitled to participate in any qualified pension plan, qualified profit sharing plan, medical or dental reimbursement plan, group term life insurance plan, or any other employee benefit plan which is presently existing or which may be established in the future by the Employer. Such right to participation shall be in accordance with the terms of the particular plans involved.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Vacations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Employee shall immediately have an annual vacation leave of 4 weeks paid vacation. When your third year of service is completed an additional week of vacation will be added. The time for such vacation shall be selected by the Employee, but must be approved by the Employer.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Holidays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Employee shall be entitled to full payment on each holiday of the 9 holidays as identified by the Employer. These are: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Years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Memorial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Independence Day - 4th of July Labor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Thanksgiving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 after Thanksgiving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Christmas Eve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Christmas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Floating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term of this agreement shall be one year, and shall be deemed to have automatically renewed for a second year unless the Board of Directors shall notify Employee of its intent not to renew at least 30 days prior to the end of the initial term. The Board of Directors can terminate Employment for any reason, with or without cause by giving Employee thirty (30) days' notice in writing, and then paying severance consisting of 3 months' salary plus one additional month salary for each year (or pro rated portion thereof) of completed service to the Company, in addition to all accrued vacation or personal days, and any unused or pro-rated Professional Development Leave.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Non-Disclosure of Trade Secrets, Customer Lists and Other Proprietary Information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Employee agrees not to use, disclose or communicate, in any manner, proprietary information about Employer, its operations, clientele, or any other proprietary information, that relate to the business of Employer. This includes, but is not limited to, the names of Employer’s customers, its marketing strategies, operations, or any other information of any kind which would be deemed confidential or proprietary information of Employer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To the extent Employee feels that they need to disclose confidential information, they may do so only after being authorized to so do in writing by Employer.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Non</w:t>
      </w:r>
      <w:r>
        <w:rPr>
          <w:rFonts w:ascii="Arial" w:cs="Arial" w:eastAsia="Arial" w:hAnsi="Arial"/>
          <w:sz w:val="18"/>
          <w:szCs w:val="18"/>
          <w:color w:val="auto"/>
        </w:rPr>
        <w:t>-</w:t>
      </w:r>
      <w:r>
        <w:rPr>
          <w:rFonts w:ascii="Arial" w:cs="Arial" w:eastAsia="Arial" w:hAnsi="Arial"/>
          <w:sz w:val="18"/>
          <w:szCs w:val="18"/>
          <w:b w:val="1"/>
          <w:bCs w:val="1"/>
          <w:color w:val="auto"/>
        </w:rPr>
        <w:t>Solicitation Covenant</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agrees that for a period of one year following termination of employment, for any reason whatsoever, Employee will not solicit customers or clients of Employer. By agreeing to this covenant, Employee acknowledges that their contributions to Employer are unique to Employer’s success and that they have significant access to Employer’s trade secrets and other confidential or proprietary information regarding Employer’s customers or clients.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Non-Recruit Covenant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agrees not to recruit any of Employer’s employees for the purpose of any outside business either during or for a period of one year after Employee's tenure of employment with Employer. Employee agrees that such effort at recruitment also constitutes a violation of the non-solicitation covenant set forth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Adherence to Employers Policies, Procedures, Rules and Regulations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 agrees to adhere by all at the policies, procedures, rules and regulations set forth by the Employer. These policies, procedures, rules and regulations include, but are not limited to, those set forth within the Employee Handbook, any summary benefit plan descriptions, or any other personnel practices or policies or Employer. To the extent that Employer's policies, procedures, rules and regulations conflict with the terms of this Agreement, the specific terms of this Agreement will control.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Pay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In the event of the termination of this Agreement prior to the completion of the term of the employment specified herein, the Employee shall be entitled to the compensation that would have been earned by him through the then-applicable termination date, including both cash and non-cash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Sick Leave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Employee shall be entitled to 3 days per year as sick leave with full pay.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Expenses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Waiver</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Any provision of this Agreement may be altered or amended by a written document signed by both parties hereto setting forth such alteration or amendment without affecting the obligations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Covenants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to be construed in accordance with the laws of the State of Michigan.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the context.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to Execute Documents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Severability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provision of this Agreement is held invalid by any tribunal in a final decision from which no appeal is or can be taken, such provision shall be deemed modified to eliminate the invalid element, and, as so modified, such provision shall be deemed a part of this Agreement- If if is not possible to modify any such provision to eliminate the invalid element, such provision shall be deemed eliminated from this Agreement. The invalidity of any provision of this Agreement shall not affect the force and effect of the remaining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 and Written Consents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 notices or written consents to be given hereunder by either party to the other may be affected either by personal delivery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affected by Personal delivery to the Employee's immediate supervisor at his place of employment. Notice shall be considered communicated, and consent shall be considered given, as of the date it is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at 400 Water Street, Suite 200, Rochester, Michigan 48307 on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 Employer and Employee agree:</w:t>
            </w:r>
          </w:p>
        </w:tc>
        <w:tc>
          <w:tcPr>
            <w:tcW w:w="18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c>
          <w:tcPr>
            <w:tcW w:w="5840" w:type="dxa"/>
            <w:vAlign w:val="bottom"/>
            <w:gridSpan w:val="2"/>
          </w:tcPr>
          <w:p>
            <w:pPr>
              <w:ind w:left="1880"/>
              <w:spacing w:after="0"/>
              <w:rPr>
                <w:sz w:val="20"/>
                <w:szCs w:val="20"/>
                <w:color w:val="auto"/>
              </w:rPr>
            </w:pPr>
            <w:r>
              <w:rPr>
                <w:rFonts w:ascii="Arial" w:cs="Arial" w:eastAsia="Arial" w:hAnsi="Arial"/>
                <w:sz w:val="18"/>
                <w:szCs w:val="18"/>
                <w:b w:val="1"/>
                <w:bCs w:val="1"/>
                <w:color w:val="auto"/>
              </w:rPr>
              <w:t>Employee:</w:t>
            </w:r>
          </w:p>
        </w:tc>
        <w:tc>
          <w:tcPr>
            <w:tcW w:w="1260" w:type="dxa"/>
            <w:vAlign w:val="bottom"/>
          </w:tcPr>
          <w:p>
            <w:pPr>
              <w:spacing w:after="0"/>
              <w:rPr>
                <w:sz w:val="24"/>
                <w:szCs w:val="24"/>
                <w:color w:val="auto"/>
              </w:rPr>
            </w:pPr>
          </w:p>
        </w:tc>
      </w:tr>
      <w:tr>
        <w:trPr>
          <w:trHeight w:val="918"/>
        </w:trPr>
        <w:tc>
          <w:tcPr>
            <w:tcW w:w="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 David Harrell</w:t>
            </w:r>
          </w:p>
        </w:tc>
        <w:tc>
          <w:tcPr>
            <w:tcW w:w="5840" w:type="dxa"/>
            <w:vAlign w:val="bottom"/>
            <w:gridSpan w:val="2"/>
          </w:tcPr>
          <w:p>
            <w:pPr>
              <w:ind w:left="1880"/>
              <w:spacing w:after="0"/>
              <w:rPr>
                <w:sz w:val="20"/>
                <w:szCs w:val="20"/>
                <w:color w:val="auto"/>
              </w:rPr>
            </w:pPr>
            <w:r>
              <w:rPr>
                <w:rFonts w:ascii="Arial" w:cs="Arial" w:eastAsia="Arial" w:hAnsi="Arial"/>
                <w:sz w:val="18"/>
                <w:szCs w:val="18"/>
                <w:color w:val="auto"/>
              </w:rPr>
              <w:t>/s/ Shad Stastney</w:t>
            </w:r>
          </w:p>
        </w:tc>
        <w:tc>
          <w:tcPr>
            <w:tcW w:w="12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David Harrell on Behalf of Board</w:t>
            </w:r>
          </w:p>
        </w:tc>
        <w:tc>
          <w:tcPr>
            <w:tcW w:w="188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Shad Stastney</w:t>
            </w:r>
          </w:p>
        </w:tc>
        <w:tc>
          <w:tcPr>
            <w:tcW w:w="1260" w:type="dxa"/>
            <w:vAlign w:val="bottom"/>
          </w:tcPr>
          <w:p>
            <w:pPr>
              <w:spacing w:after="0"/>
              <w:rPr>
                <w:sz w:val="19"/>
                <w:szCs w:val="19"/>
                <w:color w:val="auto"/>
              </w:rPr>
            </w:pPr>
          </w:p>
        </w:tc>
      </w:tr>
      <w:tr>
        <w:trPr>
          <w:trHeight w:val="877"/>
        </w:trPr>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decimal"/>
      <w:start w:val="6"/>
    </w:lvl>
    <w:lvl w:ilvl="1">
      <w:lvlJc w:val="left"/>
      <w:lvlText w:val="%2."/>
      <w:numFmt w:val="decimal"/>
      <w:start w:val="7"/>
    </w:lvl>
  </w:abstractNum>
  <w:abstractNum w:abstractNumId="2">
    <w:nsid w:val="12200854"/>
    <w:multiLevelType w:val="hybridMultilevel"/>
    <w:lvl w:ilvl="0">
      <w:lvlJc w:val="left"/>
      <w:lvlText w:val="%1"/>
      <w:numFmt w:val="decimal"/>
      <w:start w:val="1"/>
    </w:lvl>
    <w:lvl w:ilvl="1">
      <w:lvlJc w:val="left"/>
      <w:lvlText w:val="%2."/>
      <w:numFmt w:val="decimal"/>
      <w:start w:val="10"/>
    </w:lvl>
  </w:abstractNum>
  <w:abstractNum w:abstractNumId="3">
    <w:nsid w:val="4DB127F8"/>
    <w:multiLevelType w:val="hybridMultilevel"/>
    <w:lvl w:ilvl="0">
      <w:lvlJc w:val="left"/>
      <w:lvlText w:val="%1."/>
      <w:numFmt w:val="decimal"/>
      <w:start w:val="11"/>
    </w:lvl>
    <w:lvl w:ilvl="1">
      <w:lvlJc w:val="left"/>
      <w:lvlText w:val="%2"/>
      <w:numFmt w:val="decimal"/>
      <w:start w:val="1"/>
    </w:lvl>
  </w:abstractNum>
  <w:abstractNum w:abstractNumId="4">
    <w:nsid w:val="216231B"/>
    <w:multiLevelType w:val="hybridMultilevel"/>
    <w:lvl w:ilvl="0">
      <w:lvlJc w:val="left"/>
      <w:lvlText w:val="%1."/>
      <w:numFmt w:val="decimal"/>
      <w:start w:val="1"/>
    </w:lvl>
    <w:lvl w:ilvl="1">
      <w:lvlJc w:val="left"/>
      <w:lvlText w:val="(%2)"/>
      <w:numFmt w:val="lowerLetter"/>
      <w:start w:val="1"/>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1"/>
    </w:lvl>
    <w:lvl w:ilvl="1">
      <w:lvlJc w:val="left"/>
      <w:lvlText w:val="%2."/>
      <w:numFmt w:val="decimal"/>
      <w:start w:val="10"/>
    </w:lvl>
  </w:abstractNum>
  <w:abstractNum w:abstractNumId="7">
    <w:nsid w:val="66EF438D"/>
    <w:multiLevelType w:val="hybridMultilevel"/>
    <w:lvl w:ilvl="0">
      <w:lvlJc w:val="left"/>
      <w:lvlText w:val="%1."/>
      <w:numFmt w:val="decimal"/>
      <w:start w:val="11"/>
    </w:lvl>
    <w:lvl w:ilvl="1">
      <w:lvlJc w:val="left"/>
      <w:lvlText w:val="%2"/>
      <w:numFmt w:val="decimal"/>
      <w:start w:val="1"/>
    </w:lvl>
  </w:abstractNum>
  <w:abstractNum w:abstractNumId="8">
    <w:nsid w:val="140E0F76"/>
    <w:multiLevelType w:val="hybridMultilevel"/>
    <w:lvl w:ilvl="0">
      <w:lvlJc w:val="left"/>
      <w:lvlText w:val="%1."/>
      <w:numFmt w:val="decimal"/>
      <w:start w:val="13"/>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6"/>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2019-12-07T19:33:50Z</dcterms:created>
  <dcterms:modified xsi:type="dcterms:W3CDTF">2019-12-07T19:33:50Z</dcterms:modified>
</cp:coreProperties>
</file>