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104775</wp:posOffset>
            </wp:positionH>
            <wp:positionV relativeFrom="page">
              <wp:posOffset>104775</wp:posOffset>
            </wp:positionV>
            <wp:extent cx="735901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u w:val="single" w:color="auto"/>
          <w:color w:val="auto"/>
        </w:rPr>
        <w:t>OptimizeRx Corporation</w:t>
      </w:r>
    </w:p>
    <w:p>
      <w:pPr>
        <w:spacing w:after="0" w:line="34" w:lineRule="exact"/>
        <w:rPr>
          <w:sz w:val="24"/>
          <w:szCs w:val="24"/>
          <w:color w:val="auto"/>
        </w:rPr>
      </w:pPr>
    </w:p>
    <w:p>
      <w:pPr>
        <w:ind w:left="506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780"/>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68401U105</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80"/>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4" w:lineRule="exact"/>
        <w:rPr>
          <w:sz w:val="24"/>
          <w:szCs w:val="24"/>
          <w:color w:val="auto"/>
        </w:rPr>
      </w:pPr>
    </w:p>
    <w:p>
      <w:pPr>
        <w:ind w:left="336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400" w:firstLine="6"/>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personâ€™s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7"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35901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46990"/>
                    </a:xfrm>
                    <a:prstGeom prst="rect">
                      <a:avLst/>
                    </a:prstGeom>
                    <a:noFill/>
                  </pic:spPr>
                </pic:pic>
              </a:graphicData>
            </a:graphic>
          </wp:anchor>
        </w:drawing>
      </w:r>
    </w:p>
    <w:p>
      <w:pPr>
        <w:sectPr>
          <w:pgSz w:w="11900" w:h="16838" w:orient="portrait"/>
          <w:cols w:equalWidth="0" w:num="1">
            <w:col w:w="11560"/>
          </w:cols>
          <w:pgMar w:left="160" w:top="383" w:right="1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80" w:type="dxa"/>
            <w:vAlign w:val="bottom"/>
          </w:tcPr>
          <w:p>
            <w:pPr>
              <w:jc w:val="center"/>
              <w:ind w:right="2792"/>
              <w:spacing w:after="0"/>
              <w:rPr>
                <w:sz w:val="20"/>
                <w:szCs w:val="20"/>
                <w:color w:val="auto"/>
              </w:rPr>
            </w:pPr>
            <w:r>
              <w:rPr>
                <w:rFonts w:ascii="Arial" w:cs="Arial" w:eastAsia="Arial" w:hAnsi="Arial"/>
                <w:sz w:val="22"/>
                <w:szCs w:val="22"/>
                <w:b w:val="1"/>
                <w:bCs w:val="1"/>
                <w:color w:val="auto"/>
                <w:w w:val="96"/>
              </w:rPr>
              <w:t>SCHEDULE 13G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0" w:type="dxa"/>
            <w:vAlign w:val="bottom"/>
            <w:tcBorders>
              <w:bottom w:val="single" w:sz="8" w:color="auto"/>
            </w:tcBorders>
            <w:gridSpan w:val="2"/>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8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CUSIP No.</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68401U105</w:t>
            </w:r>
          </w:p>
        </w:tc>
        <w:tc>
          <w:tcPr>
            <w:tcW w:w="8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40" w:type="dxa"/>
            <w:vAlign w:val="bottom"/>
            <w:tcBorders>
              <w:bottom w:val="single" w:sz="8" w:color="auto"/>
            </w:tcBorders>
            <w:gridSpan w:val="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Names of Reporting Persons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04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Harvey L. Poppel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1040" w:type="dxa"/>
            <w:vAlign w:val="bottom"/>
            <w:tcBorders>
              <w:right w:val="single" w:sz="8" w:color="auto"/>
            </w:tcBorders>
            <w:gridSpan w:val="6"/>
          </w:tcPr>
          <w:p>
            <w:pPr>
              <w:ind w:left="220"/>
              <w:spacing w:after="0"/>
              <w:rPr>
                <w:sz w:val="20"/>
                <w:szCs w:val="20"/>
                <w:color w:val="auto"/>
              </w:rPr>
            </w:pPr>
            <w:r>
              <w:rPr>
                <w:rFonts w:ascii="Arial" w:cs="Arial" w:eastAsia="Arial" w:hAnsi="Arial"/>
                <w:sz w:val="18"/>
                <w:szCs w:val="18"/>
                <w:color w:val="auto"/>
              </w:rPr>
              <w:t>(a) [X]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 [</w:t>
            </w:r>
          </w:p>
        </w:tc>
        <w:tc>
          <w:tcPr>
            <w:tcW w:w="2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6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Sec Use Only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1040" w:type="dxa"/>
            <w:vAlign w:val="bottom"/>
            <w:tcBorders>
              <w:bottom w:val="single" w:sz="8" w:color="auto"/>
              <w:right w:val="single" w:sz="8" w:color="auto"/>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4</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104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rPr>
              <w:t>Florida, U.S.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tcBorders>
              <w:right w:val="single" w:sz="8" w:color="auto"/>
            </w:tcBorders>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5</w:t>
            </w:r>
          </w:p>
        </w:tc>
        <w:tc>
          <w:tcPr>
            <w:tcW w:w="400" w:type="dxa"/>
            <w:vAlign w:val="bottom"/>
            <w:tcBorders>
              <w:right w:val="single" w:sz="8" w:color="auto"/>
            </w:tcBorders>
          </w:tcPr>
          <w:p>
            <w:pPr>
              <w:spacing w:after="0"/>
              <w:rPr>
                <w:sz w:val="16"/>
                <w:szCs w:val="16"/>
                <w:color w:val="auto"/>
              </w:rPr>
            </w:pPr>
          </w:p>
        </w:tc>
        <w:tc>
          <w:tcPr>
            <w:tcW w:w="982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Sole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994,898</w:t>
            </w:r>
          </w:p>
        </w:tc>
        <w:tc>
          <w:tcPr>
            <w:tcW w:w="868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0" w:type="dxa"/>
            <w:vAlign w:val="bottom"/>
            <w:tcBorders>
              <w:left w:val="single" w:sz="8" w:color="auto"/>
            </w:tcBorders>
          </w:tcPr>
          <w:p>
            <w:pPr>
              <w:spacing w:after="0"/>
              <w:rPr>
                <w:sz w:val="15"/>
                <w:szCs w:val="15"/>
                <w:color w:val="auto"/>
              </w:rPr>
            </w:pPr>
          </w:p>
        </w:tc>
        <w:tc>
          <w:tcPr>
            <w:tcW w:w="940" w:type="dxa"/>
            <w:vAlign w:val="bottom"/>
            <w:gridSpan w:val="2"/>
          </w:tcPr>
          <w:p>
            <w:pPr>
              <w:jc w:val="center"/>
              <w:ind w:right="50"/>
              <w:spacing w:after="0" w:line="177" w:lineRule="exact"/>
              <w:rPr>
                <w:sz w:val="20"/>
                <w:szCs w:val="20"/>
                <w:color w:val="auto"/>
              </w:rPr>
            </w:pPr>
            <w:r>
              <w:rPr>
                <w:rFonts w:ascii="Arial" w:cs="Arial" w:eastAsia="Arial" w:hAnsi="Arial"/>
                <w:sz w:val="18"/>
                <w:szCs w:val="18"/>
                <w:b w:val="1"/>
                <w:bCs w:val="1"/>
                <w:color w:val="auto"/>
                <w:w w:val="92"/>
              </w:rPr>
              <w:t>Owned by</w:t>
            </w:r>
          </w:p>
        </w:tc>
        <w:tc>
          <w:tcPr>
            <w:tcW w:w="60" w:type="dxa"/>
            <w:vAlign w:val="bottom"/>
            <w:tcBorders>
              <w:right w:val="single" w:sz="8" w:color="auto"/>
            </w:tcBorders>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6</w:t>
            </w:r>
          </w:p>
        </w:tc>
        <w:tc>
          <w:tcPr>
            <w:tcW w:w="400" w:type="dxa"/>
            <w:vAlign w:val="bottom"/>
            <w:tcBorders>
              <w:right w:val="single" w:sz="8" w:color="auto"/>
            </w:tcBorders>
          </w:tcPr>
          <w:p>
            <w:pPr>
              <w:spacing w:after="0"/>
              <w:rPr>
                <w:sz w:val="15"/>
                <w:szCs w:val="15"/>
                <w:color w:val="auto"/>
              </w:rPr>
            </w:pPr>
          </w:p>
        </w:tc>
        <w:tc>
          <w:tcPr>
            <w:tcW w:w="9820" w:type="dxa"/>
            <w:vAlign w:val="bottom"/>
            <w:tcBorders>
              <w:right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rPr>
              <w:t>Shared Voting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2"/>
              </w:rPr>
              <w:t>Each</w:t>
            </w: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8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Reporting</w:t>
            </w:r>
          </w:p>
        </w:tc>
        <w:tc>
          <w:tcPr>
            <w:tcW w:w="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994,898</w:t>
            </w:r>
          </w:p>
        </w:tc>
        <w:tc>
          <w:tcPr>
            <w:tcW w:w="86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center"/>
              <w:ind w:right="90"/>
              <w:spacing w:after="0"/>
              <w:rPr>
                <w:sz w:val="20"/>
                <w:szCs w:val="20"/>
                <w:color w:val="auto"/>
              </w:rPr>
            </w:pPr>
            <w:r>
              <w:rPr>
                <w:rFonts w:ascii="Arial" w:cs="Arial" w:eastAsia="Arial" w:hAnsi="Arial"/>
                <w:sz w:val="18"/>
                <w:szCs w:val="18"/>
                <w:b w:val="1"/>
                <w:bCs w:val="1"/>
                <w:color w:val="auto"/>
                <w:w w:val="85"/>
              </w:rPr>
              <w:t>Person</w:t>
            </w:r>
          </w:p>
        </w:tc>
        <w:tc>
          <w:tcPr>
            <w:tcW w:w="60" w:type="dxa"/>
            <w:vAlign w:val="bottom"/>
            <w:tcBorders>
              <w:right w:val="single" w:sz="8" w:color="auto"/>
            </w:tcBorders>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982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0" w:type="dxa"/>
            <w:vAlign w:val="bottom"/>
            <w:tcBorders>
              <w:left w:val="single" w:sz="8" w:color="auto"/>
            </w:tcBorders>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Borders>
              <w:right w:val="single" w:sz="8" w:color="auto"/>
            </w:tcBorders>
            <w:vMerge w:val="continue"/>
          </w:tcPr>
          <w:p>
            <w:pPr>
              <w:spacing w:after="0"/>
              <w:rPr>
                <w:sz w:val="14"/>
                <w:szCs w:val="14"/>
                <w:color w:val="auto"/>
              </w:rPr>
            </w:pPr>
          </w:p>
        </w:tc>
        <w:tc>
          <w:tcPr>
            <w:tcW w:w="160" w:type="dxa"/>
            <w:vAlign w:val="bottom"/>
          </w:tcPr>
          <w:p>
            <w:pPr>
              <w:jc w:val="right"/>
              <w:ind w:right="7"/>
              <w:spacing w:after="0" w:line="164" w:lineRule="exact"/>
              <w:rPr>
                <w:sz w:val="20"/>
                <w:szCs w:val="20"/>
                <w:color w:val="auto"/>
              </w:rPr>
            </w:pPr>
            <w:r>
              <w:rPr>
                <w:rFonts w:ascii="Arial" w:cs="Arial" w:eastAsia="Arial" w:hAnsi="Arial"/>
                <w:sz w:val="15"/>
                <w:szCs w:val="15"/>
                <w:b w:val="1"/>
                <w:bCs w:val="1"/>
                <w:color w:val="auto"/>
                <w:w w:val="71"/>
              </w:rPr>
              <w:t>7</w:t>
            </w:r>
          </w:p>
        </w:tc>
        <w:tc>
          <w:tcPr>
            <w:tcW w:w="400" w:type="dxa"/>
            <w:vAlign w:val="bottom"/>
            <w:tcBorders>
              <w:right w:val="single" w:sz="8" w:color="auto"/>
            </w:tcBorders>
          </w:tcPr>
          <w:p>
            <w:pPr>
              <w:spacing w:after="0"/>
              <w:rPr>
                <w:sz w:val="14"/>
                <w:szCs w:val="14"/>
                <w:color w:val="auto"/>
              </w:rPr>
            </w:pPr>
          </w:p>
        </w:tc>
        <w:tc>
          <w:tcPr>
            <w:tcW w:w="9820" w:type="dxa"/>
            <w:vAlign w:val="bottom"/>
            <w:tcBorders>
              <w:right w:val="single" w:sz="8" w:color="auto"/>
            </w:tcBorders>
            <w:gridSpan w:val="2"/>
          </w:tcPr>
          <w:p>
            <w:pPr>
              <w:spacing w:after="0" w:line="164" w:lineRule="exact"/>
              <w:rPr>
                <w:sz w:val="20"/>
                <w:szCs w:val="20"/>
                <w:color w:val="auto"/>
              </w:rPr>
            </w:pPr>
            <w:r>
              <w:rPr>
                <w:rFonts w:ascii="Arial" w:cs="Arial" w:eastAsia="Arial" w:hAnsi="Arial"/>
                <w:sz w:val="18"/>
                <w:szCs w:val="18"/>
                <w:b w:val="1"/>
                <w:bCs w:val="1"/>
                <w:color w:val="auto"/>
              </w:rPr>
              <w:t>Sole Dispositive Power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9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7"/>
              </w:rPr>
              <w:t>With:</w:t>
            </w:r>
          </w:p>
        </w:tc>
        <w:tc>
          <w:tcPr>
            <w:tcW w:w="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8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right w:val="single" w:sz="8" w:color="auto"/>
            </w:tcBorders>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9820" w:type="dxa"/>
            <w:vAlign w:val="bottom"/>
            <w:tcBorders>
              <w:bottom w:val="single" w:sz="8" w:color="auto"/>
              <w:right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Borders>
              <w:right w:val="single" w:sz="8" w:color="auto"/>
            </w:tcBorders>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8</w:t>
            </w:r>
          </w:p>
        </w:tc>
        <w:tc>
          <w:tcPr>
            <w:tcW w:w="400" w:type="dxa"/>
            <w:vAlign w:val="bottom"/>
            <w:tcBorders>
              <w:right w:val="single" w:sz="8" w:color="auto"/>
            </w:tcBorders>
          </w:tcPr>
          <w:p>
            <w:pPr>
              <w:spacing w:after="0"/>
              <w:rPr>
                <w:sz w:val="19"/>
                <w:szCs w:val="19"/>
                <w:color w:val="auto"/>
              </w:rPr>
            </w:pPr>
          </w:p>
        </w:tc>
        <w:tc>
          <w:tcPr>
            <w:tcW w:w="98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994,898</w:t>
            </w:r>
          </w:p>
        </w:tc>
        <w:tc>
          <w:tcPr>
            <w:tcW w:w="86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9</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994,898</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79"/>
              </w:rPr>
              <w:t>10</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79"/>
              </w:rPr>
              <w:t>11</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8.26% (2)</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w w:val="79"/>
              </w:rPr>
              <w:t>12</w:t>
            </w:r>
          </w:p>
        </w:tc>
        <w:tc>
          <w:tcPr>
            <w:tcW w:w="340" w:type="dxa"/>
            <w:vAlign w:val="bottom"/>
            <w:tcBorders>
              <w:right w:val="single" w:sz="8" w:color="auto"/>
            </w:tcBorders>
          </w:tcPr>
          <w:p>
            <w:pPr>
              <w:spacing w:after="0"/>
              <w:rPr>
                <w:sz w:val="19"/>
                <w:szCs w:val="19"/>
                <w:color w:val="auto"/>
              </w:rPr>
            </w:pPr>
          </w:p>
        </w:tc>
        <w:tc>
          <w:tcPr>
            <w:tcW w:w="110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68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80" w:type="dxa"/>
            <w:vAlign w:val="bottom"/>
          </w:tcPr>
          <w:p>
            <w:pPr>
              <w:jc w:val="center"/>
              <w:ind w:right="2792"/>
              <w:spacing w:after="0"/>
              <w:rPr>
                <w:sz w:val="20"/>
                <w:szCs w:val="20"/>
                <w:color w:val="auto"/>
              </w:rPr>
            </w:pPr>
            <w:r>
              <w:rPr>
                <w:rFonts w:ascii="Arial" w:cs="Arial" w:eastAsia="Arial" w:hAnsi="Arial"/>
                <w:sz w:val="22"/>
                <w:szCs w:val="22"/>
                <w:color w:val="auto"/>
                <w:w w:val="87"/>
              </w:rPr>
              <w:t>Page 2 of 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left w:val="single" w:sz="8" w:color="auto"/>
            </w:tcBorders>
            <w:shd w:val="clear" w:color="auto" w:fill="000000"/>
          </w:tcPr>
          <w:p>
            <w:pPr>
              <w:spacing w:after="0"/>
              <w:rPr>
                <w:sz w:val="6"/>
                <w:szCs w:val="6"/>
                <w:color w:val="auto"/>
              </w:rPr>
            </w:pPr>
          </w:p>
        </w:tc>
        <w:tc>
          <w:tcPr>
            <w:tcW w:w="340" w:type="dxa"/>
            <w:vAlign w:val="bottom"/>
            <w:tcBorders>
              <w:right w:val="single" w:sz="8" w:color="auto"/>
            </w:tcBorders>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60" w:type="dxa"/>
            <w:vAlign w:val="bottom"/>
            <w:tcBorders>
              <w:right w:val="single" w:sz="8" w:color="auto"/>
            </w:tcBorders>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400" w:type="dxa"/>
            <w:vAlign w:val="bottom"/>
            <w:tcBorders>
              <w:right w:val="single" w:sz="8" w:color="auto"/>
            </w:tcBorders>
            <w:shd w:val="clear" w:color="auto" w:fill="000000"/>
          </w:tcPr>
          <w:p>
            <w:pPr>
              <w:spacing w:after="0"/>
              <w:rPr>
                <w:sz w:val="6"/>
                <w:szCs w:val="6"/>
                <w:color w:val="auto"/>
              </w:rPr>
            </w:pPr>
          </w:p>
        </w:tc>
        <w:tc>
          <w:tcPr>
            <w:tcW w:w="1140" w:type="dxa"/>
            <w:vAlign w:val="bottom"/>
            <w:tcBorders>
              <w:right w:val="single" w:sz="8" w:color="auto"/>
            </w:tcBorders>
            <w:shd w:val="clear" w:color="auto" w:fill="000000"/>
          </w:tcPr>
          <w:p>
            <w:pPr>
              <w:spacing w:after="0"/>
              <w:rPr>
                <w:sz w:val="6"/>
                <w:szCs w:val="6"/>
                <w:color w:val="auto"/>
              </w:rPr>
            </w:pPr>
          </w:p>
        </w:tc>
        <w:tc>
          <w:tcPr>
            <w:tcW w:w="8680" w:type="dxa"/>
            <w:vAlign w:val="bottom"/>
            <w:tcBorders>
              <w:right w:val="single" w:sz="8" w:color="auto"/>
            </w:tcBorders>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600"/>
          </w:cols>
          <w:pgMar w:left="160" w:top="31" w:right="139" w:bottom="1440" w:gutter="0" w:footer="0" w:header="0"/>
        </w:sectPr>
      </w:pPr>
    </w:p>
    <w:bookmarkStart w:id="2" w:name="page3"/>
    <w:bookmarkEnd w:id="2"/>
    <w:p>
      <w:pPr>
        <w:jc w:val="both"/>
        <w:ind w:firstLine="8"/>
        <w:spacing w:after="0" w:line="274" w:lineRule="auto"/>
        <w:tabs>
          <w:tab w:leader="none" w:pos="329"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total which includes 994,898 common shares held directly by Harvey L. Poppel on behalf of Harvey L. Poppel, Lee, A.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8" w:lineRule="exact"/>
        <w:rPr>
          <w:rFonts w:ascii="Arial" w:cs="Arial" w:eastAsia="Arial" w:hAnsi="Arial"/>
          <w:sz w:val="19"/>
          <w:szCs w:val="19"/>
          <w:color w:val="auto"/>
        </w:rPr>
      </w:pPr>
    </w:p>
    <w:p>
      <w:pPr>
        <w:ind w:firstLine="8"/>
        <w:spacing w:after="0" w:line="250" w:lineRule="auto"/>
        <w:tabs>
          <w:tab w:leader="none" w:pos="31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percentage is calculated based upon 12,038,618 voting shares of the Issuers common stock outstanding as of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OptimizeRx Corporation</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Issuerâ€™s Principal Executive Offices: </w:t>
      </w:r>
      <w:r>
        <w:rPr>
          <w:rFonts w:ascii="Arial" w:cs="Arial" w:eastAsia="Arial" w:hAnsi="Arial"/>
          <w:sz w:val="22"/>
          <w:szCs w:val="22"/>
          <w:color w:val="auto"/>
        </w:rPr>
        <w:t>400 Water St. Ste. 200, Rochester, Michigan 48307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Harvey L. Poppel</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110 El Mirasol, Palm Beach FL 33480</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U.S.</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68401U105</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Â§Â§ 240.13d-1(b) or 240.13d-2(b) or (c), check whether the person filing is a: Not applicable</w:t>
      </w:r>
    </w:p>
    <w:p>
      <w:pPr>
        <w:spacing w:after="0" w:line="256" w:lineRule="exact"/>
        <w:rPr>
          <w:sz w:val="20"/>
          <w:szCs w:val="20"/>
          <w:color w:val="auto"/>
        </w:rPr>
      </w:pPr>
    </w:p>
    <w:p>
      <w:pPr>
        <w:ind w:left="1180" w:hanging="565"/>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35901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46990"/>
                    </a:xfrm>
                    <a:prstGeom prst="rect">
                      <a:avLst/>
                    </a:prstGeom>
                    <a:noFill/>
                  </pic:spPr>
                </pic:pic>
              </a:graphicData>
            </a:graphic>
          </wp:anchor>
        </w:drawing>
      </w:r>
    </w:p>
    <w:p>
      <w:pPr>
        <w:sectPr>
          <w:pgSz w:w="11900" w:h="16838" w:orient="portrait"/>
          <w:cols w:equalWidth="0" w:num="1">
            <w:col w:w="11560"/>
          </w:cols>
          <w:pgMar w:left="160" w:top="38" w:right="179" w:bottom="1440" w:gutter="0" w:footer="0" w:header="0"/>
        </w:sectPr>
      </w:pPr>
    </w:p>
    <w:bookmarkStart w:id="3" w:name="page4"/>
    <w:bookmarkEnd w:id="3"/>
    <w:p>
      <w:pPr>
        <w:ind w:left="1180" w:hanging="565"/>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80" w:hanging="565"/>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40" w:hanging="1125"/>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80" w:hanging="565"/>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40" w:hanging="1125"/>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 (J), please specify the type of institution: _____</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 994,898 (1)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8.26% (2)</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 994,898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994,898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Shared power to dispose or to direct the disposition of: 994,898 (1)</w:t>
      </w:r>
    </w:p>
    <w:p>
      <w:pPr>
        <w:spacing w:after="0" w:line="222" w:lineRule="exact"/>
        <w:rPr>
          <w:sz w:val="20"/>
          <w:szCs w:val="20"/>
          <w:color w:val="auto"/>
        </w:rPr>
      </w:pPr>
    </w:p>
    <w:p>
      <w:pPr>
        <w:jc w:val="both"/>
        <w:ind w:firstLine="8"/>
        <w:spacing w:after="0" w:line="274" w:lineRule="auto"/>
        <w:tabs>
          <w:tab w:leader="none" w:pos="33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total which includes 994,898 common shares held directly by Harvey L. Poppel on behalf of Harvey L. Poppel, Lee A.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8" w:lineRule="exact"/>
        <w:rPr>
          <w:rFonts w:ascii="Arial" w:cs="Arial" w:eastAsia="Arial" w:hAnsi="Arial"/>
          <w:sz w:val="19"/>
          <w:szCs w:val="19"/>
          <w:color w:val="auto"/>
        </w:rPr>
      </w:pPr>
    </w:p>
    <w:p>
      <w:pPr>
        <w:ind w:firstLine="8"/>
        <w:spacing w:after="0" w:line="250" w:lineRule="auto"/>
        <w:tabs>
          <w:tab w:leader="none" w:pos="31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percentage is calculated based upon 12,038,618 voting shares of the Issuers common stock outstanding as of December 31, 2018.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35901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59015" cy="46990"/>
                    </a:xfrm>
                    <a:prstGeom prst="rect">
                      <a:avLst/>
                    </a:prstGeom>
                    <a:noFill/>
                  </pic:spPr>
                </pic:pic>
              </a:graphicData>
            </a:graphic>
          </wp:anchor>
        </w:drawing>
      </w:r>
    </w:p>
    <w:p>
      <w:pPr>
        <w:sectPr>
          <w:pgSz w:w="11900" w:h="16838" w:orient="portrait"/>
          <w:cols w:equalWidth="0" w:num="1">
            <w:col w:w="11560"/>
          </w:cols>
          <w:pgMar w:left="160" w:top="288" w:right="1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 Not Applicable</w:t>
            </w:r>
          </w:p>
        </w:tc>
      </w:tr>
      <w:tr>
        <w:trPr>
          <w:trHeight w:val="418"/>
        </w:trPr>
        <w:tc>
          <w:tcPr>
            <w:tcW w:w="900" w:type="dxa"/>
            <w:vAlign w:val="bottom"/>
          </w:tcPr>
          <w:p>
            <w:pPr>
              <w:spacing w:after="0"/>
              <w:rPr>
                <w:sz w:val="24"/>
                <w:szCs w:val="24"/>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 than</w:t>
            </w:r>
          </w:p>
        </w:tc>
      </w:tr>
      <w:tr>
        <w:trPr>
          <w:trHeight w:val="230"/>
        </w:trPr>
        <w:tc>
          <w:tcPr>
            <w:tcW w:w="90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five percent of the class of securities, check the following [ ].</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 Not Applicable</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 holding company or</w:t>
            </w:r>
          </w:p>
        </w:tc>
      </w:tr>
      <w:tr>
        <w:trPr>
          <w:trHeight w:val="234"/>
        </w:trPr>
        <w:tc>
          <w:tcPr>
            <w:tcW w:w="900" w:type="dxa"/>
            <w:vAlign w:val="bottom"/>
          </w:tcPr>
          <w:p>
            <w:pPr>
              <w:spacing w:after="0"/>
              <w:rPr>
                <w:sz w:val="20"/>
                <w:szCs w:val="20"/>
                <w:color w:val="auto"/>
              </w:rPr>
            </w:pP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control person.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70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900" w:type="dxa"/>
            <w:vAlign w:val="bottom"/>
          </w:tcPr>
          <w:p>
            <w:pPr>
              <w:spacing w:after="0"/>
              <w:rPr>
                <w:sz w:val="24"/>
                <w:szCs w:val="24"/>
                <w:color w:val="auto"/>
              </w:rPr>
            </w:pPr>
          </w:p>
        </w:tc>
        <w:tc>
          <w:tcPr>
            <w:tcW w:w="10700" w:type="dxa"/>
            <w:vAlign w:val="bottom"/>
          </w:tcPr>
          <w:p>
            <w:pPr>
              <w:ind w:left="4400"/>
              <w:spacing w:after="0"/>
              <w:rPr>
                <w:sz w:val="20"/>
                <w:szCs w:val="20"/>
                <w:color w:val="auto"/>
              </w:rPr>
            </w:pPr>
            <w:r>
              <w:rPr>
                <w:rFonts w:ascii="Arial" w:cs="Arial" w:eastAsia="Arial" w:hAnsi="Arial"/>
                <w:sz w:val="22"/>
                <w:szCs w:val="22"/>
                <w:color w:val="auto"/>
              </w:rPr>
              <w:t>Page 5 of 6</w:t>
            </w:r>
          </w:p>
        </w:tc>
      </w:tr>
      <w:tr>
        <w:trPr>
          <w:trHeight w:val="203"/>
        </w:trPr>
        <w:tc>
          <w:tcPr>
            <w:tcW w:w="900" w:type="dxa"/>
            <w:vAlign w:val="bottom"/>
          </w:tcPr>
          <w:p>
            <w:pPr>
              <w:spacing w:after="0"/>
              <w:rPr>
                <w:sz w:val="17"/>
                <w:szCs w:val="17"/>
                <w:color w:val="auto"/>
              </w:rPr>
            </w:pPr>
          </w:p>
        </w:tc>
        <w:tc>
          <w:tcPr>
            <w:tcW w:w="1070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700" w:type="dxa"/>
            <w:vAlign w:val="bottom"/>
            <w:shd w:val="clear" w:color="auto" w:fill="000000"/>
          </w:tcPr>
          <w:p>
            <w:pPr>
              <w:spacing w:after="0"/>
              <w:rPr>
                <w:sz w:val="6"/>
                <w:szCs w:val="6"/>
                <w:color w:val="auto"/>
              </w:rPr>
            </w:pPr>
          </w:p>
        </w:tc>
      </w:tr>
    </w:tbl>
    <w:p>
      <w:pPr>
        <w:sectPr>
          <w:pgSz w:w="11900" w:h="16838" w:orient="portrait"/>
          <w:cols w:equalWidth="0" w:num="1">
            <w:col w:w="11600"/>
          </w:cols>
          <w:pgMar w:left="160" w:top="284" w:right="1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35901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46990"/>
                    </a:xfrm>
                    <a:prstGeom prst="rect">
                      <a:avLst/>
                    </a:prstGeom>
                    <a:noFill/>
                  </pic:spPr>
                </pic:pic>
              </a:graphicData>
            </a:graphic>
          </wp:anchor>
        </w:drawing>
      </w:r>
    </w:p>
    <w:sectPr>
      <w:pgSz w:w="11900" w:h="16838" w:orient="portrait"/>
      <w:cols w:equalWidth="0" w:num="1">
        <w:col w:w="11560"/>
      </w:cols>
      <w:pgMar w:left="160" w:top="31"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2019-11-24T14:52:16Z</dcterms:created>
  <dcterms:modified xsi:type="dcterms:W3CDTF">2019-11-24T14:52:16Z</dcterms:modified>
</cp:coreProperties>
</file>