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____________________</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3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May 18,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OptimizeRx Corporation</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94" w:lineRule="exact"/>
        <w:rPr>
          <w:sz w:val="24"/>
          <w:szCs w:val="24"/>
          <w:color w:val="auto"/>
        </w:rPr>
      </w:pPr>
    </w:p>
    <w:tbl>
      <w:tblPr>
        <w:tblLayout w:type="fixed"/>
        <w:tblInd w:w="28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0"/>
              </w:rPr>
              <w:t>Nevada</w:t>
            </w:r>
          </w:p>
        </w:tc>
        <w:tc>
          <w:tcPr>
            <w:tcW w:w="24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2120" w:type="dxa"/>
            <w:vAlign w:val="bottom"/>
            <w:gridSpan w:val="2"/>
          </w:tcPr>
          <w:p>
            <w:pPr>
              <w:jc w:val="right"/>
              <w:ind w:right="1340"/>
              <w:spacing w:after="0"/>
              <w:rPr>
                <w:sz w:val="20"/>
                <w:szCs w:val="20"/>
                <w:color w:val="auto"/>
              </w:rPr>
            </w:pPr>
            <w:r>
              <w:rPr>
                <w:rFonts w:ascii="Arial" w:cs="Arial" w:eastAsia="Arial" w:hAnsi="Arial"/>
                <w:sz w:val="18"/>
                <w:szCs w:val="18"/>
                <w:color w:val="auto"/>
                <w:w w:val="88"/>
              </w:rPr>
              <w:t>001-38543</w:t>
            </w:r>
          </w:p>
        </w:tc>
        <w:tc>
          <w:tcPr>
            <w:tcW w:w="3340" w:type="dxa"/>
            <w:vAlign w:val="bottom"/>
            <w:gridSpan w:val="5"/>
          </w:tcPr>
          <w:p>
            <w:pPr>
              <w:jc w:val="right"/>
              <w:ind w:right="880"/>
              <w:spacing w:after="0"/>
              <w:rPr>
                <w:sz w:val="20"/>
                <w:szCs w:val="20"/>
                <w:color w:val="auto"/>
              </w:rPr>
            </w:pPr>
            <w:r>
              <w:rPr>
                <w:rFonts w:ascii="Arial" w:cs="Arial" w:eastAsia="Arial" w:hAnsi="Arial"/>
                <w:sz w:val="18"/>
                <w:szCs w:val="18"/>
                <w:color w:val="auto"/>
              </w:rPr>
              <w:t>26-1265381</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37"/>
        </w:trPr>
        <w:tc>
          <w:tcPr>
            <w:tcW w:w="4300" w:type="dxa"/>
            <w:vAlign w:val="bottom"/>
            <w:gridSpan w:val="5"/>
          </w:tcPr>
          <w:p>
            <w:pPr>
              <w:jc w:val="center"/>
              <w:ind w:right="1140"/>
              <w:spacing w:after="0"/>
              <w:rPr>
                <w:sz w:val="20"/>
                <w:szCs w:val="20"/>
                <w:color w:val="auto"/>
              </w:rPr>
            </w:pPr>
            <w:r>
              <w:rPr>
                <w:rFonts w:ascii="Arial" w:cs="Arial" w:eastAsia="Arial" w:hAnsi="Arial"/>
                <w:sz w:val="18"/>
                <w:szCs w:val="18"/>
                <w:color w:val="auto"/>
                <w:w w:val="92"/>
              </w:rPr>
              <w:t>(State or other jurisdiction of incorporation)</w:t>
            </w:r>
          </w:p>
        </w:tc>
        <w:tc>
          <w:tcPr>
            <w:tcW w:w="2780" w:type="dxa"/>
            <w:vAlign w:val="bottom"/>
            <w:gridSpan w:val="3"/>
          </w:tcPr>
          <w:p>
            <w:pPr>
              <w:jc w:val="center"/>
              <w:ind w:right="680"/>
              <w:spacing w:after="0"/>
              <w:rPr>
                <w:sz w:val="20"/>
                <w:szCs w:val="20"/>
                <w:color w:val="auto"/>
              </w:rPr>
            </w:pPr>
            <w:r>
              <w:rPr>
                <w:rFonts w:ascii="Arial" w:cs="Arial" w:eastAsia="Arial" w:hAnsi="Arial"/>
                <w:sz w:val="18"/>
                <w:szCs w:val="18"/>
                <w:color w:val="auto"/>
                <w:w w:val="92"/>
              </w:rPr>
              <w:t>(Commission File Number)</w:t>
            </w:r>
          </w:p>
        </w:tc>
        <w:tc>
          <w:tcPr>
            <w:tcW w:w="3340" w:type="dxa"/>
            <w:vAlign w:val="bottom"/>
            <w:gridSpan w:val="5"/>
          </w:tcPr>
          <w:p>
            <w:pPr>
              <w:jc w:val="center"/>
              <w:ind w:left="630"/>
              <w:spacing w:after="0"/>
              <w:rPr>
                <w:sz w:val="20"/>
                <w:szCs w:val="20"/>
                <w:color w:val="auto"/>
              </w:rPr>
            </w:pPr>
            <w:r>
              <w:rPr>
                <w:rFonts w:ascii="Arial" w:cs="Arial" w:eastAsia="Arial" w:hAnsi="Arial"/>
                <w:sz w:val="18"/>
                <w:szCs w:val="18"/>
                <w:color w:val="auto"/>
                <w:w w:val="94"/>
              </w:rPr>
              <w:t>(I.R.S. Employer Identification No.)</w:t>
            </w:r>
          </w:p>
        </w:tc>
      </w:tr>
      <w:tr>
        <w:trPr>
          <w:trHeight w:val="391"/>
        </w:trPr>
        <w:tc>
          <w:tcPr>
            <w:tcW w:w="1160" w:type="dxa"/>
            <w:vAlign w:val="bottom"/>
          </w:tcPr>
          <w:p>
            <w:pPr>
              <w:spacing w:after="0"/>
              <w:rPr>
                <w:sz w:val="24"/>
                <w:szCs w:val="24"/>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0"/>
              </w:rPr>
              <w:t>400 Water Street, Suite 200, Rochester, MI</w:t>
            </w: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0" w:type="dxa"/>
            <w:vAlign w:val="bottom"/>
            <w:gridSpan w:val="3"/>
          </w:tcPr>
          <w:p>
            <w:pPr>
              <w:jc w:val="right"/>
              <w:ind w:right="140"/>
              <w:spacing w:after="0"/>
              <w:rPr>
                <w:sz w:val="20"/>
                <w:szCs w:val="20"/>
                <w:color w:val="auto"/>
              </w:rPr>
            </w:pPr>
            <w:r>
              <w:rPr>
                <w:rFonts w:ascii="Arial" w:cs="Arial" w:eastAsia="Arial" w:hAnsi="Arial"/>
                <w:sz w:val="18"/>
                <w:szCs w:val="18"/>
                <w:color w:val="auto"/>
              </w:rPr>
              <w:t>48307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31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310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340" w:type="dxa"/>
            <w:vAlign w:val="bottom"/>
            <w:gridSpan w:val="5"/>
          </w:tcPr>
          <w:p>
            <w:pPr>
              <w:jc w:val="center"/>
              <w:ind w:right="86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0" w:lineRule="exact"/>
        <w:rPr>
          <w:sz w:val="24"/>
          <w:szCs w:val="24"/>
          <w:color w:val="auto"/>
        </w:rPr>
      </w:pPr>
    </w:p>
    <w:p>
      <w:pPr>
        <w:spacing w:after="0" w:line="241"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___________________________________________________</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360" w:type="dxa"/>
            <w:vAlign w:val="bottom"/>
            <w:gridSpan w:val="3"/>
          </w:tcPr>
          <w:p>
            <w:pPr>
              <w:spacing w:after="0"/>
              <w:rPr>
                <w:sz w:val="20"/>
                <w:szCs w:val="20"/>
                <w:color w:val="auto"/>
              </w:rPr>
            </w:pPr>
            <w:r>
              <w:rPr>
                <w:rFonts w:ascii="Arial" w:cs="Arial" w:eastAsia="Arial" w:hAnsi="Arial"/>
                <w:sz w:val="18"/>
                <w:szCs w:val="18"/>
                <w:color w:val="auto"/>
                <w:w w:val="94"/>
              </w:rPr>
              <w:t>Securities registered pursuant to Section 12(b) of the Act:</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60" w:type="dxa"/>
            <w:vAlign w:val="bottom"/>
          </w:tcPr>
          <w:p>
            <w:pPr>
              <w:spacing w:after="0"/>
              <w:rPr>
                <w:sz w:val="20"/>
                <w:szCs w:val="20"/>
                <w:color w:val="auto"/>
              </w:rPr>
            </w:pPr>
          </w:p>
        </w:tc>
      </w:tr>
      <w:tr>
        <w:trPr>
          <w:trHeight w:val="439"/>
        </w:trPr>
        <w:tc>
          <w:tcPr>
            <w:tcW w:w="4360" w:type="dxa"/>
            <w:vAlign w:val="bottom"/>
            <w:gridSpan w:val="3"/>
          </w:tcPr>
          <w:p>
            <w:pPr>
              <w:jc w:val="center"/>
              <w:ind w:right="960"/>
              <w:spacing w:after="0"/>
              <w:rPr>
                <w:sz w:val="20"/>
                <w:szCs w:val="20"/>
                <w:color w:val="auto"/>
              </w:rPr>
            </w:pPr>
            <w:r>
              <w:rPr>
                <w:rFonts w:ascii="Arial" w:cs="Arial" w:eastAsia="Arial" w:hAnsi="Arial"/>
                <w:sz w:val="18"/>
                <w:szCs w:val="18"/>
                <w:b w:val="1"/>
                <w:bCs w:val="1"/>
                <w:color w:val="auto"/>
                <w:w w:val="87"/>
              </w:rPr>
              <w:t>Title of each class</w:t>
            </w:r>
          </w:p>
        </w:tc>
        <w:tc>
          <w:tcPr>
            <w:tcW w:w="262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90"/>
              </w:rPr>
              <w:t>Trading symbol</w:t>
            </w:r>
          </w:p>
        </w:tc>
        <w:tc>
          <w:tcPr>
            <w:tcW w:w="426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33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Common Stock</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center"/>
              <w:ind w:right="770"/>
              <w:spacing w:after="0"/>
              <w:rPr>
                <w:sz w:val="20"/>
                <w:szCs w:val="20"/>
                <w:color w:val="auto"/>
              </w:rPr>
            </w:pPr>
            <w:r>
              <w:rPr>
                <w:rFonts w:ascii="Arial" w:cs="Arial" w:eastAsia="Arial" w:hAnsi="Arial"/>
                <w:sz w:val="18"/>
                <w:szCs w:val="18"/>
                <w:color w:val="auto"/>
                <w:w w:val="93"/>
              </w:rPr>
              <w:t>OPRX</w:t>
            </w:r>
          </w:p>
        </w:tc>
        <w:tc>
          <w:tcPr>
            <w:tcW w:w="120" w:type="dxa"/>
            <w:vAlign w:val="bottom"/>
            <w:tcBorders>
              <w:top w:val="single" w:sz="8" w:color="CCEEFF"/>
            </w:tcBorders>
            <w:shd w:val="clear" w:color="auto" w:fill="CCEEFF"/>
          </w:tcPr>
          <w:p>
            <w:pPr>
              <w:spacing w:after="0"/>
              <w:rPr>
                <w:sz w:val="18"/>
                <w:szCs w:val="18"/>
                <w:color w:val="auto"/>
              </w:rPr>
            </w:pPr>
          </w:p>
        </w:tc>
        <w:tc>
          <w:tcPr>
            <w:tcW w:w="4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Nasdaq Capital Market</w:t>
            </w:r>
          </w:p>
        </w:tc>
      </w:tr>
      <w:tr>
        <w:trPr>
          <w:trHeight w:val="486"/>
        </w:trPr>
        <w:tc>
          <w:tcPr>
            <w:tcW w:w="3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r>
        <w:trPr>
          <w:trHeight w:val="28"/>
        </w:trPr>
        <w:tc>
          <w:tcPr>
            <w:tcW w:w="3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tcPr>
          <w:p>
            <w:pPr>
              <w:spacing w:after="0"/>
              <w:rPr>
                <w:sz w:val="2"/>
                <w:szCs w:val="2"/>
                <w:color w:val="auto"/>
              </w:rPr>
            </w:pPr>
          </w:p>
        </w:tc>
      </w:tr>
      <w:tr>
        <w:trPr>
          <w:trHeight w:val="223"/>
        </w:trPr>
        <w:tc>
          <w:tcPr>
            <w:tcW w:w="3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60" w:type="dxa"/>
            <w:vAlign w:val="bottom"/>
            <w:tcBorders>
              <w:bottom w:val="single" w:sz="8" w:color="auto"/>
            </w:tcBorders>
          </w:tcPr>
          <w:p>
            <w:pPr>
              <w:spacing w:after="0"/>
              <w:rPr>
                <w:sz w:val="19"/>
                <w:szCs w:val="19"/>
                <w:color w:val="auto"/>
              </w:rPr>
            </w:pPr>
          </w:p>
        </w:tc>
      </w:tr>
    </w:tbl>
    <w:p>
      <w:pPr>
        <w:sectPr>
          <w:pgSz w:w="11900" w:h="16838" w:orient="portrait"/>
          <w:cols w:equalWidth="0" w:num="1">
            <w:col w:w="11240"/>
          </w:cols>
          <w:pgMar w:left="320" w:top="45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On May 18, 2020, we issued a press release announcing that we have been invited to present in RBC Capital Markets virtual Global Healthcare Conference: "Beyond 2020: The Changing Face of Healthcare.” A copy of the press release is attached as Exhibit 99.1 to this Current Report on Form 8-K.</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12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May 18,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357505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14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19,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165735</wp:posOffset>
            </wp:positionV>
            <wp:extent cx="1894840" cy="4457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9484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640"/>
        <w:spacing w:after="0"/>
        <w:rPr>
          <w:sz w:val="20"/>
          <w:szCs w:val="20"/>
          <w:color w:val="auto"/>
        </w:rPr>
      </w:pPr>
      <w:r>
        <w:rPr>
          <w:rFonts w:ascii="Arial" w:cs="Arial" w:eastAsia="Arial" w:hAnsi="Arial"/>
          <w:sz w:val="18"/>
          <w:szCs w:val="18"/>
          <w:b w:val="1"/>
          <w:bCs w:val="1"/>
          <w:color w:val="auto"/>
        </w:rPr>
        <w:t>OptimizeRx to Present at RBC Capital Markets Global Healthcare Virtual Conference on May 19, 2020</w:t>
      </w:r>
    </w:p>
    <w:p>
      <w:pPr>
        <w:spacing w:after="0" w:line="117"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ROCHESTER, Mich., (May 18, 2020) — </w:t>
      </w:r>
      <w:r>
        <w:rPr>
          <w:rFonts w:ascii="Arial" w:cs="Arial" w:eastAsia="Arial" w:hAnsi="Arial"/>
          <w:sz w:val="18"/>
          <w:szCs w:val="18"/>
          <w:color w:val="auto"/>
        </w:rPr>
        <w:t>OptimizeRx Corp. (Nasdaq: OPRX), a leading provider of digital health solutions for life science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payers and providers, has been invited to present in RBC Capital Markets virtual Global Healthcare Conference: "Beyond 2020: The Changing Face of Healthcare.” The event is being held on May 19-20, 2020.</w:t>
      </w:r>
    </w:p>
    <w:p>
      <w:pPr>
        <w:spacing w:after="0" w:line="18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event aims to dig deeper across sectors into how the healthcare industry will emerge out of the COVID-19 pandemic, uncovering new approaches to innovation, such as digital health, future trends in industry collaboration and consolidation, and political and macro-economic influences.</w:t>
      </w:r>
    </w:p>
    <w:p>
      <w:pPr>
        <w:spacing w:after="0" w:line="12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OptimizeRx CEO William Febbo is scheduled to present on May 19, 2020, at 8:35 a.m. Eastern time, as well as participate in virtual one-on-one meetings. He will discuss a number of topics, including the company’s record Q1 results, client base that includes world’s Top 20 pharmaceutical companies, and how the company is supporting better health outcomes through its digital health network that now reaches 60% of the ambulatory market and patients nationwide.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live presentation will be available at investors.optimizerx.com/events-and-presentations.</w:t>
      </w:r>
    </w:p>
    <w:p>
      <w:pPr>
        <w:spacing w:after="0" w:line="225"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event is for institutional clients of RBC and is by invitation only. To schedule a one-on-one meeting with OptimizeRx, please contact your RBC sales representative. For any questions about OptimizeRx, contact Ron Both of CMA at (949) 432-7557 or submit your request here.</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r>
        <w:rPr>
          <w:rFonts w:ascii="Arial" w:cs="Arial" w:eastAsia="Arial" w:hAnsi="Arial"/>
          <w:sz w:val="18"/>
          <w:szCs w:val="18"/>
          <w:color w:val="auto"/>
        </w:rPr>
        <w:t>®</w:t>
      </w:r>
    </w:p>
    <w:p>
      <w:pPr>
        <w:spacing w:after="0" w:line="27"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OptimizeRx Corporation (NASDAQ: OPRX) is a digital health company that facilitates communication at point-of-care among all stakeholders in healthcare. Primarily focused on life science and payer clients, its suite of digital and mobile SaaS-based solutions enables affordability, patient adherence and care management. OptimizeRx’s network reaches more than 60% of U.S. ambulatory providers, delivering therapeutic support on specialty medications and patient financial assistance directly within a provider’s workflow through leading electronic health platforms. OptimizeRx’s fully integrated platform supports the real-time exchange of information, improving provider knowledge and patient engagement, and ultimately leading to healthier outcomes.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For more information, go to OptimizeRx.com, and follow the company on Twitter and LinkedIn</w:t>
      </w:r>
      <w:r>
        <w:rPr>
          <w:rFonts w:ascii="Arial" w:cs="Arial" w:eastAsia="Arial" w:hAnsi="Arial"/>
          <w:sz w:val="18"/>
          <w:szCs w:val="18"/>
          <w:u w:val="single" w:color="auto"/>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as in section 21E of the Securities Act of 1934, as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Maira Alejandra, Media Relations Manager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(754) 245-7070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malejandra@optimizerx.com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or Grant Stude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CMA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oprx@cma.team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485775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8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2020-05-19T10:08:13Z</dcterms:created>
  <dcterms:modified xsi:type="dcterms:W3CDTF">2020-05-19T10:08:13Z</dcterms:modified>
</cp:coreProperties>
</file>