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142875</wp:posOffset>
            </wp:positionV>
            <wp:extent cx="1449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40" w:type="dxa"/>
            <w:vAlign w:val="bottom"/>
            <w:gridSpan w:val="6"/>
          </w:tcPr>
          <w:p>
            <w:pPr>
              <w:jc w:val="center"/>
              <w:ind w:right="1540"/>
              <w:spacing w:after="0"/>
              <w:rPr>
                <w:sz w:val="20"/>
                <w:szCs w:val="20"/>
                <w:color w:val="auto"/>
              </w:rPr>
            </w:pPr>
            <w:r>
              <w:rPr>
                <w:rFonts w:ascii="Arial" w:cs="Arial" w:eastAsia="Arial" w:hAnsi="Arial"/>
                <w:sz w:val="18"/>
                <w:szCs w:val="18"/>
                <w:b w:val="1"/>
                <w:bCs w:val="1"/>
                <w:color w:val="auto"/>
              </w:rPr>
              <w:t>FORM 8-K</w:t>
            </w:r>
          </w:p>
        </w:tc>
        <w:tc>
          <w:tcPr>
            <w:tcW w:w="3260" w:type="dxa"/>
            <w:vAlign w:val="bottom"/>
          </w:tcPr>
          <w:p>
            <w:pPr>
              <w:spacing w:after="0"/>
              <w:rPr>
                <w:sz w:val="20"/>
                <w:szCs w:val="20"/>
                <w:color w:val="auto"/>
              </w:rPr>
            </w:pPr>
          </w:p>
        </w:tc>
      </w:tr>
      <w:tr>
        <w:trPr>
          <w:trHeight w:val="414"/>
        </w:trPr>
        <w:tc>
          <w:tcPr>
            <w:tcW w:w="3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40" w:type="dxa"/>
            <w:vAlign w:val="bottom"/>
            <w:gridSpan w:val="6"/>
          </w:tcPr>
          <w:p>
            <w:pPr>
              <w:jc w:val="center"/>
              <w:ind w:right="1540"/>
              <w:spacing w:after="0"/>
              <w:rPr>
                <w:sz w:val="20"/>
                <w:szCs w:val="20"/>
                <w:color w:val="auto"/>
              </w:rPr>
            </w:pPr>
            <w:r>
              <w:rPr>
                <w:rFonts w:ascii="Arial" w:cs="Arial" w:eastAsia="Arial" w:hAnsi="Arial"/>
                <w:sz w:val="18"/>
                <w:szCs w:val="18"/>
                <w:b w:val="1"/>
                <w:bCs w:val="1"/>
                <w:color w:val="auto"/>
                <w:w w:val="99"/>
              </w:rPr>
              <w:t>CURRENT REPORT</w:t>
            </w:r>
          </w:p>
        </w:tc>
        <w:tc>
          <w:tcPr>
            <w:tcW w:w="3260" w:type="dxa"/>
            <w:vAlign w:val="bottom"/>
          </w:tcPr>
          <w:p>
            <w:pPr>
              <w:spacing w:after="0"/>
              <w:rPr>
                <w:sz w:val="24"/>
                <w:szCs w:val="24"/>
                <w:color w:val="auto"/>
              </w:rPr>
            </w:pPr>
          </w:p>
        </w:tc>
      </w:tr>
      <w:tr>
        <w:trPr>
          <w:trHeight w:val="216"/>
        </w:trPr>
        <w:tc>
          <w:tcPr>
            <w:tcW w:w="3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60" w:type="dxa"/>
            <w:vAlign w:val="bottom"/>
            <w:gridSpan w:val="7"/>
          </w:tcPr>
          <w:p>
            <w:pPr>
              <w:jc w:val="center"/>
              <w:ind w:right="640"/>
              <w:spacing w:after="0"/>
              <w:rPr>
                <w:sz w:val="20"/>
                <w:szCs w:val="20"/>
                <w:color w:val="auto"/>
              </w:rPr>
            </w:pPr>
            <w:r>
              <w:rPr>
                <w:rFonts w:ascii="Arial" w:cs="Arial" w:eastAsia="Arial" w:hAnsi="Arial"/>
                <w:sz w:val="18"/>
                <w:szCs w:val="18"/>
                <w:b w:val="1"/>
                <w:bCs w:val="1"/>
                <w:color w:val="auto"/>
                <w:w w:val="97"/>
              </w:rPr>
              <w:t>PURSUANT TO SECTION 13 OR 15(d) OF</w:t>
            </w:r>
          </w:p>
        </w:tc>
        <w:tc>
          <w:tcPr>
            <w:tcW w:w="3260" w:type="dxa"/>
            <w:vAlign w:val="bottom"/>
          </w:tcPr>
          <w:p>
            <w:pPr>
              <w:spacing w:after="0"/>
              <w:rPr>
                <w:sz w:val="18"/>
                <w:szCs w:val="18"/>
                <w:color w:val="auto"/>
              </w:rPr>
            </w:pPr>
          </w:p>
        </w:tc>
      </w:tr>
      <w:tr>
        <w:trPr>
          <w:trHeight w:val="234"/>
        </w:trPr>
        <w:tc>
          <w:tcPr>
            <w:tcW w:w="3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00" w:type="dxa"/>
            <w:vAlign w:val="bottom"/>
            <w:gridSpan w:val="8"/>
          </w:tcPr>
          <w:p>
            <w:pPr>
              <w:jc w:val="center"/>
              <w:ind w:right="38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60" w:type="dxa"/>
            <w:vAlign w:val="bottom"/>
          </w:tcPr>
          <w:p>
            <w:pPr>
              <w:spacing w:after="0"/>
              <w:rPr>
                <w:sz w:val="20"/>
                <w:szCs w:val="20"/>
                <w:color w:val="auto"/>
              </w:rPr>
            </w:pPr>
          </w:p>
        </w:tc>
      </w:tr>
      <w:tr>
        <w:trPr>
          <w:trHeight w:val="432"/>
        </w:trPr>
        <w:tc>
          <w:tcPr>
            <w:tcW w:w="3060" w:type="dxa"/>
            <w:vAlign w:val="bottom"/>
          </w:tcPr>
          <w:p>
            <w:pPr>
              <w:spacing w:after="0"/>
              <w:rPr>
                <w:sz w:val="24"/>
                <w:szCs w:val="24"/>
                <w:color w:val="auto"/>
              </w:rPr>
            </w:pPr>
          </w:p>
        </w:tc>
        <w:tc>
          <w:tcPr>
            <w:tcW w:w="5100" w:type="dxa"/>
            <w:vAlign w:val="bottom"/>
            <w:gridSpan w:val="9"/>
          </w:tcPr>
          <w:p>
            <w:pPr>
              <w:jc w:val="center"/>
              <w:ind w:left="110"/>
              <w:spacing w:after="0"/>
              <w:rPr>
                <w:sz w:val="20"/>
                <w:szCs w:val="20"/>
                <w:color w:val="auto"/>
              </w:rPr>
            </w:pPr>
            <w:r>
              <w:rPr>
                <w:rFonts w:ascii="Arial" w:cs="Arial" w:eastAsia="Arial" w:hAnsi="Arial"/>
                <w:sz w:val="18"/>
                <w:szCs w:val="18"/>
                <w:color w:val="auto"/>
                <w:w w:val="90"/>
              </w:rPr>
              <w:t>Date of Report (Date of earliest event reported): January 16, 2018</w:t>
            </w:r>
          </w:p>
        </w:tc>
        <w:tc>
          <w:tcPr>
            <w:tcW w:w="3260" w:type="dxa"/>
            <w:vAlign w:val="bottom"/>
          </w:tcPr>
          <w:p>
            <w:pPr>
              <w:spacing w:after="0"/>
              <w:rPr>
                <w:sz w:val="24"/>
                <w:szCs w:val="24"/>
                <w:color w:val="auto"/>
              </w:rPr>
            </w:pPr>
          </w:p>
        </w:tc>
      </w:tr>
      <w:tr>
        <w:trPr>
          <w:trHeight w:val="392"/>
        </w:trPr>
        <w:tc>
          <w:tcPr>
            <w:tcW w:w="3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540" w:type="dxa"/>
            <w:vAlign w:val="bottom"/>
            <w:gridSpan w:val="3"/>
          </w:tcPr>
          <w:p>
            <w:pPr>
              <w:spacing w:after="0"/>
              <w:rPr>
                <w:sz w:val="24"/>
                <w:szCs w:val="24"/>
                <w:color w:val="auto"/>
              </w:rPr>
            </w:pPr>
          </w:p>
        </w:tc>
        <w:tc>
          <w:tcPr>
            <w:tcW w:w="3260" w:type="dxa"/>
            <w:vAlign w:val="bottom"/>
          </w:tcPr>
          <w:p>
            <w:pPr>
              <w:spacing w:after="0"/>
              <w:rPr>
                <w:sz w:val="24"/>
                <w:szCs w:val="24"/>
                <w:color w:val="auto"/>
              </w:rPr>
            </w:pPr>
          </w:p>
        </w:tc>
      </w:tr>
      <w:tr>
        <w:trPr>
          <w:trHeight w:val="237"/>
        </w:trPr>
        <w:tc>
          <w:tcPr>
            <w:tcW w:w="3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00" w:type="dxa"/>
            <w:vAlign w:val="bottom"/>
            <w:gridSpan w:val="8"/>
          </w:tcPr>
          <w:p>
            <w:pPr>
              <w:jc w:val="center"/>
              <w:ind w:right="380"/>
              <w:spacing w:after="0"/>
              <w:rPr>
                <w:sz w:val="20"/>
                <w:szCs w:val="20"/>
                <w:color w:val="auto"/>
              </w:rPr>
            </w:pPr>
            <w:r>
              <w:rPr>
                <w:rFonts w:ascii="Arial" w:cs="Arial" w:eastAsia="Arial" w:hAnsi="Arial"/>
                <w:sz w:val="18"/>
                <w:szCs w:val="18"/>
                <w:color w:val="auto"/>
                <w:w w:val="90"/>
              </w:rPr>
              <w:t>(Exact name of registrant as specified in its charter)</w:t>
            </w:r>
          </w:p>
        </w:tc>
        <w:tc>
          <w:tcPr>
            <w:tcW w:w="3260" w:type="dxa"/>
            <w:vAlign w:val="bottom"/>
          </w:tcPr>
          <w:p>
            <w:pPr>
              <w:spacing w:after="0"/>
              <w:rPr>
                <w:sz w:val="20"/>
                <w:szCs w:val="20"/>
                <w:color w:val="auto"/>
              </w:rPr>
            </w:pPr>
          </w:p>
        </w:tc>
      </w:tr>
      <w:tr>
        <w:trPr>
          <w:trHeight w:val="453"/>
        </w:trPr>
        <w:tc>
          <w:tcPr>
            <w:tcW w:w="3060" w:type="dxa"/>
            <w:vAlign w:val="bottom"/>
          </w:tcPr>
          <w:p>
            <w:pPr>
              <w:jc w:val="center"/>
              <w:ind w:left="530"/>
              <w:spacing w:after="0"/>
              <w:rPr>
                <w:sz w:val="20"/>
                <w:szCs w:val="20"/>
                <w:color w:val="auto"/>
              </w:rPr>
            </w:pPr>
            <w:r>
              <w:rPr>
                <w:rFonts w:ascii="Arial" w:cs="Arial" w:eastAsia="Arial" w:hAnsi="Arial"/>
                <w:sz w:val="18"/>
                <w:szCs w:val="18"/>
                <w:color w:val="auto"/>
                <w:w w:val="90"/>
              </w:rPr>
              <w:t>Nevada</w:t>
            </w:r>
          </w:p>
        </w:tc>
        <w:tc>
          <w:tcPr>
            <w:tcW w:w="3560" w:type="dxa"/>
            <w:vAlign w:val="bottom"/>
            <w:gridSpan w:val="6"/>
          </w:tcPr>
          <w:p>
            <w:pPr>
              <w:jc w:val="center"/>
              <w:ind w:left="169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60" w:type="dxa"/>
            <w:vAlign w:val="bottom"/>
          </w:tcPr>
          <w:p>
            <w:pPr>
              <w:jc w:val="center"/>
              <w:ind w:right="290"/>
              <w:spacing w:after="0"/>
              <w:rPr>
                <w:sz w:val="20"/>
                <w:szCs w:val="20"/>
                <w:color w:val="auto"/>
              </w:rPr>
            </w:pPr>
            <w:r>
              <w:rPr>
                <w:rFonts w:ascii="Arial" w:cs="Arial" w:eastAsia="Arial" w:hAnsi="Arial"/>
                <w:sz w:val="18"/>
                <w:szCs w:val="18"/>
                <w:color w:val="auto"/>
                <w:w w:val="91"/>
              </w:rPr>
              <w:t>26-1265381</w:t>
            </w:r>
          </w:p>
        </w:tc>
      </w:tr>
      <w:tr>
        <w:trPr>
          <w:trHeight w:val="202"/>
        </w:trPr>
        <w:tc>
          <w:tcPr>
            <w:tcW w:w="3060" w:type="dxa"/>
            <w:vAlign w:val="bottom"/>
            <w:tcBorders>
              <w:top w:val="single" w:sz="8" w:color="auto"/>
            </w:tcBorders>
          </w:tcPr>
          <w:p>
            <w:pPr>
              <w:jc w:val="center"/>
              <w:ind w:left="530"/>
              <w:spacing w:after="0" w:line="201" w:lineRule="exact"/>
              <w:rPr>
                <w:sz w:val="20"/>
                <w:szCs w:val="20"/>
                <w:color w:val="auto"/>
              </w:rPr>
            </w:pPr>
            <w:r>
              <w:rPr>
                <w:rFonts w:ascii="Arial" w:cs="Arial" w:eastAsia="Arial" w:hAnsi="Arial"/>
                <w:sz w:val="18"/>
                <w:szCs w:val="18"/>
                <w:color w:val="auto"/>
                <w:w w:val="91"/>
              </w:rPr>
              <w:t>(State or other jurisdiction</w:t>
            </w:r>
          </w:p>
        </w:tc>
        <w:tc>
          <w:tcPr>
            <w:tcW w:w="6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260" w:type="dxa"/>
            <w:vAlign w:val="bottom"/>
            <w:tcBorders>
              <w:top w:val="single" w:sz="8" w:color="auto"/>
            </w:tcBorders>
          </w:tcPr>
          <w:p>
            <w:pPr>
              <w:jc w:val="center"/>
              <w:ind w:right="29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60" w:type="dxa"/>
            <w:vAlign w:val="bottom"/>
          </w:tcPr>
          <w:p>
            <w:pPr>
              <w:jc w:val="center"/>
              <w:ind w:left="530"/>
              <w:spacing w:after="0"/>
              <w:rPr>
                <w:sz w:val="20"/>
                <w:szCs w:val="20"/>
                <w:color w:val="auto"/>
              </w:rPr>
            </w:pPr>
            <w:r>
              <w:rPr>
                <w:rFonts w:ascii="Arial" w:cs="Arial" w:eastAsia="Arial" w:hAnsi="Arial"/>
                <w:sz w:val="18"/>
                <w:szCs w:val="18"/>
                <w:color w:val="auto"/>
                <w:w w:val="95"/>
              </w:rPr>
              <w:t>of incorporation)</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60" w:type="dxa"/>
            <w:vAlign w:val="bottom"/>
          </w:tcPr>
          <w:p>
            <w:pPr>
              <w:jc w:val="center"/>
              <w:ind w:right="31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160" w:type="dxa"/>
            <w:vAlign w:val="bottom"/>
            <w:gridSpan w:val="10"/>
          </w:tcPr>
          <w:p>
            <w:pPr>
              <w:jc w:val="center"/>
              <w:ind w:right="2540"/>
              <w:spacing w:after="0"/>
              <w:rPr>
                <w:sz w:val="20"/>
                <w:szCs w:val="20"/>
                <w:color w:val="auto"/>
              </w:rPr>
            </w:pPr>
            <w:r>
              <w:rPr>
                <w:rFonts w:ascii="Arial" w:cs="Arial" w:eastAsia="Arial" w:hAnsi="Arial"/>
                <w:sz w:val="18"/>
                <w:szCs w:val="18"/>
                <w:color w:val="auto"/>
                <w:w w:val="90"/>
              </w:rPr>
              <w:t>400 Water Street, Suite 200, Rochester, MI</w:t>
            </w:r>
          </w:p>
        </w:tc>
        <w:tc>
          <w:tcPr>
            <w:tcW w:w="326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gridSpan w:val="3"/>
          </w:tcPr>
          <w:p>
            <w:pPr>
              <w:spacing w:after="0"/>
              <w:rPr>
                <w:sz w:val="20"/>
                <w:szCs w:val="20"/>
                <w:color w:val="auto"/>
              </w:rPr>
            </w:pPr>
          </w:p>
        </w:tc>
        <w:tc>
          <w:tcPr>
            <w:tcW w:w="3260" w:type="dxa"/>
            <w:vAlign w:val="bottom"/>
            <w:tcBorders>
              <w:top w:val="single" w:sz="8" w:color="auto"/>
            </w:tcBorders>
          </w:tcPr>
          <w:p>
            <w:pPr>
              <w:jc w:val="center"/>
              <w:ind w:right="225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289560</wp:posOffset>
            </wp:positionV>
            <wp:extent cx="36188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16, 2018, we issued a press release announcing our invitation to present at the NobleCon14 - Noble Capital Markets’ 14th Annual Investor Conference being held on January 29-30, 2018 at the W Hotel in Fort Lauderdale, Florida. A copy of the press release is attached as Exhibit 99.1 to this Current Report on Form 8-K.</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90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January 16,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18, 2018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165735</wp:posOffset>
            </wp:positionV>
            <wp:extent cx="2152650" cy="428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265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to Present at Noble Capital Markets 14th Annual Investor Conference on January 30, 2018</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Rochester, MI (January 16, 2018) — </w:t>
      </w:r>
      <w:r>
        <w:rPr>
          <w:rFonts w:ascii="Arial" w:cs="Arial" w:eastAsia="Arial" w:hAnsi="Arial"/>
          <w:sz w:val="18"/>
          <w:szCs w:val="18"/>
          <w:color w:val="auto"/>
        </w:rPr>
        <w:t>OptimizeRx Corp. (OTCQB: OPRX), the nation’s leading provider of digital health messaging, has been invited to</w:t>
      </w:r>
      <w:r>
        <w:rPr>
          <w:rFonts w:ascii="Arial" w:cs="Arial" w:eastAsia="Arial" w:hAnsi="Arial"/>
          <w:sz w:val="18"/>
          <w:szCs w:val="18"/>
          <w:b w:val="1"/>
          <w:bCs w:val="1"/>
          <w:color w:val="auto"/>
        </w:rPr>
        <w:t xml:space="preserve"> </w:t>
      </w:r>
      <w:r>
        <w:rPr>
          <w:rFonts w:ascii="Arial" w:cs="Arial" w:eastAsia="Arial" w:hAnsi="Arial"/>
          <w:sz w:val="18"/>
          <w:szCs w:val="18"/>
          <w:color w:val="auto"/>
        </w:rPr>
        <w:t>present at the NobleCon14 - Noble Capital Markets’ 14th Annual Investor Conference being held on January 29-30, 2018 at the W Hotel in Fort Lauderdale, Florida.</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OptimizeRx CEO William Febbo is scheduled to present on Tuesday, January 30 at 10:30 a.m. Eastern time, with one-on-one meetings held throughout the day.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will discuss the company’s recently expanded exclusive partnership with Allscripts for prescription cost savings and real-time messaging at the point-of-care. The company’s growing EHR and eRx network that reaches more than 500,000 healthcare providers (HCPs) in the U.S., making it the healthcare industry’s largest point-of-prescribe network, will also be discussed.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high-definition, video webcast of OptimizeRx’s presentation will be available here, and available for replay on www.noblecapitalmarkets.com or www.nobleconference.com, or in the investors section at www.optimizerx.com.</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more information about the conference or to schedule a one-on-one meeting with OptimizeRx management, please contact your Noble Capital Markets representative.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NOBLE Capital Markets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NOBLE Capital Markets established in 1984, is an equity-research driven, full-service, investment &amp; merchant banking boutique focused on the healthcare, media &amp; entertainment, technology and natural resources sectors. The company has offices in Boca Raton (HQ), New York and Boston. In addition to the annual multi-sector NobleCon to be held at the W Hotel, Fort Lauderdale Beach, January 29-30, 2018 (at which Vectrus Inc. will be invited to present), each year Noble hosts numerous “non-deal” corporate road shows and sector-specific conferences such as the Media, Finance &amp; Investor Conference offered in partnership with the National Association of Broadcasters (NAB).</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OptimizeRx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(OTCQB: OPRX) is the nation’s leading provider of digital health messaging via electronic health records (EHRs), providing a direct channel for pharma companies to communicate with healthcare providers. The company’s cloud-based solution supports patient adherence to medications by providing real-time access to financial assistance, prior authorization, education, and critical clinical information. The company’s network is comprised of leading EHR platforms like Allscripts, Amazing Charts and Quest, and provides more than half a million healthcare providers access to these benefits within their workflow at the point of care. For more information, follow the company on Twitter, LinkedIn or visit www.optimizerx.com.</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2019-12-29T01:59:06Z</dcterms:created>
  <dcterms:modified xsi:type="dcterms:W3CDTF">2019-12-29T01:59:06Z</dcterms:modified>
</cp:coreProperties>
</file>