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60" w:type="dxa"/>
            <w:vAlign w:val="bottom"/>
          </w:tcPr>
          <w:p>
            <w:pPr>
              <w:spacing w:after="0"/>
              <w:rPr>
                <w:sz w:val="24"/>
                <w:szCs w:val="24"/>
                <w:color w:val="auto"/>
              </w:rPr>
            </w:pPr>
          </w:p>
        </w:tc>
        <w:tc>
          <w:tcPr>
            <w:tcW w:w="8380" w:type="dxa"/>
            <w:vAlign w:val="bottom"/>
            <w:gridSpan w:val="7"/>
          </w:tcPr>
          <w:p>
            <w:pPr>
              <w:jc w:val="center"/>
              <w:ind w:right="2770"/>
              <w:spacing w:after="0"/>
              <w:rPr>
                <w:sz w:val="20"/>
                <w:szCs w:val="20"/>
                <w:color w:val="auto"/>
              </w:rPr>
            </w:pPr>
            <w:r>
              <w:rPr>
                <w:rFonts w:ascii="Arial" w:cs="Arial" w:eastAsia="Arial" w:hAnsi="Arial"/>
                <w:sz w:val="18"/>
                <w:szCs w:val="18"/>
                <w:b w:val="1"/>
                <w:bCs w:val="1"/>
                <w:color w:val="auto"/>
                <w:w w:val="91"/>
              </w:rPr>
              <w:t>Date of Report (Date of Earliest Event Reported): December 21, 2021</w:t>
            </w:r>
          </w:p>
        </w:tc>
      </w:tr>
      <w:tr>
        <w:trPr>
          <w:trHeight w:val="418"/>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2"/>
        </w:trPr>
        <w:tc>
          <w:tcPr>
            <w:tcW w:w="286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gridSpan w:val="5"/>
          </w:tcPr>
          <w:p>
            <w:pPr>
              <w:jc w:val="center"/>
              <w:ind w:left="87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60" w:type="dxa"/>
            <w:vAlign w:val="bottom"/>
            <w:tcBorders>
              <w:top w:val="single" w:sz="8" w:color="auto"/>
            </w:tcBorders>
          </w:tcPr>
          <w:p>
            <w:pPr>
              <w:jc w:val="center"/>
              <w:ind w:left="670"/>
              <w:spacing w:after="0" w:line="201" w:lineRule="exact"/>
              <w:rPr>
                <w:sz w:val="20"/>
                <w:szCs w:val="20"/>
                <w:color w:val="auto"/>
              </w:rPr>
            </w:pPr>
            <w:r>
              <w:rPr>
                <w:rFonts w:ascii="Arial" w:cs="Arial" w:eastAsia="Arial" w:hAnsi="Arial"/>
                <w:sz w:val="18"/>
                <w:szCs w:val="18"/>
                <w:color w:val="auto"/>
                <w:w w:val="92"/>
              </w:rPr>
              <w:t>(State or other jurisdiction</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60" w:type="dxa"/>
            <w:vAlign w:val="bottom"/>
          </w:tcPr>
          <w:p>
            <w:pPr>
              <w:jc w:val="center"/>
              <w:ind w:left="67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2322195</wp:posOffset>
            </wp:positionH>
            <wp:positionV relativeFrom="paragraph">
              <wp:posOffset>-7620</wp:posOffset>
            </wp:positionV>
            <wp:extent cx="249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jc w:val="both"/>
        <w:ind w:left="840" w:hanging="836"/>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21, 2021, Miriam Paramore and OptimizeRx Corporation (the “Company”) entered into a letter agreement (the “Letter Agreement”) pursuant to which Ms. Paramore will retire as President &amp; Chief Strategy Officer of the Company effective as of December 31, 2021 and will provide advisory services to the Company beginning January 1, 2022 and ending on July 31, 2022 (the “Advisory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Letter Agreement provides that the Company will provide Ms. Paramore the following consideration for her services as an advisor:</w:t>
      </w:r>
    </w:p>
    <w:p>
      <w:pPr>
        <w:spacing w:after="0" w:line="225"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options granted to Ms. Paramore on July 27, 2017 and January 7, 2021, pursuant to the Company’s 2013 Incentive Plan will continue to vest during the Advisory Term; and</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payment of an amount equal to the annual cash bonus award that would have been payable to Ms. Paramore under the Company’s executive bonus plan with respect to fiscal 2021 in the absence of Ms. Paramore’s retirement, such payment to be calculated in a similar manner, paid at the same time as bonuses are paid to other executives under the Company’s executive bonus plan with respect to fiscal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reimburse Ms. Paramore for all approved business expenditures including travel costs incurred during the Advisory Term pursuant to the terms of the Company travel policy. In addition, the Letter Agreement provides that the Business Protection Agreement which Ms. Paramore executed on June 17, 2017 and which contains standard confidentiality, invention assignment and non-compete provisions will remain in full force and effect during and after the Advisory Term in accordance with the terms set forth therein.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above summary of Ms. Paramore’s Letter Agreement is qualified in its entirety by reference to the complete text of the Letter Agreement, which is filed as Exhibit 10.1 to this Current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22, 2021, the Company issued a press release in the form of an open letter from its CEO to shareholders regarding the above matters. A copy of that press release is furnished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2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jc w:val="right"/>
              <w:ind w:right="610"/>
              <w:spacing w:after="0" w:line="176" w:lineRule="exact"/>
              <w:rPr>
                <w:sz w:val="20"/>
                <w:szCs w:val="20"/>
                <w:color w:val="auto"/>
              </w:rPr>
            </w:pPr>
            <w:r>
              <w:rPr>
                <w:rFonts w:ascii="Arial" w:cs="Arial" w:eastAsia="Arial" w:hAnsi="Arial"/>
                <w:sz w:val="18"/>
                <w:szCs w:val="18"/>
                <w:color w:val="auto"/>
                <w:w w:val="85"/>
              </w:rPr>
              <w:t>10.1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Letter Agreement by and between the Company and Miriam Paramore</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jc w:val="right"/>
              <w:ind w:right="610"/>
              <w:spacing w:after="0" w:line="176" w:lineRule="exact"/>
              <w:rPr>
                <w:sz w:val="20"/>
                <w:szCs w:val="20"/>
                <w:color w:val="auto"/>
              </w:rPr>
            </w:pPr>
            <w:r>
              <w:rPr>
                <w:rFonts w:ascii="Arial" w:cs="Arial" w:eastAsia="Arial" w:hAnsi="Arial"/>
                <w:sz w:val="18"/>
                <w:szCs w:val="18"/>
                <w:color w:val="auto"/>
                <w:w w:val="85"/>
              </w:rPr>
              <w:t>99.1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December 22,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580" w:right="4280" w:hanging="5572"/>
        <w:spacing w:after="0" w:line="778"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December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Marion Odence-Ford</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154305</wp:posOffset>
            </wp:positionV>
            <wp:extent cx="2794635"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December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Miriam Paramore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Miriam,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behalf of OptimizeRx Corporation (the “Company”), we want to congratulate you on your upcoming retirement and thank you for your service as President &amp; Chief Strategy Officer!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 target retirement date of December 31, 2021 (“Retirement Date”), your Offer of Employment, dated July 17, 2017, as amended on September 10, 2018 and February 1, 2021 (your “Employment Agreement”) will terminate on the Retirement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would like to offer you a role as Advisor to the Company commencing on January 1, 2022 and ending on July 31, 2022 (the “Advisory Term”). The terms of your role as Advisor to the Company during the Advisory Term are outlined below.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Compensation: Salary, Bonus &amp; Equity</w:t>
      </w:r>
      <w:r>
        <w:rPr>
          <w:rFonts w:ascii="Arial" w:cs="Arial" w:eastAsia="Arial" w:hAnsi="Arial"/>
          <w:sz w:val="18"/>
          <w:szCs w:val="18"/>
          <w:color w:val="auto"/>
        </w:rPr>
        <w:t>. Upon the Retirement Date, you will no longer be eligible to receive a base salary, nor participate in the Company’s executive bonus plan or the Company’s annual equity grant program.</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consideration for your role as Advisor, however, we would like to offer you the following: On July 27, 2017, you were awarded an Option to purchase 500,000 shares (166,667 shares after the 1 for 3 reverse stock split in 2018) of the Company’s common stock (“2017 Options”), which vests over a five year period, of which the final one-fifth (1/5), or 33,333 shares, vests on July 27, 2022 (“2017 Option Vesting Date”). In addition, on January 7, 2021, you were awarded an additional Option to purchase 24,093 shares (“2021 Options”), which vests over a three year period, of which the first one-third (1/3), or 8,031 shares, vests on January 7, 2022 (“2021 Option Vesting Date”). As compensation for your role as Advisor to the Company, the Company will allow for the continued vesting of your final one-fifth (1/5) of the 2017 Options through the 2017 Option Vesting Date and the continued vesting of your first one-third (1/3) of the 2021 Options through the 2021 Option Vesting Date, in accordance with the terms of the Third Amended and Restated 2013 Incentive Plan. In addition, you will be eligible to receive your full 2021 bonus in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Severance Pay:</w:t>
      </w:r>
      <w:r>
        <w:rPr>
          <w:rFonts w:ascii="Arial" w:cs="Arial" w:eastAsia="Arial" w:hAnsi="Arial"/>
          <w:sz w:val="17"/>
          <w:szCs w:val="17"/>
          <w:color w:val="auto"/>
        </w:rPr>
        <w:t xml:space="preserve"> For the avoidance of doubt, you will not be eligible for a Severance Pay at the Retirement Date nor at the end of the Advisory Term.</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Employee Benefits.</w:t>
      </w:r>
      <w:r>
        <w:rPr>
          <w:rFonts w:ascii="Arial" w:cs="Arial" w:eastAsia="Arial" w:hAnsi="Arial"/>
          <w:sz w:val="17"/>
          <w:szCs w:val="17"/>
          <w:color w:val="auto"/>
        </w:rPr>
        <w:t xml:space="preserve"> Upon the Retirement Date, you will no longer be eligible to participate in the Company’s benefit programs offered to employees, including the 401(k) plan, group medical, dental and vision insurance as well as life, AD&amp;D insurance, short and long-term disability benefits.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Responsibilities as Advisor</w:t>
      </w:r>
      <w:r>
        <w:rPr>
          <w:rFonts w:ascii="Arial" w:cs="Arial" w:eastAsia="Arial" w:hAnsi="Arial"/>
          <w:sz w:val="18"/>
          <w:szCs w:val="18"/>
          <w:color w:val="auto"/>
        </w:rPr>
        <w:t>. During the the Advisory Term, you will be responsible for the following:</w:t>
      </w:r>
    </w:p>
    <w:p>
      <w:pPr>
        <w:spacing w:after="0" w:line="225"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seek out and evaluate strategic opportunities, and stay engaged with external parties, including bankers, potential targets, and their respective adivisors, and discuss with/pass on to the CEO, CFO and/or any of their designees any and all information necessary for the Company to determine a possible transaction.</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general introductions to current and prospective customers and strategic partners to the CEO and CFO for continuity of relationships with the Company and networking purposes.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introductions to current and prospective channel partners to the CEO, CFO, and/or any Company employees for continuity of relationships with the Company and networking purposes.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Transition all work and due diligence activities to CFO around any active strategic mergers or acquisitions and be available to the Company for questions and advisory work as may be requested by the Company.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Transition all activities to General Counsel around any active DEI strategies and be available to the Company for questions and advisory work as may be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u w:val="single" w:color="auto"/>
          <w:color w:val="auto"/>
        </w:rPr>
        <w:t>Working Hours</w:t>
      </w:r>
      <w:r>
        <w:rPr>
          <w:rFonts w:ascii="Arial" w:cs="Arial" w:eastAsia="Arial" w:hAnsi="Arial"/>
          <w:sz w:val="18"/>
          <w:szCs w:val="18"/>
          <w:color w:val="auto"/>
        </w:rPr>
        <w:t>. As an Advisor to the Company, you will determine your own working hours; however, the expectation is that any work will be as set forth in the above “Responsibilities as Advisor” as may be requested by the Company and you will not work more than forty (40) hours per month. If either party believes that more hours will be necessary, the parties will mutually agree to the number of hours to be worked.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We will reimburse you for all approved business expenditures including travel costs incurred by you during the Advisory Term pursuant to the terms of the Company travel policy.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Business Protection Agreement executed by you on June 17, 2017 will remain in full force and effect during and after the Advisory Term in accordance with the terms set forth therein.</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its respective successors and assigns</w:t>
      </w:r>
      <w:r>
        <w:rPr>
          <w:rFonts w:ascii="Arial" w:cs="Arial" w:eastAsia="Arial" w:hAnsi="Arial"/>
          <w:sz w:val="18"/>
          <w:szCs w:val="18"/>
          <w:b w:val="1"/>
          <w:bCs w:val="1"/>
          <w:color w:val="auto"/>
        </w:rPr>
        <w:t>,</w:t>
      </w:r>
      <w:r>
        <w:rPr>
          <w:rFonts w:ascii="Arial" w:cs="Arial" w:eastAsia="Arial" w:hAnsi="Arial"/>
          <w:sz w:val="18"/>
          <w:szCs w:val="18"/>
          <w:color w:val="auto"/>
        </w:rPr>
        <w:t xml:space="preserve"> and be enforceable by you, except that you may not assign any rights or obligations under this Agreement. The Company will require any successor or assign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or assignment had taken place.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terms set forth in this letter agreement and your signed Business Protection Agreement, states the terms of your Advisory role with the Company supersedes and cancels any prior oral or written representations, offers or promises made by the Company and any understandings or agreements, whether written or oral, between the Company and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this offer is acceptable, please sign and date below and return one copy of this letter to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thank you for your dedicated service to the Company over the past five years and look forward to our continued work with you as an Advisor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Miriam Paramore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jc w:val="center"/>
        <w:ind w:right="6740"/>
        <w:spacing w:after="0"/>
        <w:rPr>
          <w:sz w:val="20"/>
          <w:szCs w:val="20"/>
          <w:color w:val="auto"/>
        </w:rPr>
      </w:pPr>
      <w:r>
        <w:rPr>
          <w:rFonts w:ascii="Arial" w:cs="Arial" w:eastAsia="Arial" w:hAnsi="Arial"/>
          <w:sz w:val="18"/>
          <w:szCs w:val="18"/>
          <w:color w:val="auto"/>
        </w:rPr>
        <w:t>Printed Name</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 Miriam Paramore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12/21/2021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29210</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7860" w:space="720"/>
            <w:col w:w="2660"/>
          </w:cols>
          <w:pgMar w:left="320" w:top="908" w:right="339" w:bottom="1440" w:gutter="0" w:footer="0" w:header="0"/>
          <w:type w:val="continuous"/>
        </w:sectPr>
      </w:pPr>
    </w:p>
    <w:p>
      <w:pPr>
        <w:ind w:left="19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8100" w:space="720"/>
            <w:col w:w="2420"/>
          </w:cols>
          <w:pgMar w:left="320" w:top="908"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154305</wp:posOffset>
            </wp:positionV>
            <wp:extent cx="3497580"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CEO Issues Open Letter to Shareholders Detailing the Completion of Internal Management Changes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 December 22, 2021 </w:t>
      </w:r>
      <w:r>
        <w:rPr>
          <w:rFonts w:ascii="Arial" w:cs="Arial" w:eastAsia="Arial" w:hAnsi="Arial"/>
          <w:sz w:val="18"/>
          <w:szCs w:val="18"/>
          <w:color w:val="auto"/>
        </w:rPr>
        <w:t>– OptimizeRx Corp. (the “Company”) (Nasdaq: OPRX), a leading provider of point-of-care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helping patients start and stay on therapy, today issued an open letter from the CEO to shareholders detailing the completion of internal management changes. The full letter is published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Dear OptimizeRx Shareholders,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proud to say that OptimizeRx has evolved into a company strategically focused on the digital enablement of communication among the pharmaceutical industry, physicians and patients. With a compounded annual growth rate of 45% over the last three years and a present market capitalization of nearly $1 billion dollars, we believe that we are ideally positioned in a nascent industry to consistently win new business and mature our existing businesses to scale.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OptimizeRx team relentlessly strives for excellence, and we are committed to continuously working on our team, company culture, and how best to serve all of our stakeholders. Leaning heavily on technology and data, we have built the right agile team to design and deliver relevant content to ultimately help improve patient health outcomes. While we are a technology-focused business, our human capital remains our core competency. Therefore, it is a strategic imperative to have the right people and right team assembled to execute our daily goals and pursue new opportunities.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we prepare for 2022, and another strong growth year, I wanted to take this time to refresh and update the market on key organizational changes we have implemented this year. As previously announced, Ed Stelmakh has joined OptimizeRx in the combined role of Chief Financial Officer and Chief Operational Officer. Ed hit the ground running and he is getting up to speed with a focus on developing the right KPIs that best represent our position and prospects in the marketplace, as well as making sure we have the systems and processes in place to continue scaling our business.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December 31, 2021, Miriam Paramore will be retiring from her full-time position as President and Chief Strategy Officer and transitioning to an advisory role to the leadership team. While she won’t be far from the Company, we want to take this opportunity to thank Miriam for her friendship, dedication, and commitment to helping build OptimizeRx into what we are today. Through careful succession planning, all of her functions have been fully transitioned to other members of the executive team. Miriam will always be a key member of the team that re-founded the Company and we will be forever grateful to her.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Going forward, the Company’s executive leadership team will be comprised of myself, Ed Stelmakh, Steve Silvestro, Todd Inman and Marion Odence-Ford. We also feel very strongly that over the last 18 months we have built an extremely capable and talented extended leadership team with all the skillsets that are necessary to continue our growth trajectory with an ever-expanding addressable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will remain laser-focused on continuing to build OptimizeRx into a meaningful strategic partner to our clients, partners, investors and teammates.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behalf of the OptimizeRx team, we wish everyone a healthy holiday and happy new year and look forward to reconnecting with everyone after the first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Warm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 Febbo,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technology platform embedded within a proprietary point-of-care network, OptimizeRx helps patients start and stay on their medications.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2020, its subsequent Quarterly Reports on Form 10-Q, and its other filings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2021-12-22T15:46:46Z</dcterms:created>
  <dcterms:modified xsi:type="dcterms:W3CDTF">2021-12-22T15:46:46Z</dcterms:modified>
</cp:coreProperties>
</file>