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333-225095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1,666,669 Shares of Common Stock</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This prospectus relates to the resale or other disposition by the Selling Shareholders named herein or their transferees of up to 1,666,669 shares of our Common Stock, par value $0.001 per share (the “Common Stock”).</w:t>
      </w:r>
    </w:p>
    <w:p>
      <w:pPr>
        <w:spacing w:after="0" w:line="17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beginning on page 10 for more information.</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We have agreed to pay certain expenses in connection with this registration statement. The Selling Shareholders will pay all underwriting discounts and selling commissions, if any, in connection with the sale or other disposition of the shares of Common Stock covered hereby.</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OTCQB under the symbol “OPRX.” On May 31, 2018, the last reported sale price of our Common Stock was $8.28 per share.</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 one-for-three reverse stock split of our common stock was effected on May 14, 2018. All share and per share information in this Prospectus has been retroactively adjusted to give effect to the reverse stock split for all periods presented.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3.</w:t>
      </w:r>
    </w:p>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June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6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ABOUT THIS PROSPECTUS</w:t>
              </w:r>
            </w:hyperlink>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left="91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FORWARD-LOOKING STATEMENTS</w:t>
              </w:r>
            </w:hyperlink>
          </w:p>
        </w:tc>
        <w:tc>
          <w:tcPr>
            <w:tcW w:w="1800" w:type="dxa"/>
            <w:vAlign w:val="bottom"/>
          </w:tcPr>
          <w:p>
            <w:pPr>
              <w:jc w:val="center"/>
              <w:ind w:left="91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1800" w:type="dxa"/>
            <w:vAlign w:val="bottom"/>
            <w:shd w:val="clear" w:color="auto" w:fill="CCEEFF"/>
          </w:tcPr>
          <w:p>
            <w:pPr>
              <w:jc w:val="center"/>
              <w:ind w:left="9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1800" w:type="dxa"/>
            <w:vAlign w:val="bottom"/>
          </w:tcPr>
          <w:p>
            <w:pPr>
              <w:jc w:val="center"/>
              <w:ind w:left="91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800" w:type="dxa"/>
            <w:vAlign w:val="bottom"/>
            <w:shd w:val="clear" w:color="auto" w:fill="CCEEFF"/>
          </w:tcPr>
          <w:p>
            <w:pPr>
              <w:jc w:val="center"/>
              <w:ind w:left="910"/>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1"/>
          </w:tcPr>
          <w:p>
            <w:pPr>
              <w:spacing w:after="0"/>
              <w:rPr>
                <w:sz w:val="20"/>
                <w:szCs w:val="20"/>
                <w:color w:val="auto"/>
              </w:rPr>
            </w:pPr>
            <w:r>
              <w:rPr>
                <w:rFonts w:ascii="Arial" w:cs="Arial" w:eastAsia="Arial" w:hAnsi="Arial"/>
                <w:sz w:val="18"/>
                <w:szCs w:val="18"/>
                <w:color w:val="auto"/>
              </w:rPr>
              <w:t>DETERMINATION OF OFFERING PRICE</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SELLING SHAREHOLDERS</w:t>
              </w:r>
            </w:hyperlink>
          </w:p>
        </w:tc>
        <w:tc>
          <w:tcPr>
            <w:tcW w:w="1800" w:type="dxa"/>
            <w:vAlign w:val="bottom"/>
            <w:shd w:val="clear" w:color="auto" w:fill="CCEEFF"/>
          </w:tcPr>
          <w:p>
            <w:pPr>
              <w:jc w:val="center"/>
              <w:ind w:left="910"/>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7400" w:type="dxa"/>
            <w:vAlign w:val="bottom"/>
            <w:tcBorders>
              <w:top w:val="single" w:sz="8" w:color="CCEEFF"/>
            </w:tcBorders>
            <w:gridSpan w:val="14"/>
          </w:tcPr>
          <w:p>
            <w:pPr>
              <w:spacing w:after="0"/>
              <w:rPr>
                <w:sz w:val="15"/>
                <w:szCs w:val="15"/>
                <w:color w:val="auto"/>
              </w:rPr>
            </w:pPr>
          </w:p>
        </w:tc>
        <w:tc>
          <w:tcPr>
            <w:tcW w:w="1800" w:type="dxa"/>
            <w:vAlign w:val="bottom"/>
            <w:tcBorders>
              <w:top w:val="single" w:sz="8" w:color="CCEEFF"/>
            </w:tcBorders>
          </w:tcPr>
          <w:p>
            <w:pPr>
              <w:jc w:val="center"/>
              <w:ind w:left="930"/>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80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DIRECTORS, EXECUTIVE OFFICERS, PROMOTERS AND CONTROL PERSONS</w:t>
              </w:r>
            </w:hyperlink>
          </w:p>
        </w:tc>
        <w:tc>
          <w:tcPr>
            <w:tcW w:w="180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SECURITY OWNERSHIP OF CERTAIN BENEFICIAL OWNERS AND MANAGEMENT</w:t>
              </w:r>
            </w:hyperlink>
          </w:p>
        </w:tc>
        <w:tc>
          <w:tcPr>
            <w:tcW w:w="2880" w:type="dxa"/>
            <w:vAlign w:val="bottom"/>
            <w:tcBorders>
              <w:bottom w:val="single" w:sz="8" w:color="CCEEFF"/>
            </w:tcBorders>
            <w:gridSpan w:val="2"/>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SECURITIES</w:t>
              </w:r>
            </w:hyperlink>
          </w:p>
        </w:tc>
        <w:tc>
          <w:tcPr>
            <w:tcW w:w="180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INTERESTS OF NAMED EXPERTS AND COUNSEL</w:t>
              </w:r>
            </w:hyperlink>
          </w:p>
        </w:tc>
        <w:tc>
          <w:tcPr>
            <w:tcW w:w="180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DISCLOSURE OF COMMISSION POSITION OF INDEMNIFICATION FOR SECURITIES ACT LIABILITIES</w:t>
              </w:r>
            </w:hyperlink>
          </w:p>
        </w:tc>
        <w:tc>
          <w:tcPr>
            <w:tcW w:w="180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BUSINESS</w:t>
              </w:r>
            </w:hyperlink>
          </w:p>
        </w:tc>
        <w:tc>
          <w:tcPr>
            <w:tcW w:w="180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CERTAIN RELATIONSHIPS AND RELATED TRANSACTIONS</w:t>
              </w:r>
            </w:hyperlink>
          </w:p>
        </w:tc>
        <w:tc>
          <w:tcPr>
            <w:tcW w:w="180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MARKET FOR COMMON EQUITY AND RELATED STOCKHOLDER MATTERS</w:t>
              </w:r>
            </w:hyperlink>
          </w:p>
        </w:tc>
        <w:tc>
          <w:tcPr>
            <w:tcW w:w="3360" w:type="dxa"/>
            <w:vAlign w:val="bottom"/>
            <w:tcBorders>
              <w:bottom w:val="single" w:sz="8" w:color="CCEEFF"/>
            </w:tcBorders>
            <w:gridSpan w:val="4"/>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180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FINANCIAL STATEMENTS</w:t>
              </w:r>
            </w:hyperlink>
          </w:p>
        </w:tc>
        <w:tc>
          <w:tcPr>
            <w:tcW w:w="7460" w:type="dxa"/>
            <w:vAlign w:val="bottom"/>
            <w:tcBorders>
              <w:bottom w:val="single" w:sz="8" w:color="CCEEFF"/>
            </w:tcBorders>
            <w:gridSpan w:val="15"/>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0" w:type="dxa"/>
            <w:vAlign w:val="bottom"/>
            <w:gridSpan w:val="21"/>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w:t>
              </w:r>
            </w:hyperlink>
          </w:p>
        </w:tc>
        <w:tc>
          <w:tcPr>
            <w:tcW w:w="1800" w:type="dxa"/>
            <w:vAlign w:val="bottom"/>
          </w:tcPr>
          <w:p>
            <w:pPr>
              <w:jc w:val="center"/>
              <w:ind w:left="93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0" w:type="dxa"/>
            <w:vAlign w:val="bottom"/>
            <w:gridSpan w:val="21"/>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AVAILABLE INFORMATION</w:t>
              </w:r>
            </w:hyperlink>
          </w:p>
        </w:tc>
        <w:tc>
          <w:tcPr>
            <w:tcW w:w="180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or their transferees may, from time to time, sell or otherwise dispose of up to 1,666,669 shares of our Common Stock, as described in this prospectus. You should read this prospectus carefully before making an investment decision.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3 of this prospectus.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Shares Issued in Connection With the May 2018 Private Placement Financing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 2018, we entered into a purchase agreement (the “Purchase Agreement”) with the purchasers identified on the signature pages thereto (the “Investors”), pursuant to which we sold to the Investors an aggregate of 1,666,669 shares (the “Shares”) of our Common Stock, par value $0.001 per share (“Common Stock”), for $5.40 per Share, or gross proceeds of approximately $9,000,000 (the “Offering”).</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Offering, on May 2, 2018, we entered into a registration rights agreement with the Investors (the “Registration Rights Agreement”), pursuant to which we agreed to register the Shares acquired by the Investors in the Offering (the “Registrable Securities”) for sale or other disposition by the Selling Shareholders or their transferees. Pursuant to the Registration Rights Agreement, we agreed to file a registration statement (the “Registration Statement”) with the Securities and Exchange Commission (the “SEC”) for the resale or other disposition of the Registrable Securities within 30 days following the close of the Offering and to use our commercially reasonable efforts to cause the Registration Statement to be declared effective as soon as practicable after the filing thereof.</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that, among other things, the Registration Statement (i) is not been filed by 30 days following the close of the Offering, (ii) is not declared effective by the earlier of (A) five business days after the SEC informs the Company that no review of the Registration Statement will be made or that the SEC has no further comments on the Registration Statement and (B) 90 days following the close of the Offering, or (iii) after the effective date of the Registration Statement sales cannot be made thereunder (other than certain allowed delays), we have agreed to make payments to each Investor as liquidated damages in an amount equal to 1.5% of the aggregate amount invested by each such Investor per 30-day period. In addition, we have agreed to keep the Registration Statement continuously effective (subject to certain allowed delays) until the earlier of (i) the date on which all Registrable Securities covered by such Registration Statement as amended from time to time, have been sold or otherwise disposed of pursuant to the Registration Statement or in a transaction in which the transferee receives freely tradable shares., and (ii) the date on which the Registrable Securities no longer constitute “Registrable Securities” thereunder.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No assurance can be given that we will be successful in this regard. If we are unable to engage and retain the necessary personnel, our business may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Loss of one or more of our larger customers could have a negative impact on our operating results. In each of 2016 and 2017, our largest customer in the year accounted for approximately 12% of revenues, although it was a different customer in each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 which could subject us to additional costs that might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 to the labyrinth of regulations in the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or new products and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of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achieve profits or not;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ectPr>
          <w:pgSz w:w="11900" w:h="16838" w:orient="portrait"/>
          <w:cols w:equalWidth="0" w:num="1">
            <w:col w:w="11420"/>
          </w:cols>
          <w:pgMar w:left="240" w:top="226"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of the shares of Common Stock covered by this prospectus are being sold or otherwise disposed of by the Selling Shareholders or their transferees. See “Selling Shareholders” below. We will not receive any proceeds from the sale of other disposition of the shares covered hereby.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pay all expenses associated with effecting the registration of the shares covered hereby, including filing and printing fees, the Company’s counsel and accounting fees and expenses, costs associated with clearing the shares for sale under applicable state securities laws, listing fees, fees and expenses of one counsel to the Investors up to an aggregate of $10,000 and the Investors’ other reasonable out-of-pocket expenses in connection with the registration, but excluding discounts, commissions, fees of underwriters, selling brokers, dealer managers or similar securities industry professionals with respect to the shares being sold.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prepared this prospectus to allow the Selling Shareholders or their transferees to sell or otherwise dispose of, from time to time, up to 1,666,669 shares of our Common Stock. All of the shares of Common Stock being offered under this prospectus were issued in connection with our May 2018 Private Placement.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11,548,095 shares of Common Stock issued and outstanding as of June 1, 2018. Beneficial ownership is determined under Section 13(d) of the Exchange Act and generally includes voting or investment power with respect to securities and including any securities that grant the Selling Shareholders the right to acquire Common Stock within 60 days of June 1, 2018.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know when or in what amounts the Selling Shareholders may sell or otherwise dispose of the shares covered hereby. We currently have no agreements, arrangements or understandings with the Selling Shareholders regarding the sale or other disposition of any of the shares by them other than the registration rights agreement described above.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 For purposes of determining the beneficial ownership of the Selling Shareholders after this offering, we have assumed that all of the shares covered hereby have been sold pursuant to the registration statement of which this prospectus forms a part.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Shares of Common Stock</w:t>
            </w:r>
          </w:p>
        </w:tc>
        <w:tc>
          <w:tcPr>
            <w:tcW w:w="1400" w:type="dxa"/>
            <w:vAlign w:val="bottom"/>
            <w:tcBorders>
              <w:bottom w:val="single" w:sz="8" w:color="auto"/>
            </w:tcBorders>
          </w:tcPr>
          <w:p>
            <w:pPr>
              <w:spacing w:after="0"/>
              <w:rPr>
                <w:sz w:val="20"/>
                <w:szCs w:val="20"/>
                <w:color w:val="auto"/>
              </w:rPr>
            </w:pPr>
          </w:p>
        </w:tc>
      </w:tr>
      <w:tr>
        <w:trPr>
          <w:trHeight w:val="198"/>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Beneficially</w:t>
            </w: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Sale of all</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After the Sale of</w:t>
            </w:r>
          </w:p>
        </w:tc>
      </w:tr>
      <w:tr>
        <w:trPr>
          <w:trHeight w:val="216"/>
        </w:trPr>
        <w:tc>
          <w:tcPr>
            <w:tcW w:w="53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Shares covered by</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Covered by</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Shares covered by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covered by</w:t>
            </w:r>
          </w:p>
        </w:tc>
      </w:tr>
      <w:tr>
        <w:trPr>
          <w:trHeight w:val="241"/>
        </w:trPr>
        <w:tc>
          <w:tcPr>
            <w:tcW w:w="5320" w:type="dxa"/>
            <w:vAlign w:val="bottom"/>
          </w:tcPr>
          <w:p>
            <w:pPr>
              <w:spacing w:after="0"/>
              <w:rPr>
                <w:sz w:val="20"/>
                <w:szCs w:val="20"/>
                <w:color w:val="auto"/>
              </w:rPr>
            </w:pPr>
            <w:r>
              <w:rPr>
                <w:rFonts w:ascii="Arial" w:cs="Arial" w:eastAsia="Arial" w:hAnsi="Arial"/>
                <w:sz w:val="18"/>
                <w:szCs w:val="18"/>
                <w:b w:val="1"/>
                <w:bCs w:val="1"/>
                <w:color w:val="auto"/>
              </w:rPr>
              <w:t>Name of Selling Shareholder</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this Prospectus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this Prospectus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Special Situations Fund III QP, L.P.(1)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812,130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259,537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Special Situations Cayman Fund, L.P. (1)</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303,730</w:t>
            </w:r>
          </w:p>
        </w:tc>
        <w:tc>
          <w:tcPr>
            <w:tcW w:w="1160" w:type="dxa"/>
            <w:vAlign w:val="bottom"/>
          </w:tcPr>
          <w:p>
            <w:pPr>
              <w:jc w:val="right"/>
              <w:spacing w:after="0"/>
              <w:rPr>
                <w:sz w:val="20"/>
                <w:szCs w:val="20"/>
                <w:color w:val="auto"/>
              </w:rPr>
            </w:pPr>
            <w:r>
              <w:rPr>
                <w:rFonts w:ascii="Arial" w:cs="Arial" w:eastAsia="Arial" w:hAnsi="Arial"/>
                <w:sz w:val="18"/>
                <w:szCs w:val="18"/>
                <w:color w:val="auto"/>
              </w:rPr>
              <w:t>206,667</w:t>
            </w:r>
          </w:p>
        </w:tc>
        <w:tc>
          <w:tcPr>
            <w:tcW w:w="10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97,063</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Special Situations Private Equity Fund, L.P.(1)</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252,065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85,398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Park West Partners International Limited(2)</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68,733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59,267</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9,466</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Park West Investors Master Fund, Limited(2)</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607,935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83,868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First Bank &amp; Trust Custodian for Ronald L. Chez IRA(3)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157,408</w:t>
            </w:r>
          </w:p>
        </w:tc>
        <w:tc>
          <w:tcPr>
            <w:tcW w:w="1160" w:type="dxa"/>
            <w:vAlign w:val="bottom"/>
          </w:tcPr>
          <w:p>
            <w:pPr>
              <w:jc w:val="right"/>
              <w:spacing w:after="0"/>
              <w:rPr>
                <w:sz w:val="20"/>
                <w:szCs w:val="20"/>
                <w:color w:val="auto"/>
              </w:rPr>
            </w:pPr>
            <w:r>
              <w:rPr>
                <w:rFonts w:ascii="Arial" w:cs="Arial" w:eastAsia="Arial" w:hAnsi="Arial"/>
                <w:sz w:val="18"/>
                <w:szCs w:val="18"/>
                <w:color w:val="auto"/>
              </w:rPr>
              <w:t>157,408</w:t>
            </w:r>
          </w:p>
        </w:tc>
        <w:tc>
          <w:tcPr>
            <w:tcW w:w="10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460" w:hanging="452"/>
        <w:spacing w:after="0" w:line="28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AWM Investment Company, Inc. (“AWM”) is the investment adviser to the Special Situations Fund III, QP, L.P., the Special Situations Cayman Fund, L.P. and the Special Situations Private Equity Fund, L.P. (collectively, the “Funds”). As the investment adviser to the Funds, AWM holds sole voting and investment power over the shares held by the Funds. Austin W. Marxe, David M. Greenhouse and Adam Stettner are the principal owners of AWM.</w:t>
      </w:r>
    </w:p>
    <w:p>
      <w:pPr>
        <w:jc w:val="both"/>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Park West Asset Management LLC (“PWAM”) is the investment manager to Park West Investors Master Fund, Limited (“PWIMF”), and Park West Partners International, Limited (“PWPI”). Peter S. Park, manager of PWAM, has sole voting and investment power with respect to the shares held by PWIMF and PWPI.</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Ronald l. Chez has voting and dispositive power with respect to the shares.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Shareholders, which as used herein includes donees, pledgees, transferees or other successors-in-interest selling shares of Common Stock or interests in shares of Common Stock received after the date of this prospectus from a Selling Shareholder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Selling Shareholders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broker-dealers may agree with the Selling Shareholders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Shareholders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Shareholders may enter into hedging transactions with broker-dealers or other financial institutions, which may in turn engage in short sales of the Common Stock in the course of hedging the positions they assume. The Selling Shareholders may also sell shares of our Common Stock short and deliver these securities to close out their short positions, or loan or pledge the Common Stock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proceeds to the Selling Shareholders from the sale of the Common Stock offered by them will be the purchase price of the Common Stock less discounts or commissions, if any. Each of the Selling Shareholders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also may resell all or a portion of the shares in open market transactions in reliance upon Rule 144 under the Securities Act of 1933, provided that they meet the criteria and conform to the requirements of that rule.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Selling Shareholders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Shareholders,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Selling Shareholders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agreed with the Selling Shareholders to keep the registration statement of which this prospectus constitutes a part effective until the earlier of (i) the date that such securities become eligible for resale without volume or manner-of-sale restrictions and without current public information pursuant to Rule 144 and certain other conditions have been satisfied, or (ii) all of the securities have been sold or otherwise disposed of pursuant to the registration statement of which this prospectus forms a part or in a transaction in which the transferee receives freely tradable shares.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4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Positions and Offices Held</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Miriam J. Paramore</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SVP – Sales</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Douglas P. Baker</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Gus D. Halas</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Chairperson and 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Patrick Spangler</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Bryan Archambault</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Lynn Vos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James Lang</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our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Hamilton joined our company as VP of Sales in February 2008 and became SVP of Sales in 2016.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 Mr. Hamilton was a Director of the Company from 2008 through March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Spangler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Spangler currently serves as Chief Financial Officer of VigiLanz Corporation, a privately held firm in health care information technology. He brings more than 30 years of experience in the health care industry, executing domestic and international growth and exit strategies. He has helped lead high-performance, emerging growth firms, as well as large publically traded companies and has also served in the private equity sector successfully improving operational results with a broad array of portfolio companies. Prior to VigiLanz Corporation, he served as Executive Vice President and Chief Financial Officer of Healthland, Inc. an EHR Company serving the critical access hospital market; Epocrates (EPOC) which he took public in 2011 and was acquired by Athena Health, ev3 (EVVV) which he took public in 2005 and was acquired by Covidien, and EMPI (EMPI) which was acquired by Encore Medical (ENMC). Mr. Spangler holds a B.S. in accounting and an M.B.T. in business taxation from the University of Minnesota and a M. B. A. from the University of Chicago Booth Graduate School of Business. He currently is a member of the Board of Directors of Lifespace Communities Inc and previously served on the Board of Directors of Urologix Inc. (ULGX).</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 Mr. Spangler has been a Director since March 23,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Spangler is qualified to serve on our Board of Directors because of his years of experience in the health care industry, executing domestic and international growth and exit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Bryan Archambault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Archambault is currently the Chief Marketing Officer of greyhealth group and has been since 2010. He has a diverse background that started 20+ years ago in the sales and customer-marketing space. He brought that experience and insight to brand strategy and multichannel marketing for healthcare clients in biopharma, OTC and animal health. He does not serve on the boards of any other public companies.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Archambault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Archambault is qualified to serve on our Board of Directors because of his in the sales and customer-marketing space. Mr. Archambault has been a Director since March 23,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Archambault will represent WPP, a strategic investor in our company, replacing Ms. Lynn O’Connor Vos in this role. Ms. Vos, who left her position as CEO of WPP’s subsidiary, greyhealth group, to become CEO of the Muscular Dystrophy Association, will remain on our Board of Directors, as now an independent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Lang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Lang joined our Board January 12, 2017. He brings us more than 25 years of experience in healthcare data, analytic, and technology enabled business services. Mr. Lang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but that provision was waived by WPP in January 2017 and the Board was expanded at that time. We currently have six (6) Directors, four (4) of which are independent under Nasdaq standards.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Aside from the following, 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170"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court of competent jurisdiction, permanently or temporarily enjoining him or her from, or otherwise limiting, the following activities: 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ii. Engaging in any type of business practice; or iii. Engaging in any activity in connection with the purchase or sale of any security or commodity or in connection with any violation of Federal or State securities laws or Federal commodities laws;</w:t>
      </w:r>
    </w:p>
    <w:p>
      <w:pPr>
        <w:spacing w:after="0" w:line="178" w:lineRule="exact"/>
        <w:rPr>
          <w:rFonts w:ascii="Arial" w:cs="Arial" w:eastAsia="Arial" w:hAnsi="Arial"/>
          <w:sz w:val="17"/>
          <w:szCs w:val="17"/>
          <w:color w:val="auto"/>
        </w:rPr>
      </w:pPr>
    </w:p>
    <w:p>
      <w:pPr>
        <w:jc w:val="both"/>
        <w:ind w:left="660" w:right="2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4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iii. Any law or regulation prohibiting mail or wire fraud or fraud in connection with any business entity; or</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29, 2018, FINRA accepted a Letter of Acceptance, Waiver and Consent (No. 2015044865501) (the Consent) submitted by William Febbo.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Febbo, as FinOp, signed certain of these reports and was thus held responsible. Based on the Consent, in settlement, Mr. Febbo, who was then no longer registered with any broker-dealer, accepted a fine of $5,000 and a 10-business day suspension from acting as FinOp for any FINRA member.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his initial response to the Regulatory Questionnaire, Mr. Febbo mistakenly overlooked that this settlement with FINRA constituted a disclosable event.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three standing committees to facilitate and assist the Board of Directors in the execution of its responsibilities: (1) Nominating and Governance Committee; (2) Compensation Committee; and (3) Audit Committee. Each committee acts pursuant to a written charter adopted by the Board of Directors. Each committee’s charter is available on our corporate website at http://www.optimizerx.com. (The information contained in our website is not incorporated into this Prospectus.) All of the committees are comprised solely of non-employee, independent directors as defined by NASDAQ market listing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has established a Nominating and Governance Committee. The Committee is composed of Directors Vos, Spangler, and Archambault, and is chaired by Director Vos. The Nominating and Corporate Governance Committee held 4 meetings during the fiscal year ended December 31, 2017. The Nominating and Corporate Governance Committee’s responsibilities, which are discussed in detail in its charter, include the responsibilities to:</w:t>
      </w:r>
    </w:p>
    <w:p>
      <w:pPr>
        <w:spacing w:after="0" w:line="14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Board of Directors has established a Compensation Committee. The Compensation Committee held 5 meetings during the fiscal year ended December 31, 2017, and held other informal discussions as needed. The Committee is composed of Directors Lang, Halas, and Spangler, and is chaired by Director Lang. The Compensation Committee’s responsibilities, which are discussed in detail in its charter, include the responsibilities to:</w:t>
      </w:r>
    </w:p>
    <w:p>
      <w:pPr>
        <w:spacing w:after="0" w:line="166"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consultation with our senior management, establish our general compensation philosophy and oversee the development and implementation of our compensation programs;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any severance or termination payments proposed to be made to any current or former officer of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established an Audit Committee. Prior to that, the entire Board of Directors functioned as the audit committee. The Audit Committee was recently formed and thus did not hold any meetings during the fiscal year ended December 31, 2017. The Committee is composed of Directors Spangler, Vos and Archambault, and is chaired by Director Spangler. The Board has determined that Director Spangler is an “audit committee financial expert” within the meaning established by the SEC. The Audit Committee’s responsibilities, which are discussed in detail in its charter, include the responsibilities to:</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 the accounting, auditing and financial reporting processes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management of business and financial risk and the internal controls environment;</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 and ethics programs as established by management and the Board, which shall be in conjunction with any recommendations by the Nominating and Governance Committee with respect to the corporate governance standards;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reports resulting from the performance of audits by the independent auditor and the internal audit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Company’s independent auditors;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the Company’s internal audit team.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2017, other than as set forth in the following information. Director Halas filed a Form 4 two days late. Director Lang filed his Form 3 late and filed a Form 4 two days late on April 6, 2017. Director Vos filed a Form 4 on May 31, 2017 covering 21 transactions that occurred from February 6, 2017 through May 3, 2017. Our President, Miriam Paramore, filed a Form 4 a week late.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Board of Directors adopted a Code of Ethics for the Company, which is attached to our December 31, 2017 Annual Report on Form 10-K as Exhibit 14.1.</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June 1, 2018. For the purposes of this Prospectus,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3"/>
              </w:rPr>
              <w:t>Common Shares</w:t>
            </w:r>
          </w:p>
        </w:tc>
        <w:tc>
          <w:tcPr>
            <w:tcW w:w="15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Percentage of</w:t>
            </w:r>
          </w:p>
        </w:tc>
      </w:tr>
      <w:tr>
        <w:trPr>
          <w:trHeight w:val="237"/>
        </w:trPr>
        <w:tc>
          <w:tcPr>
            <w:tcW w:w="4260" w:type="dxa"/>
            <w:vAlign w:val="bottom"/>
            <w:gridSpan w:val="2"/>
          </w:tcPr>
          <w:p>
            <w:pPr>
              <w:spacing w:after="0"/>
              <w:rPr>
                <w:sz w:val="20"/>
                <w:szCs w:val="20"/>
                <w:color w:val="auto"/>
              </w:rPr>
            </w:pPr>
            <w:r>
              <w:rPr>
                <w:rFonts w:ascii="Arial" w:cs="Arial" w:eastAsia="Arial" w:hAnsi="Arial"/>
                <w:sz w:val="17"/>
                <w:szCs w:val="17"/>
                <w:b w:val="1"/>
                <w:bCs w:val="1"/>
                <w:color w:val="auto"/>
              </w:rPr>
              <w:t>More Than 5% Beneficial Owners:</w:t>
            </w:r>
          </w:p>
        </w:tc>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Name and Address</w:t>
            </w:r>
          </w:p>
        </w:tc>
        <w:tc>
          <w:tcPr>
            <w:tcW w:w="15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Owned</w:t>
            </w:r>
          </w:p>
        </w:tc>
        <w:tc>
          <w:tcPr>
            <w:tcW w:w="150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Class</w:t>
            </w:r>
          </w:p>
        </w:tc>
      </w:tr>
      <w:tr>
        <w:trPr>
          <w:trHeight w:val="209"/>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Common</w:t>
            </w:r>
          </w:p>
        </w:tc>
        <w:tc>
          <w:tcPr>
            <w:tcW w:w="10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WPP PLC</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27 Farm Street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London, United Kingdom</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W1J 5RJ</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2,103,702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09"/>
        </w:trPr>
        <w:tc>
          <w:tcPr>
            <w:tcW w:w="42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tcPr>
          <w:p>
            <w:pPr>
              <w:spacing w:after="0"/>
              <w:rPr>
                <w:sz w:val="20"/>
                <w:szCs w:val="20"/>
                <w:color w:val="auto"/>
              </w:rPr>
            </w:pPr>
            <w:r>
              <w:rPr>
                <w:rFonts w:ascii="Arial" w:cs="Arial" w:eastAsia="Arial" w:hAnsi="Arial"/>
                <w:sz w:val="17"/>
                <w:szCs w:val="17"/>
                <w:color w:val="auto"/>
              </w:rPr>
              <w:t>Wolverine Flagship Fund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Trading Limited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175 W Jackson Blvd, 3rd Flr</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Chicago, IL 60604</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755,821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6.5%</w:t>
            </w:r>
          </w:p>
        </w:tc>
      </w:tr>
      <w:tr>
        <w:trPr>
          <w:trHeight w:val="211"/>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Harvey L. Poppel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110 El Mirasol</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Palm Beach, FL 33480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918,086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09"/>
        </w:trPr>
        <w:tc>
          <w:tcPr>
            <w:tcW w:w="42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tcPr>
          <w:p>
            <w:pPr>
              <w:spacing w:after="0"/>
              <w:rPr>
                <w:sz w:val="20"/>
                <w:szCs w:val="20"/>
                <w:color w:val="auto"/>
              </w:rPr>
            </w:pPr>
            <w:r>
              <w:rPr>
                <w:rFonts w:ascii="Arial" w:cs="Arial" w:eastAsia="Arial" w:hAnsi="Arial"/>
                <w:sz w:val="17"/>
                <w:szCs w:val="17"/>
                <w:color w:val="auto"/>
              </w:rPr>
              <w:t>Ronald L. Chez</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1524 N. Astor St</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Chicago, IL 60610(1)</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1,136,996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9.6%</w:t>
            </w:r>
          </w:p>
        </w:tc>
      </w:tr>
      <w:tr>
        <w:trPr>
          <w:trHeight w:val="211"/>
        </w:trPr>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AWM Investment Company, Inc.</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527 Madison Ave., Suite 2600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York, NY 10022 (2)</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1,367,925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09"/>
        </w:trPr>
        <w:tc>
          <w:tcPr>
            <w:tcW w:w="4260" w:type="dxa"/>
            <w:vAlign w:val="bottom"/>
            <w:gridSpan w:val="2"/>
          </w:tcPr>
          <w:p>
            <w:pPr>
              <w:spacing w:after="0"/>
              <w:rPr>
                <w:sz w:val="20"/>
                <w:szCs w:val="20"/>
                <w:color w:val="auto"/>
              </w:rPr>
            </w:pPr>
            <w:r>
              <w:rPr>
                <w:rFonts w:ascii="Arial" w:cs="Arial" w:eastAsia="Arial" w:hAnsi="Arial"/>
                <w:sz w:val="17"/>
                <w:szCs w:val="17"/>
                <w:color w:val="auto"/>
              </w:rPr>
              <w:t>Common</w:t>
            </w:r>
          </w:p>
        </w:tc>
        <w:tc>
          <w:tcPr>
            <w:tcW w:w="4100" w:type="dxa"/>
            <w:vAlign w:val="bottom"/>
            <w:gridSpan w:val="2"/>
          </w:tcPr>
          <w:p>
            <w:pPr>
              <w:spacing w:after="0"/>
              <w:rPr>
                <w:sz w:val="20"/>
                <w:szCs w:val="20"/>
                <w:color w:val="auto"/>
              </w:rPr>
            </w:pPr>
            <w:r>
              <w:rPr>
                <w:rFonts w:ascii="Arial" w:cs="Arial" w:eastAsia="Arial" w:hAnsi="Arial"/>
                <w:sz w:val="17"/>
                <w:szCs w:val="17"/>
                <w:color w:val="auto"/>
              </w:rPr>
              <w:t>Park West Asset Management LLC</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900 Larkspur Landing Circle, Suite 165</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Larkspur, CA 94939 (3)</w:t>
            </w: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676,667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5.9%</w:t>
            </w:r>
          </w:p>
        </w:tc>
      </w:tr>
    </w:tbl>
    <w:p>
      <w:pPr>
        <w:spacing w:after="0" w:line="136" w:lineRule="exact"/>
        <w:rPr>
          <w:sz w:val="20"/>
          <w:szCs w:val="20"/>
          <w:color w:val="auto"/>
        </w:rPr>
      </w:pPr>
    </w:p>
    <w:p>
      <w:pPr>
        <w:jc w:val="both"/>
        <w:ind w:left="460" w:hanging="452"/>
        <w:spacing w:after="0" w:line="269"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859,644 shares of Common Stock held by Ron E. Chez in his name and beneficially owned in the following entities: Ronald L Chez IRA at First Bank &amp; Trust, Ronald L Chez IRA at Fifth Third Bank, Chez Family Foundation at Fifth Third Bank, Ronald L Chez IRA at Lake St Capital Mgmt, Ronald L Chez IRA at Merrill Lynch and Ronald L Chez IRA at First Bank &amp; Trust. Also includes warrants to purchase 277,352 shares of our Common Stock held in Ronald L Chez IRA at First Bank &amp; Trust and Ronald L Chez IRA at First Bank &amp; Trust.</w:t>
      </w:r>
    </w:p>
    <w:p>
      <w:pPr>
        <w:spacing w:after="0" w:line="2" w:lineRule="exact"/>
        <w:rPr>
          <w:rFonts w:ascii="Arial" w:cs="Arial" w:eastAsia="Arial" w:hAnsi="Arial"/>
          <w:sz w:val="17"/>
          <w:szCs w:val="17"/>
          <w:color w:val="auto"/>
        </w:rPr>
      </w:pPr>
    </w:p>
    <w:p>
      <w:pPr>
        <w:jc w:val="both"/>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AWM Investment Company, Inc. (“AWM”) is the investment adviser to the Special Situations Fund III QP, L.P. (“SSFQP”), the Special Situations Cayman Fund, L.P. (“Cayman”) and the Special Situations Private Equity Fund, L.P. (“SSFPE” and, collectively with SSFQP and Cayman, the “Funds”). As the investment adviser to the Funds, AWM holds sole voting and investment power over the 812,130 shares of Common Stock held by SSFQP, the 303,730 shares of Common Stock held by Cayman and the 252,065 shares of Common Stock of held by SSFPE. Austin W. Marxe, David M. Greenhouse and Adam Stettner are the principal owners of AWM.</w:t>
      </w:r>
    </w:p>
    <w:p>
      <w:pPr>
        <w:spacing w:after="0" w:line="2"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Park West Asset Management LLC (“PWAM”) is the investment manager to Park West Investors Master Fund, Limited (“PWIMF”), and Park West Partners International, Limited (“PWPI”). Peter S. Park, manager of PWAM, has sole voting and investment power over the 607.934 shares of Common Stock held by PWIMF and the 68,733 shares of Common Stock held by PWPI.</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June 1, 2018,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Options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Common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Common</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Stock</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in Beneficial</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Beneficial</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37"/>
        </w:trPr>
        <w:tc>
          <w:tcPr>
            <w:tcW w:w="6080" w:type="dxa"/>
            <w:vAlign w:val="bottom"/>
            <w:gridSpan w:val="3"/>
          </w:tcPr>
          <w:p>
            <w:pPr>
              <w:spacing w:after="0"/>
              <w:rPr>
                <w:sz w:val="20"/>
                <w:szCs w:val="20"/>
                <w:color w:val="auto"/>
              </w:rPr>
            </w:pPr>
            <w:r>
              <w:rPr>
                <w:rFonts w:ascii="Arial" w:cs="Arial" w:eastAsia="Arial" w:hAnsi="Arial"/>
                <w:sz w:val="17"/>
                <w:szCs w:val="17"/>
                <w:b w:val="1"/>
                <w:bCs w:val="1"/>
                <w:color w:val="auto"/>
              </w:rPr>
              <w:t>Name(1)</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Ownership (2)</w:t>
            </w: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Ownership</w:t>
            </w:r>
          </w:p>
        </w:tc>
        <w:tc>
          <w:tcPr>
            <w:tcW w:w="12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J. Febbo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14,667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314,667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Miriam Paramore</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33,334</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2,897</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36,231</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P. Baker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166,667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183,334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Terence J. Hamilton</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133,334</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126,805</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260,139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Lynn Vos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9,334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James Lang</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8,334</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8,334</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Bryan Archambault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Gus D. Halas</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30,412</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30,412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Spangler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and Directors as a group (9 persons)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633,335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209,116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842,451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480" w:hanging="472"/>
        <w:spacing w:after="0" w:line="261"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June 1, 2018, and are included in Common Stock beneficial ownership pursuant to Rule 13d-3(d)(1) of the Exchange Act.</w:t>
      </w:r>
    </w:p>
    <w:p>
      <w:pPr>
        <w:sectPr>
          <w:pgSz w:w="11900" w:h="16838" w:orient="portrait"/>
          <w:cols w:equalWidth="0" w:num="1">
            <w:col w:w="11420"/>
          </w:cols>
          <w:pgMar w:left="240" w:top="226" w:right="239" w:bottom="392"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392"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500,000,000 shares of Common Stock and 10,000,000 shares of preferred stock, par value $0.001 per share. As of June 1, 2018, there were 11,548,095 shares of our Common Stock issued and outstanding and 0 shares of our preferred stock issued and outstanding. Our Board of Directors approved a one for three reverse stock split that became effective May 14, 2018. The effects of this reverse split have been retroactively reflected in this registration statement and attached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 2018, we entered into a registration rights agreement with the selling shareholders in this offering (the “Registration Rights Agreement”), pursuant to which we agreed to register for resale the 1,666,669 shares of Common Stock (the “Registrable Securities”) acquired by the investors in an offering that closed on May 4, 2018.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offering and to use its reasonable best efforts to cause the Registration Statement to be declared effective as soon as practicable after the filing thereof, but in any event no later than 90 days following the close of the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2,003,702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3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 issued and outstanding capital stock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warrants outstanding to purchase 348,195 shares of our Common Stock at a weighted average exercise price of $3.33 as of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1,580,417 shares of our Common Stock at a weighted average exercise price of $3.27 as of March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r>
        <w:rPr>
          <w:rFonts w:ascii="Arial" w:cs="Arial" w:eastAsia="Arial" w:hAnsi="Arial"/>
          <w:sz w:val="18"/>
          <w:szCs w:val="18"/>
          <w:color w:val="auto"/>
        </w:rPr>
        <w:t>.</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Through April 2018</w:t>
      </w:r>
    </w:p>
    <w:p>
      <w:pPr>
        <w:spacing w:after="0" w:line="225" w:lineRule="exact"/>
        <w:rPr>
          <w:sz w:val="20"/>
          <w:szCs w:val="20"/>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applied for listing on the NASDAQ Capital Market Exchange. In connection with this, our board of directors has approved a reverse split of our Common Stock on a 1 to 3 basis to meet the listing requirements and we have agreed to issue 5.0 million shares in exchange for gross proceeds of $9.0 million to further solidify our financial position and accelerate our growth. The reverse split was effective on May 14,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net revenue for the first three months of 2018 was $4.1 million, up 91% over the same period in 2017. The increase was driven by financial and brand messaging growth from new and returning clients, as well as expanded distribution channels.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continue to focus on adding additional brands for existing clients, providing new solutions, expanding the utilization of our network for existing brands, and obtaining new pharmaceutical manufacturer clients and advertising agencies.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expanded our board of directors, adding two new independent directors, Patrick Spanglar and Bryan Archambault, as well as established an audit committee to continue to improve our corporate governance.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presented at the 14th Annual Noble Capital Markets Investment Conference and the 30th Annual Roth Investor Conference to continue our investor outreach.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acquiring, integrating and expanding into new EHR/eRx platforms continues to grow as well. For the remainder of 2018,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will continue to increase and show strong growth throughout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Company Highlights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 increased 56% to a record $12.1 million in 2017 over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revenue was a record $4.0 million in Q4 2017, up 75% over Q4 2016.</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Appointed health IT industry veteran, Miriam Paramore, as president to expand our electronic health records (EHR) network, add new solutions and drive scale in our business model.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our sales team and established a strong base which helped drive record revenues for Q3 and Q4 2017 with expected revenue growth in 2018 and beyond.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new pharmaceutical manufacturers and brands for our core offerings of Financial and Brand messaging for distribution through our expanding channel partners.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growth through our success in acquiring, integrating and expanding into new promotional EHR/eRx platforms with a greater than 20% increase in reach to healthcare providers in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Proven investment returns from our pharmaceutical promotions, as determined by an independent analytics firm, with multiple pharmaceutical brands that differentiates our programs as one of the most effective digital tactics available to pharmaceutical firms.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our exclusive partnership with Allscripts Healthcare, which now includes real-time financial, informational, and clinical messaging to Allscripts ambulatory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Sales and Marketing Updates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sales team continues to expand our business with existing clients and win new clients. We are focused on adding additional brands for existing clients, providing new solutions,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expanded our service offerings: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Messaging – We have successfully integrated our new platform with partners in 2017 and have launched initial programs. Additionally, we expect our exclusive partnership with Allscripts, which allows us to offer LogRx brand messaging and Infoscripts messaging, to accelerate revenue growth in this area.</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Brand Support – We have designed a service to better insure that manufacturer brands are available in every ePrescribing platform available, and we have incorporated this to an overall program related to launch brands that include brand awareness messaging and financial messaging.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continued to ramp up our marketing efforts: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Presented at multiple investor conferences in 2017, including: Noble Capital Markets’ 13th Annual Investor Conference, 29th annual Roth Conference, 7th Annual LD Micro Invitational and 10th Annual LD Micro Main Event.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Lead kick-off panel, “A New Infrastructure for Healthcare,” at Distributed: Health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Sponsored CBI’s 4th Annual Bio/Pharma Forum on e-Rx and EHR as well as moderated a panel.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growth of both the number of our pharmaceutical brands and our distribution network, we expect our distribution of financial messages will continue to increase substantially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plan to expand our existing network and increase physician utilization of our partner networks. We continue to work individually with our partners based on their particular situation, focusing on improving workflow and increasing coupon utilization by providers that have access, obtain access for those prescribers that currently do not have financial messaging access, and increase overall revenue derived from each channel. In addition to revenue growth provided by new brands and new network partners, we believe there is significant revenue growth potential within our existing brands by better utilizing our existing partner networks.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signed an agreement with Allscripts to become their exclusive provider of financial messaging and obtain access to their Touchworks EHR product that is used primarily by large ambulatory systems. Financial messaging activity commenced within the Touchworks platform late in Q1 2017 and ramped up gradually throughout the balance of the year. We expect activity to ramp more quickly in 2018, with significant growth generated by this channel in 2018. In addition, we launched five new EHRs in 2017 and we have three others launching in Q1 2018. We anticipate revenue from these channels to accelerate in 2018 and positively impact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migrated our platform to Oracle database software. Our system can manage up to one million rules and return the appropriate content within one second. This ultra-fast response time helps avoid delays and supports our expectation for accelerated revenue growth. To further improve the efficiency of our system, we moved our software to Amazon Web Services in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our own proprietary brand messaging system designed to expand our ability to deliver key clinical messages in addition to financial support, and we plan to integrate this within EHRs that currently do not offer this valued product to their providers. We launched this system in 2017 with one channel partner and expect to launch it with additional partners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financial messaging market, we remain excited about our core financial messaging business. We expect to significantly accelerate revenue growth in 2018, driven by the launch of additional channels, brands and products. We also expect our active network to continue to grow substantially in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 the fact that many healthcare systems and doctors are looking for an easier, more effective way to increase affordable access and adherence to their prescribed branded medications.</w:t>
      </w:r>
    </w:p>
    <w:p>
      <w:pPr>
        <w:spacing w:after="0" w:line="17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Brand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brand messaging system and rolled this product out in 2017. We have also purchased all available 2018 inventory from Allscripts for its LogRx brand messaging product, as well as its Infoscripts messaging product. We believe brand messaging represents a significant growth opportunity for us.</w:t>
      </w:r>
    </w:p>
    <w:p>
      <w:pPr>
        <w:spacing w:after="0" w:line="189"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continue to extend our marketing efforts to build both brand and capabilities awareness in the market. As previously discussed, we continue to actively participate in industry and partner events such as ExL Pharma and the ACE – Allscripts Users Conference, as well as having taken a lead sponsor position in the CBInet eRx and EHR conferences in March of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continue to focus on the expansion of our strategic partnership with WPP, plc. We plan to continue to increase our marketing efforts with all of our strategic partners as we continue to promote our platform primarily through:</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digital marketing industry that is dominated by large well-known companies with established names, solid market niches, wide arrays of product offerings and marketing networks. Our financial messaging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specific portion of the financial messaging market. We have a growing list of potential partners whom either have content that they want to deliver through our distribution engine and network, or have complementary technology and want to integrate our solution as a channel partner and thereby increase our reach to clinicians. The primary direct competitors in our space of the market are ConnectiveRx and Aptus Health. However, we believe our breadth of brands offered, extensive list of pharmaceutical clients, and the vast reach of our network give us a substantial advantage and allow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Prospectus, we had 23 full-time employees and one part-time employee, in addition to contracted programmers, as needed, throughout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Currently, we do not own any real estate. Our principal executive offices are located at 400 Water Street, Suite 200, Rochester, Michigan 48307.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initially signed the lease for our current office space on December 1, 2011. That lease expired on November 30, 2016 and we signed a new lease covering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we fail to exercise our option for option years 4 and 5, a lease termination payment of $7,300 will be due at the end of the initial 3-year term.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month to month leases on shared office spaces in Cambridge Massachusetts and Nashville Tennessee, with monthly lease payments of $2,850 and $1,360,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properties are adequate for our current needs, but growth potential may require larger facilities due to anticipated addition of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policies regarding investments in real estate, securities or other forms of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total net revenue reported for the three months ended March 31, 2018 was approximately $4.1 million, an increase of 91% over the approximately $2.2 million in the same period of 2017. The increase is primarily due to sales increases in our messaging products. We do not breakout revenue by service at this stage, but as we achieve greater scale we plan to determine the best way to present the growth by service. As described in greater detail in Note 2 to the financial statements, we adopted the new revenue standard during the quarter ended March 31, 2018. The effect of that, which was immaterial, was to decrease our revenue by approximately $118,000 during the quarter and that revenue will be recognized throughout the remainder of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cost of sales percentage, composed primarily of revenue share expense, declined as a percentage of sales, from approximately 64% to approximately 49% even though our total cost of sales increased because of the significant revenue increase. Our revenue related to brand messaging has a higher cost associated with it than our financial messaging. We launched our brand messaging products in the first quarter of 2017 and had significantly higher costs during the launch period. Those costs continued to decrease as a percentage of sales throughout 2017 as our volume increased.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gross margin improved from 35.8% in the quarter ended March 31, 2017 to 51.2% in the quarter ended March 31, 2018. We are focused on improving our margins and are targeting a gross margin of at least 55% by the fourth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from approximately $1.7 million for the three months ended March 31, 2017 to approximately $2.3 million for the same period in 2018, an increase of approximately 38%. The detail by major category is reflected in the table below.</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1,219,297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Board Compensation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Consultants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Maintenance, and Integration Costs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2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2,295,341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largest increases in operating expenses related to salaries, wages, and benefits and other human resource related costs. Since the beginning of the first quarter of 2017, we have appointed a new president and two new vice presidents of Sales, as well as hired a new account manager and related administrative support. These new team members also resulted in increases in benefits and payroll taxes. We also implemented new incentive compensation plans for our sales force that increased their incentive compensation. In addition, all our incentive compensation is tied to revenue and the strong revenue growth in 2018 resulted in increased incentive compensation. The increased stock-based compensation results from the acceleration of vesting of previously granted options as well as the grant of options during the period related to achievement of performance-based goals. We expect stock-based compensation to decrease on a quarterly basis for the balance of the year.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 in development, maintenance, and integration costs reflects start-up costs related to the integration of new EHRs as well as increased capacity of our technology systems, which included a transition to Amazon Web Services during the quarter ended March 31, 2018. These investments are starting to show their value through increased revenue growth and our transition to a broader client base and greater scale.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and promotion decreased in 2018 because 2017 included several one-time costs and a conference that we sponsored in 2017 that did not occur during the first quarter of 2018. Professional fees decreased in 2018 because we settled our litigation in 2017 and no longer have any ongoing litigation. All other variances in the table above are the result of normal fluctuations in activity.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overall operating expenses to continue at the 2018 level, or slightly above as we further implement our business plan and expand our operations to grow the business in a very dynamic and active marketplace. However, we have established a strong team as a base to support growth and do not expect human resource costs to increase significantly, even with continued strong sales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loss for the three months ended March 31, 2018 was approximately $190,000, as compared to a loss of approximately $880,000 during the same period in 2017. The reasons and specific components associated with the decreased loss are discussed above. Overall, the decreased loss resulted from increased revenues and gross margin. We are focused on top-line growth, while managing our expenses, so we expect to see a continued, but managed, loss for the near future, but expect to achieve profitability on quarterly basis no later than the fourth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revenue for the year ended December 31, 2017 was approximately $12.1 million, an increase of 56% from the year ended December 31, 2016. This increase resulted from increased pharmaceutical brands, an increased distribution network, and strong growth in our brand messaging product. We expect continued strong revenue growth in 2018 as a result of the foundations laid in 2016 and 2017.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We have focused our efforts on expanding both our customer base and our product offerings and are becoming less dependent on any one customer. In each of 2016 and 2017, we only had one pharmaceutical manufacturer that individually accounted for greater than 10% of our revenues, and that was a different customer in each year.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total cost of sales, composed primarily of revenue share expense, increased in the year ended December 31, 2017, from the year ended December 31, 2016 primarily due to the increase in revenues. In addition, revenue share expense as a percentage of revenue in 2017 increased from 2016 from approximately 44% in the year ended December 31, 2016 to approximately 51% in the year ended December 31,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increase in revenue share expense as a percentage of revenue resulted primarily from product mix, and specifically from the substantial increase in our brand messaging revenue that has a lower margin and higher costs relative to our core financial messaging product. We expect revenue share expense as a percentage of revenue in 2018 to decline from 2017 levels. We have signed revenue share agreements with newer partners that contain lower revenue share percentages, and as revenue from those new channels increases, we expect it to help lower our overall percentage. We also expect continued growth in our brand messaging product, and this will enable us to spread the fixed costs associated with this type of messaging over a larger base and result in a lower overall revenue share percentage.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gross margin, which is simply the difference between our revenues and our cost of sales, discussed above, increased substantially from 2016 to 2017 as a result of the increased revenue. However, our gross margin percentage decreased from approximately 56% in 2016 to 49% in 2017 for the reasons discussed above in the cost of sales section. We are focused on improving our margins in 2018 and have a target of increasing our margin to 55%.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to approximately $8.1 million for the year ended December 31, 2017, from approximately $5.9 million for the year ended December 31, 2016, an increase of approximately 36%. The detail by major category is reflected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ind w:left="500"/>
              <w:spacing w:after="0"/>
              <w:rPr>
                <w:sz w:val="20"/>
                <w:szCs w:val="20"/>
                <w:color w:val="auto"/>
              </w:rPr>
            </w:pPr>
            <w:r>
              <w:rPr>
                <w:rFonts w:ascii="Arial" w:cs="Arial" w:eastAsia="Arial" w:hAnsi="Arial"/>
                <w:sz w:val="18"/>
                <w:szCs w:val="18"/>
                <w:b w:val="1"/>
                <w:bCs w:val="1"/>
                <w:color w:val="auto"/>
                <w:w w:val="87"/>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4,151,740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324,117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207,062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1,009,022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294,425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7,180,385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5,312,277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902,389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8,082,774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5,921,578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main reasons for the overall increase in operating expenses in 2017 was our focus on staffing and scaling our company to focus on, and be able to support, accelerated revenue growth.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the operating expenses, there were a variety of increases, the largest of which was in salaries, wages and benefits as a result of additional staff added in 2016 and 2017, including related benefits. During 2017, we hired a president and two new vice presidents of sales, as well as additional supporting positions. Incentive compensation also increased in 2017, primarily as a result of the increase in revenues. We also enhanced our sales commission program and expanded it to include account managers to greater incentivize those people interfacing with the customers. We expect our compensation expense to increase in 2018, but at a much lower rate than in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Professional fees decreased due to the resolution of our last remaining piece of litigation in 2017. In 2018, we expect professional fees to remain at 2017 levels or even slightly decrease.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related to development, management, and maintenance of our technology increased in 2017 as a result of improvements to our system as well as costs associated with the start of migrating our technology to Amazon Web Services. We expect these costs to decrease significantly in 2018 due to the investments made in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increased in 2017 from the 2016 levels primarily because of the assets capitalized in 2016 and 2017. Other increases in operating expenses generally increased due to the increased staffing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finished the year ended December 31, 2017 with a loss of approximately $2.1 million, as compared to a loss of approximately $1.5 million during the year ended December 31, 2016. The reasons for specific components are discussed above. Overall, we had an increase in revenue and gross margin offset by increased operating expenses to support future growth. In addition, the loss in both periods included significant noncash items. We had approximately $800,000 in noncash expense in 2016 and approximately $1.45 million in noncash expense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we had total current assets of approximately $8.3 million, compared with current liabilities of approximately $2.4 million, resulting in working capital of approximately $5.9 million and a current ratio of approximately 3.4 to 1, improved from the working capital of approximately $5.3 million and current ratio of 2.5 to 1 at December 31, 2017.</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operating activities used approximately $800,000 in cash flow during the three months ended March 31, 2018, compared with cash used of approximately $300,000 in the same period in 2017. The cash used in the 2017 period was the result of our net loss, partially offset by working capital management. The cash used in the 2018 period was the result of our net loss as well as cash used for working capital. The main use of cash in 2018 was as a result of the change in payment terms for one of our key partners, as well as payment of certain year end liabilities. This change in payment terms also had a favorable impact on our gross margin. We expect to have positive cash flow from operations for the balance of the year.</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insignificant amounts in investing activities in the three months ended March 31, 2018, and 2017. These investments related to purchases of equipment as well as investments related to the expansion of our network capabilities.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financing activities in either period. We did however, as discussed in Note 3, issue 100,000 shares valued at $447,000 in a non-cash transaction in payment of revenue share due under a comarketing agreement and the accompanying termination of the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end of the quarter, we signed an agreement to issue 1.667 million shares of our Common Stock for gross proceeds of $9.0 million and approximate net proceeds of $8.3 million. We expect the transaction to close in early May.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this additional funding,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2017;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As described in greater detail in Note 2 of our financial statements for the quarter ended March 31,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which had an immaterial impact on our financial statements.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were no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three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WPP made a strategic investment in the Company and is a shareholder that owns approximately 21% of the shares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the Company and WPP in 2017 and 2016.</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7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1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1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1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2016, we entered into a Separation Agreement and Release with Mr. David Harrell, our prior officer and director, which granted us a standard release of employment claims in consideration for, among other things, the stock payout of $720,415 to Mr. Harrell.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agreed to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11, 2017, we entered into a Separation and Stock Purchase Agreement with Mr. Harrell pursuant to which we agreed to repurchase from Mr. Harrell 166,667 shares of our Common Stock for aggregate consideration of $390,000, representing a purchase price of $2.34 per share.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under the agreement, we agreed that the consulting agreement with Mr. Harrell shall terminate on July 31, 2017, but that his non-compete agreement with us shall extend to July 31, 2019. The agreement also stipulated that Mr. Harrell shall resign as a member of our board of directors effective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September 24, 2015, we entered into an Investor Rights Agreement with WPP (the “Rights Agreement”), pursuant to which we agreed to the following:</w:t>
      </w:r>
    </w:p>
    <w:p>
      <w:pPr>
        <w:spacing w:after="0" w:line="248"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We granted WPP registration rights for its shares and any securities acquired in connection with an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Co-Marketing Agreement (described below) after a period of two years.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Inspection Rights</w:t>
      </w:r>
      <w:r>
        <w:rPr>
          <w:rFonts w:ascii="Arial" w:cs="Arial" w:eastAsia="Arial" w:hAnsi="Arial"/>
          <w:sz w:val="17"/>
          <w:szCs w:val="17"/>
          <w:color w:val="auto"/>
        </w:rPr>
        <w:t>. So long as WPP owns not less than 25% of the shares, we granted WPP an annual right to inspect our books and records.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Observer Rights</w:t>
      </w:r>
      <w:r>
        <w:rPr>
          <w:rFonts w:ascii="Arial" w:cs="Arial" w:eastAsia="Arial" w:hAnsi="Arial"/>
          <w:sz w:val="18"/>
          <w:szCs w:val="18"/>
          <w:color w:val="auto"/>
        </w:rPr>
        <w:t>. So long as WPP owns not less than 25% of the shares, we will allow WPP to choose a representative to attend our board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as a nonvoting observer.</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Board Seat</w:t>
      </w:r>
      <w:r>
        <w:rPr>
          <w:rFonts w:ascii="Arial" w:cs="Arial" w:eastAsia="Arial" w:hAnsi="Arial"/>
          <w:sz w:val="18"/>
          <w:szCs w:val="18"/>
          <w:color w:val="auto"/>
        </w:rPr>
        <w:t>. So long as WPP owns not less than 25% of the shares, we agreed to appoint a nominee of WPP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agreed to a five member Board of Directors provided that it is not prohibited by the rules and regulations of an exchange that we trade on. We also agreed to enter into an indemnity agreement with the nominee. In January 2017, WPP waived the five member Board limit and the Board was expanded to six (6) Directors.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Budget Review</w:t>
      </w:r>
      <w:r>
        <w:rPr>
          <w:rFonts w:ascii="Arial" w:cs="Arial" w:eastAsia="Arial" w:hAnsi="Arial"/>
          <w:sz w:val="18"/>
          <w:szCs w:val="18"/>
          <w:color w:val="auto"/>
        </w:rPr>
        <w:t>. So long as WPP owns not less than 25% of the shares, we agreed to review our budget plans with WPP’s nominee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to the Board of Directors, at the request of WPP.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Right of First Refusal</w:t>
      </w:r>
      <w:r>
        <w:rPr>
          <w:rFonts w:ascii="Arial" w:cs="Arial" w:eastAsia="Arial" w:hAnsi="Arial"/>
          <w:sz w:val="17"/>
          <w:szCs w:val="17"/>
          <w:color w:val="auto"/>
        </w:rPr>
        <w:t>. We agreed that, in the event that we propose to sell new securities, we will first offer such new securities to WPP.</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Special Approval Matters</w:t>
      </w:r>
      <w:r>
        <w:rPr>
          <w:rFonts w:ascii="Arial" w:cs="Arial" w:eastAsia="Arial" w:hAnsi="Arial"/>
          <w:sz w:val="18"/>
          <w:szCs w:val="18"/>
          <w:color w:val="auto"/>
        </w:rPr>
        <w:t>. So long as WPP owns not less than 25% of the shares, and provided that it is not prohibited by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an exchange that we trade on, we agreed that 80% Board approval will be required for certain decisions, including: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ventures that do not exceed, individually or in the aggregate 5% of our then issued and outstanding capital stock.</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 until June 30, 2016, the number of shares of Common Stock was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30-trading day period immediately prior to the date of the most recent statement of GHG Net Revenues set forth by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set forth the range of high and low bid information for our pre-reverse split Common Stock for the each of the periods indicated as reported by the OTCQB. These quotations reflect inter-dealer prices, without retail mark-up, mark-down or commission and may not necessarily represent actual transactions.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6740" w:type="dxa"/>
            <w:vAlign w:val="bottom"/>
            <w:gridSpan w:val="3"/>
          </w:tcPr>
          <w:p>
            <w:pPr>
              <w:ind w:left="1420"/>
              <w:spacing w:after="0"/>
              <w:rPr>
                <w:sz w:val="20"/>
                <w:szCs w:val="20"/>
                <w:color w:val="auto"/>
              </w:rPr>
            </w:pPr>
            <w:r>
              <w:rPr>
                <w:rFonts w:ascii="Arial" w:cs="Arial" w:eastAsia="Arial" w:hAnsi="Arial"/>
                <w:sz w:val="18"/>
                <w:szCs w:val="18"/>
                <w:color w:val="auto"/>
              </w:rPr>
              <w:t>Fiscal Year Ending December 31, 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8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High</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b w:val="1"/>
                <w:bCs w:val="1"/>
                <w:color w:val="auto"/>
              </w:rPr>
              <w:t>Low</w:t>
            </w:r>
          </w:p>
        </w:tc>
      </w:tr>
      <w:tr>
        <w:trPr>
          <w:trHeight w:val="241"/>
        </w:trPr>
        <w:tc>
          <w:tcPr>
            <w:tcW w:w="288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67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2016</w:t>
            </w:r>
          </w:p>
        </w:tc>
        <w:tc>
          <w:tcPr>
            <w:tcW w:w="5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June 30, 2016</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December 31, 2016</w:t>
            </w: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340" w:type="dxa"/>
            <w:vAlign w:val="bottom"/>
            <w:gridSpan w:val="3"/>
          </w:tcPr>
          <w:p>
            <w:pPr>
              <w:jc w:val="right"/>
              <w:ind w:right="2410"/>
              <w:spacing w:after="0"/>
              <w:rPr>
                <w:sz w:val="20"/>
                <w:szCs w:val="20"/>
                <w:color w:val="auto"/>
              </w:rPr>
            </w:pPr>
            <w:r>
              <w:rPr>
                <w:rFonts w:ascii="Arial" w:cs="Arial" w:eastAsia="Arial" w:hAnsi="Arial"/>
                <w:sz w:val="18"/>
                <w:szCs w:val="18"/>
                <w:color w:val="auto"/>
              </w:rPr>
              <w:t>Fiscal Year Ending December 31, 2017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3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High</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6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June 30, 2017</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December 31, 2017</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2018</w:t>
            </w:r>
          </w:p>
        </w:tc>
        <w:tc>
          <w:tcPr>
            <w:tcW w:w="634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May 31, 2018, the last sales price per share of our Common Stock was $8.28.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1, 2018, we had 11,548,095 shares of our Common Stock issued and outstanding, held by 320 shareholders of record at our transfer agent, with approximately 1,000 others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500,000 incentive or non-qualified options to purchase our Common Stock, or stock awards. In March 2016, the Board expanded the number of shares issuable under the plan to 1,333,333 and in February 2018, the number of shares issuable was increased to 1,833,333.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2017</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Securities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remaining</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available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of Securities to</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for future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be issued 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issuance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under equity</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of outstanding</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compensation</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the Shareholders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options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plans</w:t>
            </w:r>
          </w:p>
        </w:tc>
      </w:tr>
      <w:tr>
        <w:trPr>
          <w:trHeight w:val="216"/>
        </w:trPr>
        <w:tc>
          <w:tcPr>
            <w:tcW w:w="7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Equity Compensation Plan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 (warrants)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348,195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had no remaining shares available to grant under the Plan at December 31, 2017. In 2018, we increased our available shares under the Plan to 1,833,333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issued 6,250 shares of restricted Common Stock to our outside Directors as part of our director compensation package for services rendered in Q4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granted 130,000 shares of Common Stock to officers and options to purchase 106,667 shares of Common Stock with an exercise price of $4.20 to non-officers, both of which vest only if we achieve certain stretch revenue goals in either 2019 or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2018, we issued 6,250 shares of Common Stock to our independent directors in connection with our Director Compensation Plan. We also issued 100,000 shares of Common Stock to a subsidiary of WPP, a shareholder of the Company, in payment of amounts due under a comarketing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2018, we sold to accredited investors an aggregate of 1,666,669 shares of our Common Stock, par value $0.001 per share, for $5.40 per share, or gross proceeds of approximately $9,000,000.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Salary</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 (1)(2)</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156,937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CEO, Director</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83,742</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993,825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Miriam Paramore</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91,667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46,036</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329,950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89,380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SVP of Sales</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60,294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154,684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Douglas P. Baker</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95,330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134,070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CFO</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44,847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ind w:left="340" w:hanging="332"/>
        <w:spacing w:after="0" w:line="25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Febbo, Hamilton, and Baker represent employer matching contributions to the Company’s retirement plan, on the same basis as for all employees.</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reflected in All Other Compensation for Ms. Paramore reflects $2,200 of employer matching contributions to the Company’s retirement plan and $22,586 paid to her as a consultant prior to her starting employment for the Company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Febbo joined the Company as CEO on February 22, 2016. His employment contract called for an initial annual base salary of $220,000. In addition, he is eligible to participate in the Company’s executive bonus plan with a target bonus of 50% of his annual salary. He is also eligible for vacation, sick days, insurance, to participate in the Company’s 401k plan, and other benefits covering all employees. In March 2017, Mr. Febbo’s annual salary was adjusted to $250,000 per year, retroactive to January 1, 2017 by the compensation committee of the Board of Directors. No formal contract amendment was signed. Under the terms of his contract, the Company also granted to Mr. Febbo an option to purchase 500,000 shares of Common Stock, exercisable at a price of $3.21 per share, and vesting annually over a period of 5 years. Mr. Febbo’s contract calls for 12 months of severance if he is terminated without cause.</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2018, Mr. Febbo signed a formal contract amendment that increased his base salary to $275,000 retroactive to January 1, 2018 and set his 2019 salary at $300,000. The amendment also accelerated vesting on the options originally expected to vest on the fifth anniversary of his contract, by three years, as well as obligated the Company to reimburse Mr. Febbo for the premium on a term life insurance policy. The Company also granted to Mr. Febbo 80,000 shares of restricted Common Stock in February 2018 that vests if the Company achieves targeted stretch revenue goals in either 2019 or 2020.</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Ms. Paramore joined the Company as President on August 1, 2017. Her employment contract called for an initial base salary of $220,000. In addition, she is eligible to participate in the Company’s executive bonus plan with a target bonus of 40% of her annual salary. She is also eligible for vacation, sick days, insurance, to participate in the Company’s 401k plan, and other benefits covering all employees. Under the terms of her contract, the Company also granted to Ms. Paramore an option to purchase 166,667 shares of Common Stock, exercisable at a price of $3.15 per share, and vesting annually over a period of 5 years. Ms. Paramore’s contract calls for 6 months of severance if she is terminated without cause prior to August 1, 2018 and 12 months of severance is she is terminated without cause after August 1, 2018. Ms. Paramore was also granted 16,667 shares of restricted Common Stock in February 2018 that vests if the Company achieves targeted stretch revenue goals in either 2019 or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27, 2016, Mr. Hamilton’s signed a new employment agreement calling for a base salary of $181,650. In addition, he is eligible to participate in the Company’s executive bonus plan with a target bonus of 40% of his annual salary. He is also eligible for vacation, sick days, insurance, to participate in the Company’s 401k plan, and other benefits covering all employees. In March 2017, Mr. Hamilton’s annual salary was adjusted to $200,000 per year, retroactive to January 1, 2017. No formal contract amendment was signed. Mr. Hamilton’s contract also calls for 12 months of severance if he is terminated without cause. The Company also granted to Mr. Hamilton an option to purchase 66,667 shares of Common Stock in 2016, exercisable at a price of $3.45 per share that vests annually over a period of two years. Mr. Hamilton was also granted a performance based option to purchase 66,667 shares of Common Stock in 2017 that vested when the Company achieved its revenue budget of $12,000,000.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2018, Mr. Hamilton’s base salary was adjusted to $210,000, retroactive to January 1, 2018. He also has the opportunity to earn up to $100,000 of additional bonus in excess of the targeted amount, in increments of $20,000, if the Company exceeds its revenue targets by certain predefined milestones. Mr. Hamilton was also granted 16,667 shares of restricted stock in February 2018 that vest if the Company achieves targeted stretch revenue goals in either 2019 or 2020. Mr. Hamilton was also granted 16,667 shares of restricted Common Stock in February 2018 that vests if the Company achieves targeted stretch revenue goals in either 2019 or 2020.</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27, 2016, Mr. Baker signed a new employment agreement calling for a base salary of $180,000. In addition, he is eligible to participate in the Company’s executive bonus plan with a target bonus of 30% of his annual salary. He is also eligible for vacation, sick days, insurance, to participate in the Company’s 401k plan, and other benefits covering all employees. In March 2017, Mr. Baker’s annual salary was adjusted to $200,000 per year, retroactive to January 1, 2017. No formal contract amendment was signed. Mr. Baker’s contract calls for 6 months of severance if he is terminated without cause. Mr. Baker was also granted a performance based option to purchase 66,667 shares of Common Stock in 2017 that vested when the Company achieved its revenue budget of $12,000,000 and an option to purchase 33,334 shares of Common Stock that vests over a one-year period beginning in March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Mr. Baker’s annual salary was adjusted to $220,000 retroactive to January 1, 2018 and his target bonus percentage was changed to 40% of his annual salary. Mr. Baker was also granted 16,667 shares of restricted Common Stock in February 2018 that vests if the Company achieves targeted stretch revenue goals in either 2019 or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98"/>
              </w:rPr>
              <w:t>OPTION AWARDS</w:t>
            </w: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STOCK AWARDS</w:t>
            </w: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Incentive</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Plan</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Market</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Awards:</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of</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of</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or</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or Units</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Units</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Units or</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of</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Rights</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That</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That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That</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940" w:type="dxa"/>
            <w:vAlign w:val="bottom"/>
          </w:tcPr>
          <w:p>
            <w:pPr>
              <w:spacing w:after="0"/>
              <w:rPr>
                <w:sz w:val="20"/>
                <w:szCs w:val="20"/>
                <w:color w:val="auto"/>
              </w:rPr>
            </w:pPr>
            <w:r>
              <w:rPr>
                <w:rFonts w:ascii="Arial" w:cs="Arial" w:eastAsia="Arial" w:hAnsi="Arial"/>
                <w:sz w:val="18"/>
                <w:szCs w:val="18"/>
                <w:b w:val="1"/>
                <w:bCs w:val="1"/>
                <w:color w:val="auto"/>
                <w:w w:val="85"/>
              </w:rPr>
              <w:t>Unexercised</w:t>
            </w:r>
          </w:p>
        </w:tc>
        <w:tc>
          <w:tcPr>
            <w:tcW w:w="22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Have</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Have</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Have</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22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Not</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Not</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Vested</w:t>
            </w: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Vested</w:t>
            </w: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41"/>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Exercisable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Unexercisable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 Febbo</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3.21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02/21/21</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Miriam Paramore</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166,667</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07/27/22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Douglas Baker</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33,334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05/19/19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06/24/20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66,667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2.46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03/31/22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16,667</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2.46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03/31/22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Terry Hamilton</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33,334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33,334</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3.45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07/28/16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66,667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2.46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03/31/22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Fees Earned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or Paid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Cash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29,186</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49,186</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29,186</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55,436</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w w:val="96"/>
              </w:rPr>
              <w:t>Narrative Disclosure to the Director Compensation Table</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annual cash retainer for Board and Committee service as set forth in the table below, payable in equal quarterly installments, and (b) reimbursement for expenses related to Board meeting attendance and any committee participation.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Annual Fee</w:t>
            </w:r>
          </w:p>
        </w:tc>
      </w:tr>
      <w:tr>
        <w:trPr>
          <w:trHeight w:val="241"/>
        </w:trPr>
        <w:tc>
          <w:tcPr>
            <w:tcW w:w="10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Basic Director Fee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Board Chair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are expected to attend four meetings per year as well as spend an additional 10 – 20 hours per month on company matters. In addition, Outside Directors shall also receive 8,334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Financial Statements:</w:t>
      </w: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1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F-1</w:t>
            </w:r>
          </w:p>
        </w:tc>
        <w:tc>
          <w:tcPr>
            <w:tcW w:w="5480" w:type="dxa"/>
            <w:vAlign w:val="bottom"/>
            <w:tcBorders>
              <w:bottom w:val="single" w:sz="8" w:color="0000EE"/>
            </w:tcBorders>
            <w:gridSpan w:val="5"/>
            <w:shd w:val="clear" w:color="auto" w:fill="CCEEFF"/>
          </w:tcPr>
          <w:p>
            <w:pPr>
              <w:spacing w:after="0" w:line="203"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Balance Sheets as of March 31, 2018 and December 31, 2017;</w:t>
              </w:r>
            </w:hyperlink>
          </w:p>
        </w:tc>
        <w:tc>
          <w:tcPr>
            <w:tcW w:w="4780" w:type="dxa"/>
            <w:vAlign w:val="bottom"/>
            <w:tcBorders>
              <w:bottom w:val="single" w:sz="8" w:color="CCEEFF"/>
            </w:tcBorders>
            <w:gridSpan w:val="5"/>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F-2</w:t>
            </w:r>
          </w:p>
        </w:tc>
        <w:tc>
          <w:tcPr>
            <w:tcW w:w="10260" w:type="dxa"/>
            <w:vAlign w:val="bottom"/>
            <w:gridSpan w:val="1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Statements of Operations for three months ended March 31, 2018 and 2017;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F-3</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Cash Flows for three months ended March 31, 2018 and 2017;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F-4</w:t>
            </w:r>
          </w:p>
        </w:tc>
        <w:tc>
          <w:tcPr>
            <w:tcW w:w="32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Notes to Financial Statements.</w:t>
              </w:r>
            </w:hyperlink>
          </w:p>
        </w:tc>
        <w:tc>
          <w:tcPr>
            <w:tcW w:w="3620" w:type="dxa"/>
            <w:vAlign w:val="bottom"/>
            <w:tcBorders>
              <w:top w:val="single" w:sz="8" w:color="0000EE"/>
            </w:tcBorders>
            <w:gridSpan w:val="8"/>
          </w:tcPr>
          <w:p>
            <w:pPr>
              <w:spacing w:after="0"/>
              <w:rPr>
                <w:sz w:val="15"/>
                <w:szCs w:val="15"/>
                <w:color w:val="auto"/>
              </w:rPr>
            </w:pPr>
          </w:p>
        </w:tc>
        <w:tc>
          <w:tcPr>
            <w:tcW w:w="34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42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F-6 - F-7</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Reports of Independent Registered Public Accounting Firms;</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F-8</w:t>
            </w:r>
          </w:p>
        </w:tc>
        <w:tc>
          <w:tcPr>
            <w:tcW w:w="10260" w:type="dxa"/>
            <w:vAlign w:val="bottom"/>
            <w:gridSpan w:val="10"/>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2017 and 2016;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F-9</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years ended December 31, 2017 and 2016;</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F-10 - F-11</w:t>
            </w:r>
          </w:p>
        </w:tc>
        <w:tc>
          <w:tcPr>
            <w:tcW w:w="6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 of Stockholders’ Equity as of December 31, 2017;</w:t>
              </w:r>
            </w:hyperlink>
          </w:p>
        </w:tc>
        <w:tc>
          <w:tcPr>
            <w:tcW w:w="382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F-12</w:t>
            </w:r>
          </w:p>
        </w:tc>
        <w:tc>
          <w:tcPr>
            <w:tcW w:w="10260" w:type="dxa"/>
            <w:vAlign w:val="bottom"/>
            <w:gridSpan w:val="10"/>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the years ended December 31, 2017 and 2016; and</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F-13</w:t>
            </w:r>
          </w:p>
        </w:tc>
        <w:tc>
          <w:tcPr>
            <w:tcW w:w="320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Notes to Financial Statements.</w:t>
              </w:r>
            </w:hyperlink>
          </w:p>
        </w:tc>
        <w:tc>
          <w:tcPr>
            <w:tcW w:w="3600" w:type="dxa"/>
            <w:vAlign w:val="bottom"/>
            <w:tcBorders>
              <w:top w:val="single" w:sz="8" w:color="0000EE"/>
            </w:tcBorders>
            <w:gridSpan w:val="7"/>
          </w:tcPr>
          <w:p>
            <w:pPr>
              <w:spacing w:after="0"/>
              <w:rPr>
                <w:sz w:val="15"/>
                <w:szCs w:val="15"/>
                <w:color w:val="auto"/>
              </w:rPr>
            </w:pPr>
          </w:p>
        </w:tc>
        <w:tc>
          <w:tcPr>
            <w:tcW w:w="34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4440"/>
              <w:spacing w:after="0"/>
              <w:rPr>
                <w:sz w:val="20"/>
                <w:szCs w:val="20"/>
                <w:color w:val="auto"/>
              </w:rPr>
            </w:pPr>
            <w:r>
              <w:rPr>
                <w:rFonts w:ascii="Arial" w:cs="Arial" w:eastAsia="Arial" w:hAnsi="Arial"/>
                <w:sz w:val="22"/>
                <w:szCs w:val="22"/>
                <w:color w:val="auto"/>
                <w:w w:val="97"/>
              </w:rPr>
              <w:t>42</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800"/>
        <w:spacing w:after="0" w:line="300" w:lineRule="auto"/>
        <w:rPr>
          <w:sz w:val="20"/>
          <w:szCs w:val="20"/>
          <w:color w:val="auto"/>
        </w:rPr>
      </w:pPr>
      <w:r>
        <w:rPr>
          <w:rFonts w:ascii="Arial" w:cs="Arial" w:eastAsia="Arial" w:hAnsi="Arial"/>
          <w:sz w:val="15"/>
          <w:szCs w:val="15"/>
          <w:color w:val="auto"/>
        </w:rPr>
        <w:t>Cash and cash equivalents Accounts receivable</w:t>
      </w:r>
    </w:p>
    <w:p>
      <w:pPr>
        <w:spacing w:after="0" w:line="1" w:lineRule="exact"/>
        <w:rPr>
          <w:sz w:val="20"/>
          <w:szCs w:val="20"/>
          <w:color w:val="auto"/>
        </w:rPr>
      </w:pPr>
    </w:p>
    <w:p>
      <w:pPr>
        <w:ind w:left="180" w:right="140"/>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ind w:right="840"/>
        <w:spacing w:after="0" w:line="325" w:lineRule="auto"/>
        <w:rPr>
          <w:sz w:val="20"/>
          <w:szCs w:val="20"/>
          <w:color w:val="auto"/>
        </w:rPr>
      </w:pPr>
      <w:r>
        <w:rPr>
          <w:rFonts w:ascii="Arial" w:cs="Arial" w:eastAsia="Arial" w:hAnsi="Arial"/>
          <w:sz w:val="16"/>
          <w:szCs w:val="16"/>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right="68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4900" w:type="dxa"/>
            <w:vAlign w:val="bottom"/>
            <w:gridSpan w:val="2"/>
            <w:vMerge w:val="restart"/>
          </w:tcPr>
          <w:p>
            <w:pPr>
              <w:jc w:val="right"/>
              <w:ind w:right="4240"/>
              <w:spacing w:after="0"/>
              <w:rPr>
                <w:sz w:val="20"/>
                <w:szCs w:val="20"/>
                <w:color w:val="auto"/>
              </w:rPr>
            </w:pPr>
            <w:r>
              <w:rPr>
                <w:rFonts w:ascii="Arial" w:cs="Arial" w:eastAsia="Arial" w:hAnsi="Arial"/>
                <w:sz w:val="18"/>
                <w:szCs w:val="18"/>
                <w:b w:val="1"/>
                <w:bCs w:val="1"/>
                <w:color w:val="auto"/>
                <w:w w:val="88"/>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4,298,619</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5,122,573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1,871,255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2,257,276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1,974,143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1,173,614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191,413</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255,428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8,335,430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621,793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638,766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152,493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143,730</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779,335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0" w:type="dxa"/>
            <w:vAlign w:val="bottom"/>
          </w:tcPr>
          <w:p>
            <w:pPr>
              <w:spacing w:after="0"/>
              <w:rPr>
                <w:sz w:val="1"/>
                <w:szCs w:val="1"/>
                <w:color w:val="auto"/>
              </w:rPr>
            </w:pPr>
          </w:p>
        </w:tc>
      </w:tr>
      <w:tr>
        <w:trPr>
          <w:trHeight w:val="250"/>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9,272,373</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9,763,741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-1809115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-1534160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-1242695</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-934085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-650875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80" w:space="720"/>
            <w:col w:w="782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6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133,870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457,289</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549,656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953,947</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898,478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1,177,136</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447,670</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856,914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507,160</w:t>
            </w:r>
          </w:p>
        </w:tc>
      </w:tr>
      <w:tr>
        <w:trPr>
          <w:trHeight w:val="236"/>
        </w:trPr>
        <w:tc>
          <w:tcPr>
            <w:tcW w:w="8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2,438,918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56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5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issued and outstanding at March 31, 2018 or</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2017</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856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$0.001 par value, 500,000,000 shares authorized, 9,878,944 and 9,772,694 shares issued and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outstanding at March 31, 2018 and December 31, 2017, respectively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1,286,424</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36,231,480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35,287,464</w:t>
            </w:r>
          </w:p>
        </w:tc>
      </w:tr>
      <w:tr>
        <w:trPr>
          <w:trHeight w:val="25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(30,694,328)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(30,363,122)</w:t>
            </w:r>
          </w:p>
        </w:tc>
      </w:tr>
      <w:tr>
        <w:trPr>
          <w:trHeight w:val="210"/>
        </w:trPr>
        <w:tc>
          <w:tcPr>
            <w:tcW w:w="8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6,833,455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9,272,373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9,763,741</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770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rPr>
              <w:t>OPTIMIZERx CORPORATION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9"/>
              </w:rPr>
              <w:t>CONDENSED CONSOLIDATED STATEMENTS OF OPERATIONS (UNAUDITED)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0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8"/>
              </w:rPr>
              <w:t>FOR THE THREE MONTHS ENDED MARCH 31, 2018 AND 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For the Three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6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7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$2,781,621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1,400,318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Revenue – Related Party</w:t>
            </w:r>
          </w:p>
        </w:tc>
        <w:tc>
          <w:tcPr>
            <w:tcW w:w="7700" w:type="dxa"/>
            <w:vAlign w:val="bottom"/>
            <w:gridSpan w:val="3"/>
          </w:tcPr>
          <w:p>
            <w:pPr>
              <w:jc w:val="right"/>
              <w:ind w:right="100"/>
              <w:spacing w:after="0"/>
              <w:rPr>
                <w:sz w:val="20"/>
                <w:szCs w:val="20"/>
                <w:color w:val="auto"/>
              </w:rPr>
            </w:pPr>
            <w:r>
              <w:rPr>
                <w:rFonts w:ascii="Arial" w:cs="Arial" w:eastAsia="Arial" w:hAnsi="Arial"/>
                <w:sz w:val="18"/>
                <w:szCs w:val="18"/>
                <w:color w:val="auto"/>
              </w:rPr>
              <w:t>1,330,616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6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4,112,237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5"/>
              </w:rPr>
              <w:t>REVENUE SHARE EXPENSE</w:t>
            </w:r>
          </w:p>
        </w:tc>
        <w:tc>
          <w:tcPr>
            <w:tcW w:w="7700" w:type="dxa"/>
            <w:vAlign w:val="bottom"/>
            <w:gridSpan w:val="3"/>
          </w:tcPr>
          <w:p>
            <w:pPr>
              <w:jc w:val="right"/>
              <w:ind w:right="100"/>
              <w:spacing w:after="0"/>
              <w:rPr>
                <w:sz w:val="20"/>
                <w:szCs w:val="20"/>
                <w:color w:val="auto"/>
              </w:rPr>
            </w:pPr>
            <w:r>
              <w:rPr>
                <w:rFonts w:ascii="Arial" w:cs="Arial" w:eastAsia="Arial" w:hAnsi="Arial"/>
                <w:sz w:val="18"/>
                <w:szCs w:val="18"/>
                <w:color w:val="auto"/>
              </w:rPr>
              <w:t>2,008,092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GROSS MARGIN</w:t>
            </w:r>
          </w:p>
        </w:tc>
        <w:tc>
          <w:tcPr>
            <w:tcW w:w="7700" w:type="dxa"/>
            <w:vAlign w:val="bottom"/>
            <w:gridSpan w:val="3"/>
          </w:tcPr>
          <w:p>
            <w:pPr>
              <w:jc w:val="right"/>
              <w:ind w:right="100"/>
              <w:spacing w:after="0"/>
              <w:rPr>
                <w:sz w:val="20"/>
                <w:szCs w:val="20"/>
                <w:color w:val="auto"/>
              </w:rPr>
            </w:pPr>
            <w:r>
              <w:rPr>
                <w:rFonts w:ascii="Arial" w:cs="Arial" w:eastAsia="Arial" w:hAnsi="Arial"/>
                <w:sz w:val="18"/>
                <w:szCs w:val="18"/>
                <w:color w:val="auto"/>
              </w:rPr>
              <w:t>2,104,145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770,340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700" w:type="dxa"/>
            <w:vAlign w:val="bottom"/>
            <w:gridSpan w:val="3"/>
          </w:tcPr>
          <w:p>
            <w:pPr>
              <w:jc w:val="right"/>
              <w:ind w:right="100"/>
              <w:spacing w:after="0"/>
              <w:rPr>
                <w:sz w:val="20"/>
                <w:szCs w:val="20"/>
                <w:color w:val="auto"/>
              </w:rPr>
            </w:pPr>
            <w:r>
              <w:rPr>
                <w:rFonts w:ascii="Arial" w:cs="Arial" w:eastAsia="Arial" w:hAnsi="Arial"/>
                <w:sz w:val="18"/>
                <w:szCs w:val="18"/>
                <w:color w:val="auto"/>
              </w:rPr>
              <w:t>2,295,341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sectPr>
      </w:pPr>
    </w:p>
    <w:p>
      <w:pPr>
        <w:ind w:left="18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(191,196)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(890,438)</w:t>
            </w:r>
          </w:p>
        </w:tc>
      </w:tr>
      <w:tr>
        <w:trPr>
          <w:trHeight w:val="633"/>
        </w:trPr>
        <w:tc>
          <w:tcPr>
            <w:tcW w:w="3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7,756</w:t>
            </w:r>
          </w:p>
        </w:tc>
        <w:tc>
          <w:tcPr>
            <w:tcW w:w="6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7,756</w:t>
            </w:r>
          </w:p>
        </w:tc>
        <w:tc>
          <w:tcPr>
            <w:tcW w:w="60" w:type="dxa"/>
            <w:vAlign w:val="bottom"/>
          </w:tcPr>
          <w:p>
            <w:pPr>
              <w:spacing w:after="0"/>
              <w:rPr>
                <w:sz w:val="19"/>
                <w:szCs w:val="19"/>
                <w:color w:val="auto"/>
              </w:rPr>
            </w:pPr>
          </w:p>
        </w:tc>
      </w:tr>
      <w:tr>
        <w:trPr>
          <w:trHeight w:val="215"/>
        </w:trPr>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(882,682)</w:t>
            </w:r>
          </w:p>
        </w:tc>
        <w:tc>
          <w:tcPr>
            <w:tcW w:w="6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0"/>
        </w:trPr>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(189,179</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(882,682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100" w:space="720"/>
            <w:col w:w="260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9,786,027</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9,906,289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LOSS PER SHARE</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(0.09</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8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rPr>
              <w:t>OPTIMIZERx CORPORATION</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FOR THE THREE MONTHS ENDED MARCH 31, 2018 AND 2017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6"/>
          </w:tcPr>
          <w:p>
            <w:pPr>
              <w:jc w:val="right"/>
              <w:ind w:right="520"/>
              <w:spacing w:after="0"/>
              <w:rPr>
                <w:sz w:val="20"/>
                <w:szCs w:val="20"/>
                <w:color w:val="auto"/>
              </w:rPr>
            </w:pPr>
            <w:r>
              <w:rPr>
                <w:rFonts w:ascii="Arial" w:cs="Arial" w:eastAsia="Arial" w:hAnsi="Arial"/>
                <w:sz w:val="18"/>
                <w:szCs w:val="18"/>
                <w:color w:val="auto"/>
                <w:w w:val="97"/>
              </w:rPr>
              <w:t>For the Three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gridSpan w:val="6"/>
          </w:tcPr>
          <w:p>
            <w:pPr>
              <w:jc w:val="right"/>
              <w:ind w:right="66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340"/>
              <w:spacing w:after="0"/>
              <w:rPr>
                <w:sz w:val="20"/>
                <w:szCs w:val="20"/>
                <w:color w:val="auto"/>
              </w:rPr>
            </w:pPr>
            <w:r>
              <w:rPr>
                <w:rFonts w:ascii="Arial" w:cs="Arial" w:eastAsia="Arial" w:hAnsi="Arial"/>
                <w:sz w:val="18"/>
                <w:szCs w:val="18"/>
                <w:color w:val="auto"/>
              </w:rPr>
              <w:t>Stock and options issued for services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497,122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(414,508)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(323,419)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(404,291)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(230,975)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207,727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(787,388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(297,236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Development costs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(32,763)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p>
      <w:pPr>
        <w:spacing w:after="0" w:line="211" w:lineRule="exact"/>
        <w:rPr>
          <w:sz w:val="20"/>
          <w:szCs w:val="20"/>
          <w:color w:val="auto"/>
        </w:rPr>
      </w:pPr>
    </w:p>
    <w:p>
      <w:pPr>
        <w:ind w:right="2740"/>
        <w:spacing w:after="0" w:line="281" w:lineRule="auto"/>
        <w:rPr>
          <w:sz w:val="20"/>
          <w:szCs w:val="20"/>
          <w:color w:val="auto"/>
        </w:rPr>
      </w:pPr>
      <w:r>
        <w:rPr>
          <w:rFonts w:ascii="Arial" w:cs="Arial" w:eastAsia="Arial" w:hAnsi="Arial"/>
          <w:sz w:val="17"/>
          <w:szCs w:val="17"/>
          <w:color w:val="auto"/>
        </w:rPr>
        <w:t>NET 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left="500"/>
        <w:spacing w:after="0"/>
        <w:tabs>
          <w:tab w:leader="none" w:pos="1820" w:val="left"/>
        </w:tabs>
        <w:rPr>
          <w:sz w:val="20"/>
          <w:szCs w:val="20"/>
          <w:color w:val="auto"/>
        </w:rPr>
      </w:pPr>
      <w:r>
        <w:rPr>
          <w:rFonts w:ascii="Arial" w:cs="Arial" w:eastAsia="Arial" w:hAnsi="Arial"/>
          <w:sz w:val="18"/>
          <w:szCs w:val="18"/>
          <w:color w:val="auto"/>
        </w:rPr>
        <w:t>(823,954)</w:t>
      </w:r>
      <w:r>
        <w:rPr>
          <w:sz w:val="20"/>
          <w:szCs w:val="20"/>
          <w:color w:val="auto"/>
        </w:rPr>
        <w:tab/>
      </w:r>
      <w:r>
        <w:rPr>
          <w:rFonts w:ascii="Arial" w:cs="Arial" w:eastAsia="Arial" w:hAnsi="Arial"/>
          <w:sz w:val="18"/>
          <w:szCs w:val="18"/>
          <w:color w:val="auto"/>
        </w:rPr>
        <w:t>(313,382)</w:t>
      </w:r>
    </w:p>
    <w:p>
      <w:pPr>
        <w:spacing w:after="0" w:line="2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5,122,573</w:t>
      </w:r>
      <w:r>
        <w:rPr>
          <w:sz w:val="20"/>
          <w:szCs w:val="20"/>
          <w:color w:val="auto"/>
        </w:rPr>
        <w:tab/>
      </w:r>
      <w:r>
        <w:rPr>
          <w:rFonts w:ascii="Arial" w:cs="Arial" w:eastAsia="Arial" w:hAnsi="Arial"/>
          <w:sz w:val="17"/>
          <w:szCs w:val="17"/>
          <w:color w:val="auto"/>
        </w:rPr>
        <w:t>7,034,647</w:t>
      </w:r>
    </w:p>
    <w:p>
      <w:pPr>
        <w:spacing w:after="0" w:line="74" w:lineRule="exact"/>
        <w:rPr>
          <w:sz w:val="20"/>
          <w:szCs w:val="20"/>
          <w:color w:val="auto"/>
        </w:rPr>
      </w:pPr>
    </w:p>
    <w:p>
      <w:pPr>
        <w:spacing w:after="0"/>
        <w:tabs>
          <w:tab w:leader="none" w:pos="400" w:val="left"/>
          <w:tab w:leader="none" w:pos="134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4,298,619</w:t>
        <w:tab/>
        <w:t>$</w:t>
      </w:r>
      <w:r>
        <w:rPr>
          <w:sz w:val="20"/>
          <w:szCs w:val="20"/>
          <w:color w:val="auto"/>
        </w:rPr>
        <w:tab/>
      </w:r>
      <w:r>
        <w:rPr>
          <w:rFonts w:ascii="Arial" w:cs="Arial" w:eastAsia="Arial" w:hAnsi="Arial"/>
          <w:sz w:val="16"/>
          <w:szCs w:val="16"/>
          <w:color w:val="auto"/>
        </w:rPr>
        <w:t>6,721,265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8100" w:space="720"/>
            <w:col w:w="260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3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8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3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vMerge w:val="continue"/>
          </w:tcPr>
          <w:p>
            <w:pPr>
              <w:spacing w:after="0"/>
              <w:rPr>
                <w:sz w:val="22"/>
                <w:szCs w:val="22"/>
                <w:color w:val="auto"/>
              </w:rPr>
            </w:pPr>
          </w:p>
        </w:tc>
        <w:tc>
          <w:tcPr>
            <w:tcW w:w="3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Non-cash issuance of shares to WPP</w:t>
            </w:r>
          </w:p>
        </w:tc>
        <w:tc>
          <w:tcPr>
            <w:tcW w:w="30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months ended March 31, 2018 and 2017 have been prepared by us without audit pursuant to the rules and regulations of the U.S. Securities and Exchange Commission. In the opinion of management, all adjustments necessary to present fairly our financial position, results of operations, and cash flows as of March 31, 2018 and 2017, and for the periods then ended, have been made. Those adjustments consist of normal and recurring adjustments. The consolidated balance sheet as of December 31, 2017,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2017, as filed with the U.S. Securities and Exchange Commission.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operations for the three months ended March 31, 2018,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NEW FINANCIAL ACCOUNTING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in the three months ended March 31, 2018. Had the new revenue standard not taken effect, our revenues for the period would have been higher by $117,911 and deferred revenues lower by $117,911. All of these revenues are expected to be recognized by December 31, 2018, so the primary effect of the new revenue standard is to shift revenues between quarters by immaterial amounts.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both March 2018 and 2017, we issued 6,250 shares of our common stock to our independent directors in connection with our Director Compensation Plan, which calls for issuance of 6,250 shares per quarter to each independent director. These shares were valued at $28,875 and $15,375 at March 31, 2018 and 2017,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we issued 100,000 shares of common stock to a subsidiary of WPP, one of the world’s largest advertising companies, and a shareholder, in full payment of all amounts due under a comarketing agreement that covered certain WPP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earnings per share are the same in both periods. The number of common shares potentially issuable related to dilutive securities that were excluded from the diluted loss per common share calculation was approximately 604,172, because they are anti-dilutive, as a result of a net loss for the quarter ended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4 – SHARE BASED PAYMENTS –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fair value method to account for stock based compensation. We recorded $468,247 and $114,069 in compensation expense in the three months ended March 31, 2018 and 2017,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The assumptions used in this model were similar to the assumptions set forth in our Annual Report on Form 10-K for the fiscal year ended December 31, 2017 related to grants in 2017. As also discussed in the 10-K, we increased the shares of common stock authorized under our stock option plan during the quarter to 1,833,333 million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5 – RELATED PARTY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more detail in Note 3, Stockholders Equity, we issued 100,000 shares of our common stock to a subsidiary of WPP, a shareholder that owns approximately 20% of our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 SUBSEQUENT EVENTS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2018, we signed an agreement to issue 1,666,669 shares of common stock for gross proceeds of $9.0 million, with expected net proceeds of approximately $8.3 million. The transaction closed May 4, 2018. In addition, our Board of Directors approved a 1 for 3 stock split to meet the requirements of NASDAQ. The reverse split was effective May 14, 2018. These effective of this reverse split has been retroactively included in these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724025" cy="728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240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OptimizeRx Corporation (“the Company”) as of December 31, 2017, the related consolidated statements of operations, stockholders’ equity, and cash flows for the year ended December 31, 2017 and the related notes (collectively referred to as the “financial statements”). In our opinion, the consolidated financial statements referred to above present fairly, in all material respects, the financial position of OptimizeRx Corporation as of December 31, 2017, and the results of its operations and its cash flows for the year ended December 31, 2017,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OptimizeRx Corporation consolidated financial statements based on our audit. We are a public accounting firm registered with the Public Company Accounting Oversight Board (United States) (“PCAOB”) and are required to be independent with respect to the Company in accordance with the U.S. federal security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the adjustments to the 2016 consolidated financial statements to retrospectively apply the effect of the reverse stock split, as described in Note 10. In our opinion, such adjustments are appropriate and have been properly applied. We were not engaged to audit, review, or apply any procedures to the 2016 consolidated financial statements of the Company other than with respect to the adjustments and, accordingly, we do not express an opinion or any other form of assurance on the 2016 consolidated financial statements taken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7, 2018, except for Note 10, as to which the date is May 17, 2018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Office</w:t>
        <w:tab/>
        <w:t>801.783.2950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801.783.2960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WWW</w:t>
      </w:r>
      <w:r>
        <w:rPr>
          <w:rFonts w:ascii="Arial" w:cs="Arial" w:eastAsia="Arial" w:hAnsi="Arial"/>
          <w:sz w:val="17"/>
          <w:szCs w:val="17"/>
          <w:color w:val="auto"/>
        </w:rPr>
        <w:t>.sadlergibb.com |</w:t>
      </w:r>
      <w:r>
        <w:rPr>
          <w:rFonts w:ascii="Arial" w:cs="Arial" w:eastAsia="Arial" w:hAnsi="Arial"/>
          <w:sz w:val="17"/>
          <w:szCs w:val="17"/>
          <w:b w:val="1"/>
          <w:bCs w:val="1"/>
          <w:color w:val="auto"/>
        </w:rPr>
        <w:t xml:space="preserve"> Main</w:t>
      </w:r>
      <w:r>
        <w:rPr>
          <w:rFonts w:ascii="Arial" w:cs="Arial" w:eastAsia="Arial" w:hAnsi="Arial"/>
          <w:sz w:val="17"/>
          <w:szCs w:val="17"/>
          <w:color w:val="auto"/>
        </w:rPr>
        <w:t>: 2455 East Parleys Way Suite 320, Salt Lake City, UT 84109 |</w:t>
      </w:r>
      <w:r>
        <w:rPr>
          <w:rFonts w:ascii="Arial" w:cs="Arial" w:eastAsia="Arial" w:hAnsi="Arial"/>
          <w:sz w:val="17"/>
          <w:szCs w:val="17"/>
          <w:b w:val="1"/>
          <w:bCs w:val="1"/>
          <w:color w:val="auto"/>
        </w:rPr>
        <w:t xml:space="preserve"> Provo</w:t>
      </w:r>
      <w:r>
        <w:rPr>
          <w:rFonts w:ascii="Arial" w:cs="Arial" w:eastAsia="Arial" w:hAnsi="Arial"/>
          <w:sz w:val="17"/>
          <w:szCs w:val="17"/>
          <w:color w:val="auto"/>
        </w:rPr>
        <w:t>: 3507 N University Ave #100, Provo, UT 84604</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31,2016, and the related consolidated statements of operations, shareholders’ equity (deficit), and cash flows for the year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2016 and the results of their operations and their cash flows for year ended December 31, 2016,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right="560"/>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ind w:right="1260"/>
        <w:spacing w:after="0" w:line="325" w:lineRule="auto"/>
        <w:rPr>
          <w:sz w:val="20"/>
          <w:szCs w:val="20"/>
          <w:color w:val="auto"/>
        </w:rPr>
      </w:pPr>
      <w:r>
        <w:rPr>
          <w:rFonts w:ascii="Arial" w:cs="Arial" w:eastAsia="Arial" w:hAnsi="Arial"/>
          <w:sz w:val="16"/>
          <w:szCs w:val="16"/>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right="110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December 31,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r>
      <w:tr>
        <w:trPr>
          <w:trHeight w:val="237"/>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r>
      <w:tr>
        <w:trPr>
          <w:trHeight w:val="432"/>
        </w:trPr>
        <w:tc>
          <w:tcPr>
            <w:tcW w:w="5040" w:type="dxa"/>
            <w:vAlign w:val="bottom"/>
            <w:gridSpan w:val="2"/>
          </w:tcPr>
          <w:p>
            <w:pPr>
              <w:jc w:val="right"/>
              <w:ind w:right="4290"/>
              <w:spacing w:after="0"/>
              <w:rPr>
                <w:sz w:val="20"/>
                <w:szCs w:val="20"/>
                <w:color w:val="auto"/>
              </w:rPr>
            </w:pPr>
            <w:r>
              <w:rPr>
                <w:rFonts w:ascii="Arial" w:cs="Arial" w:eastAsia="Arial" w:hAnsi="Arial"/>
                <w:sz w:val="18"/>
                <w:szCs w:val="18"/>
                <w:b w:val="1"/>
                <w:bCs w:val="1"/>
                <w:color w:val="auto"/>
                <w:w w:val="88"/>
              </w:rPr>
              <w:t>ASSETS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5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5,122,573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7,034,647</w:t>
            </w:r>
          </w:p>
        </w:tc>
      </w:tr>
      <w:tr>
        <w:trPr>
          <w:trHeight w:val="216"/>
        </w:trPr>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2,257,276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1,951,811</w:t>
            </w:r>
          </w:p>
        </w:tc>
      </w:tr>
      <w:tr>
        <w:trPr>
          <w:trHeight w:val="230"/>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1,173,614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1,108,585</w:t>
            </w:r>
          </w:p>
        </w:tc>
      </w:tr>
      <w:tr>
        <w:trPr>
          <w:trHeight w:val="237"/>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255,428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80,820</w:t>
            </w:r>
          </w:p>
        </w:tc>
      </w:tr>
      <w:tr>
        <w:trPr>
          <w:trHeight w:val="223"/>
        </w:trPr>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10,175,863</w:t>
            </w: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173,649</w:t>
            </w:r>
          </w:p>
        </w:tc>
      </w:tr>
      <w:tr>
        <w:trPr>
          <w:trHeight w:val="418"/>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638,766</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772,394</w:t>
            </w:r>
          </w:p>
        </w:tc>
      </w:tr>
      <w:tr>
        <w:trPr>
          <w:trHeight w:val="230"/>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143,730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351,804</w:t>
            </w:r>
          </w:p>
        </w:tc>
      </w:tr>
      <w:tr>
        <w:trPr>
          <w:trHeight w:val="237"/>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5,049</w:t>
            </w:r>
          </w:p>
        </w:tc>
      </w:tr>
      <w:tr>
        <w:trPr>
          <w:trHeight w:val="223"/>
        </w:trPr>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1,129,247</w:t>
            </w:r>
          </w:p>
        </w:tc>
      </w:tr>
      <w:tr>
        <w:trPr>
          <w:trHeight w:val="250"/>
        </w:trPr>
        <w:tc>
          <w:tcPr>
            <w:tcW w:w="5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9,763,741</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11,478,759</w:t>
            </w:r>
          </w:p>
        </w:tc>
      </w:tr>
      <w:tr>
        <w:trPr>
          <w:trHeight w:val="21"/>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-1809115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-1534160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-1242695</wp:posOffset>
            </wp:positionV>
            <wp:extent cx="72466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-934085</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-650875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-359410</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00" w:space="720"/>
            <w:col w:w="740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4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457,289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369,214</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953,947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288,268</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1,177,136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2,495,059</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447,670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127,458</w:t>
            </w:r>
          </w:p>
        </w:tc>
      </w:tr>
      <w:tr>
        <w:trPr>
          <w:trHeight w:val="237"/>
        </w:trPr>
        <w:tc>
          <w:tcPr>
            <w:tcW w:w="8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507,160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386,581</w:t>
            </w:r>
          </w:p>
        </w:tc>
      </w:tr>
      <w:tr>
        <w:trPr>
          <w:trHeight w:val="236"/>
        </w:trPr>
        <w:tc>
          <w:tcPr>
            <w:tcW w:w="8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74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Preferred stock, $0.001 par value, 10,000,000 shares authorized, no issued and outstanding at December 31, 2017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$0.001 par value, 500,000,000 shares authorized, 9,772,694 and 9,906,289 shares issued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740" w:type="dxa"/>
            <w:vAlign w:val="bottom"/>
          </w:tcPr>
          <w:p>
            <w:pPr>
              <w:ind w:left="360"/>
              <w:spacing w:after="0"/>
              <w:rPr>
                <w:sz w:val="20"/>
                <w:szCs w:val="20"/>
                <w:color w:val="auto"/>
              </w:rPr>
            </w:pPr>
            <w:r>
              <w:rPr>
                <w:rFonts w:ascii="Arial" w:cs="Arial" w:eastAsia="Arial" w:hAnsi="Arial"/>
                <w:sz w:val="18"/>
                <w:szCs w:val="18"/>
                <w:color w:val="auto"/>
              </w:rPr>
              <w:t>outstanding at December 31, 2017 and 2016, respectively</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9,906</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2,294,416</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35,287,464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33,766,950</w:t>
            </w:r>
          </w:p>
        </w:tc>
      </w:tr>
      <w:tr>
        <w:trPr>
          <w:trHeight w:val="250"/>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(30,363,122)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(28,259,093)</w:t>
            </w:r>
          </w:p>
        </w:tc>
      </w:tr>
      <w:tr>
        <w:trPr>
          <w:trHeight w:val="210"/>
        </w:trPr>
        <w:tc>
          <w:tcPr>
            <w:tcW w:w="8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7,812,179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9,763,741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11,478,759</w:t>
            </w:r>
          </w:p>
        </w:tc>
      </w:tr>
      <w:tr>
        <w:trPr>
          <w:trHeight w:val="21"/>
        </w:trPr>
        <w:tc>
          <w:tcPr>
            <w:tcW w:w="8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82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rPr>
              <w:t>OPTIMIZERx CORPORATION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0" w:type="dxa"/>
            <w:vAlign w:val="bottom"/>
          </w:tcPr>
          <w:p>
            <w:pPr>
              <w:jc w:val="center"/>
              <w:ind w:left="1790"/>
              <w:spacing w:after="0"/>
              <w:rPr>
                <w:sz w:val="20"/>
                <w:szCs w:val="20"/>
                <w:color w:val="auto"/>
              </w:rPr>
            </w:pPr>
            <w:r>
              <w:rPr>
                <w:rFonts w:ascii="Arial" w:cs="Arial" w:eastAsia="Arial" w:hAnsi="Arial"/>
                <w:sz w:val="18"/>
                <w:szCs w:val="18"/>
                <w:b w:val="1"/>
                <w:bCs w:val="1"/>
                <w:color w:val="auto"/>
                <w:w w:val="89"/>
              </w:rPr>
              <w:t>Consolidated Statements of Operations for the Years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Ended December 31, 2017 and 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8,431,208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6,209,051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gridSpan w:val="2"/>
          </w:tcPr>
          <w:p>
            <w:pPr>
              <w:ind w:left="340"/>
              <w:spacing w:after="0"/>
              <w:rPr>
                <w:sz w:val="20"/>
                <w:szCs w:val="20"/>
                <w:color w:val="auto"/>
              </w:rPr>
            </w:pPr>
            <w:r>
              <w:rPr>
                <w:rFonts w:ascii="Arial" w:cs="Arial" w:eastAsia="Arial" w:hAnsi="Arial"/>
                <w:sz w:val="18"/>
                <w:szCs w:val="18"/>
                <w:color w:val="auto"/>
              </w:rPr>
              <w:t>Revenue – related party</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3,696,214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1,542,411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 REVENUE</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12,127,422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REVENUE SHARE EXPENSE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6,174,614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3,411,396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5,952,808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gridSpan w:val="2"/>
          </w:tcPr>
          <w:p>
            <w:pPr>
              <w:spacing w:after="0" w:line="203" w:lineRule="exact"/>
              <w:rPr>
                <w:sz w:val="20"/>
                <w:szCs w:val="20"/>
                <w:color w:val="auto"/>
              </w:rPr>
            </w:pPr>
            <w:r>
              <w:rPr>
                <w:rFonts w:ascii="Arial" w:cs="Arial" w:eastAsia="Arial" w:hAnsi="Arial"/>
                <w:sz w:val="18"/>
                <w:szCs w:val="18"/>
                <w:color w:val="auto"/>
              </w:rPr>
              <w:t>EXPENSES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902,389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559,301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340"/>
              <w:spacing w:after="0"/>
              <w:rPr>
                <w:sz w:val="20"/>
                <w:szCs w:val="20"/>
                <w:color w:val="auto"/>
              </w:rPr>
            </w:pPr>
            <w:r>
              <w:rPr>
                <w:rFonts w:ascii="Arial" w:cs="Arial" w:eastAsia="Arial" w:hAnsi="Arial"/>
                <w:sz w:val="18"/>
                <w:szCs w:val="18"/>
                <w:color w:val="auto"/>
              </w:rPr>
              <w:t>Lawsuit settlement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6,855,834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5,076,993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5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8,082,774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5,921,578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(2,129,966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(1,581,512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gridSpan w:val="2"/>
          </w:tcPr>
          <w:p>
            <w:pPr>
              <w:spacing w:after="0" w:line="203" w:lineRule="exact"/>
              <w:rPr>
                <w:sz w:val="20"/>
                <w:szCs w:val="20"/>
                <w:color w:val="auto"/>
              </w:rPr>
            </w:pPr>
            <w:r>
              <w:rPr>
                <w:rFonts w:ascii="Arial" w:cs="Arial" w:eastAsia="Arial" w:hAnsi="Arial"/>
                <w:sz w:val="18"/>
                <w:szCs w:val="18"/>
                <w:color w:val="auto"/>
              </w:rPr>
              <w:t>OTHER INCOME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TOTAL OTHER INCOME</w:t>
            </w:r>
          </w:p>
        </w:tc>
        <w:tc>
          <w:tcPr>
            <w:tcW w:w="5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25,937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gridSpan w:val="2"/>
            <w:vMerge w:val="continue"/>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(2,104,029</w:t>
            </w:r>
          </w:p>
        </w:tc>
        <w:tc>
          <w:tcPr>
            <w:tcW w:w="14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(1,539,203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BASIC &amp; DILUTIVE</w:t>
            </w: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260" w:type="dxa"/>
            <w:vAlign w:val="bottom"/>
            <w:tcBorders>
              <w:bottom w:val="single" w:sz="8" w:color="CCEEFF"/>
            </w:tcBorders>
            <w:gridSpan w:val="2"/>
            <w:vMerge w:val="continue"/>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9,819,753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9,902,639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NET LOSS PER SHARE: BASIC &amp; DILUTIVE</w:t>
            </w: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20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10"/>
          </w:tcPr>
          <w:p>
            <w:pPr>
              <w:jc w:val="center"/>
              <w:ind w:left="310"/>
              <w:spacing w:after="0"/>
              <w:rPr>
                <w:sz w:val="20"/>
                <w:szCs w:val="20"/>
                <w:color w:val="auto"/>
              </w:rPr>
            </w:pPr>
            <w:r>
              <w:rPr>
                <w:rFonts w:ascii="Arial" w:cs="Arial" w:eastAsia="Arial" w:hAnsi="Arial"/>
                <w:sz w:val="18"/>
                <w:szCs w:val="18"/>
                <w:b w:val="1"/>
                <w:bCs w:val="1"/>
                <w:color w:val="auto"/>
              </w:rPr>
              <w:t>OPTIMIZERx CORPORATION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00" w:type="dxa"/>
            <w:vAlign w:val="bottom"/>
            <w:gridSpan w:val="18"/>
          </w:tcPr>
          <w:p>
            <w:pPr>
              <w:jc w:val="center"/>
              <w:ind w:left="270"/>
              <w:spacing w:after="0"/>
              <w:rPr>
                <w:sz w:val="20"/>
                <w:szCs w:val="20"/>
                <w:color w:val="auto"/>
              </w:rPr>
            </w:pPr>
            <w:r>
              <w:rPr>
                <w:rFonts w:ascii="Arial" w:cs="Arial" w:eastAsia="Arial" w:hAnsi="Arial"/>
                <w:sz w:val="18"/>
                <w:szCs w:val="18"/>
                <w:b w:val="1"/>
                <w:bCs w:val="1"/>
                <w:color w:val="auto"/>
                <w:w w:val="90"/>
              </w:rPr>
              <w:t>Consolidated Statement of Stockholders’ Equity for the Year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0"/>
              </w:rPr>
              <w:t>Ended December 31, 2016</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Preferred</w:t>
            </w:r>
          </w:p>
        </w:tc>
        <w:tc>
          <w:tcPr>
            <w:tcW w:w="880" w:type="dxa"/>
            <w:vAlign w:val="bottom"/>
            <w:gridSpan w:val="3"/>
          </w:tcPr>
          <w:p>
            <w:pPr>
              <w:ind w:left="40"/>
              <w:spacing w:after="0"/>
              <w:rPr>
                <w:sz w:val="20"/>
                <w:szCs w:val="20"/>
                <w:color w:val="auto"/>
              </w:rPr>
            </w:pPr>
            <w:r>
              <w:rPr>
                <w:rFonts w:ascii="Arial" w:cs="Arial" w:eastAsia="Arial" w:hAnsi="Arial"/>
                <w:sz w:val="18"/>
                <w:szCs w:val="18"/>
                <w:color w:val="auto"/>
              </w:rPr>
              <w:t>Preferred</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24"/>
                <w:szCs w:val="2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Common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Deferred</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Paid-in</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Accumulated</w:t>
            </w:r>
          </w:p>
        </w:tc>
        <w:tc>
          <w:tcPr>
            <w:tcW w:w="110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4"/>
              </w:rPr>
              <w:t>Shares</w:t>
            </w:r>
          </w:p>
        </w:tc>
        <w:tc>
          <w:tcPr>
            <w:tcW w:w="680" w:type="dxa"/>
            <w:vAlign w:val="bottom"/>
          </w:tcPr>
          <w:p>
            <w:pPr>
              <w:jc w:val="right"/>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Warrants</w:t>
            </w:r>
          </w:p>
        </w:tc>
        <w:tc>
          <w:tcPr>
            <w:tcW w:w="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Payable</w:t>
            </w:r>
          </w:p>
        </w:tc>
        <w:tc>
          <w:tcPr>
            <w:tcW w:w="4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w w:val="98"/>
              </w:rPr>
              <w:t>Compensation</w:t>
            </w:r>
          </w:p>
        </w:tc>
        <w:tc>
          <w:tcPr>
            <w:tcW w:w="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1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9,676,974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2,329,508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$ 32,204,853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1,132,148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(26,719,890)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8,942,496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w w:val="98"/>
              </w:rPr>
              <w:t>stock options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w w:val="97"/>
              </w:rPr>
              <w:t>to employees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384,126</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384,126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51,359</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128,063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449,372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for options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 litigation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33,333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109,967</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Issue shares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for stock</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payable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16,667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94,483</w:t>
            </w:r>
          </w:p>
        </w:tc>
        <w:tc>
          <w:tcPr>
            <w:tcW w:w="1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(94,500)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Shares payable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redeemed for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437,733</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(1,037,648)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Expiration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(35,092)</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35,092</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13,800</w:t>
            </w:r>
          </w:p>
        </w:tc>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w w:val="92"/>
              </w:rPr>
              <w:t>Net loss for the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(1,539,203)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(1,539,203)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6"/>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9,906,289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2,294,416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$ 33,766,950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5"/>
            <w:shd w:val="clear" w:color="auto" w:fill="CCEEFF"/>
          </w:tcPr>
          <w:p>
            <w:pPr>
              <w:jc w:val="right"/>
              <w:ind w:right="60"/>
              <w:spacing w:after="0" w:line="271" w:lineRule="exact"/>
              <w:rPr>
                <w:sz w:val="20"/>
                <w:szCs w:val="20"/>
                <w:color w:val="auto"/>
              </w:rPr>
            </w:pPr>
            <w:r>
              <w:rPr>
                <w:rFonts w:ascii="Arial" w:cs="Arial" w:eastAsia="Arial" w:hAnsi="Arial"/>
                <w:sz w:val="16"/>
                <w:szCs w:val="16"/>
                <w:color w:val="auto"/>
              </w:rPr>
              <w:t>$ (28,259,093</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7,812,179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80" w:type="dxa"/>
            <w:vAlign w:val="bottom"/>
            <w:gridSpan w:val="10"/>
          </w:tcPr>
          <w:p>
            <w:pPr>
              <w:jc w:val="center"/>
              <w:ind w:right="960"/>
              <w:spacing w:after="0"/>
              <w:rPr>
                <w:sz w:val="20"/>
                <w:szCs w:val="20"/>
                <w:color w:val="auto"/>
              </w:rPr>
            </w:pPr>
            <w:r>
              <w:rPr>
                <w:rFonts w:ascii="Arial" w:cs="Arial" w:eastAsia="Arial" w:hAnsi="Arial"/>
                <w:sz w:val="18"/>
                <w:szCs w:val="18"/>
                <w:b w:val="1"/>
                <w:bCs w:val="1"/>
                <w:color w:val="auto"/>
              </w:rPr>
              <w:t>OPTIMIZERx CORPORATION</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0" w:type="dxa"/>
            <w:vAlign w:val="bottom"/>
            <w:gridSpan w:val="15"/>
          </w:tcPr>
          <w:p>
            <w:pPr>
              <w:jc w:val="center"/>
              <w:ind w:right="1020"/>
              <w:spacing w:after="0"/>
              <w:rPr>
                <w:sz w:val="20"/>
                <w:szCs w:val="20"/>
                <w:color w:val="auto"/>
              </w:rPr>
            </w:pPr>
            <w:r>
              <w:rPr>
                <w:rFonts w:ascii="Arial" w:cs="Arial" w:eastAsia="Arial" w:hAnsi="Arial"/>
                <w:sz w:val="18"/>
                <w:szCs w:val="18"/>
                <w:b w:val="1"/>
                <w:bCs w:val="1"/>
                <w:color w:val="auto"/>
                <w:w w:val="90"/>
              </w:rPr>
              <w:t>Consolidated Statement of Stockholders’ Equity for the Year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Ended December 31, 2017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Preferred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w w:val="87"/>
              </w:rPr>
              <w:t>Preferred</w:t>
            </w:r>
          </w:p>
        </w:tc>
        <w:tc>
          <w:tcPr>
            <w:tcW w:w="22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Additional</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Paid-in</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Accumulated</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Warrants</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9,906,289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2,294,416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$33,766,950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(28,259,093)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3"/>
          </w:tcPr>
          <w:p>
            <w:pPr>
              <w:spacing w:after="0" w:line="201" w:lineRule="exact"/>
              <w:rPr>
                <w:sz w:val="20"/>
                <w:szCs w:val="20"/>
                <w:color w:val="auto"/>
              </w:rPr>
            </w:pPr>
            <w:r>
              <w:rPr>
                <w:rFonts w:ascii="Arial" w:cs="Arial" w:eastAsia="Arial" w:hAnsi="Arial"/>
                <w:sz w:val="18"/>
                <w:szCs w:val="18"/>
                <w:color w:val="auto"/>
              </w:rPr>
              <w:t>Issuance of stock options to</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employees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815,014</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tcPr>
          <w:p>
            <w:pPr>
              <w:ind w:left="160"/>
              <w:spacing w:after="0"/>
              <w:rPr>
                <w:sz w:val="20"/>
                <w:szCs w:val="20"/>
                <w:color w:val="auto"/>
              </w:rPr>
            </w:pPr>
            <w:r>
              <w:rPr>
                <w:rFonts w:ascii="Arial" w:cs="Arial" w:eastAsia="Arial" w:hAnsi="Arial"/>
                <w:sz w:val="18"/>
                <w:szCs w:val="18"/>
                <w:color w:val="auto"/>
              </w:rPr>
              <w:t>for services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87,350</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 options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redeemed for cash</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(389,834)</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Expiration of Warrants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(1,007,992)</w:t>
            </w:r>
          </w:p>
        </w:tc>
        <w:tc>
          <w:tcPr>
            <w:tcW w:w="920" w:type="dxa"/>
            <w:vAlign w:val="bottom"/>
          </w:tcPr>
          <w:p>
            <w:pPr>
              <w:jc w:val="right"/>
              <w:spacing w:after="0"/>
              <w:rPr>
                <w:sz w:val="20"/>
                <w:szCs w:val="20"/>
                <w:color w:val="auto"/>
              </w:rPr>
            </w:pPr>
            <w:r>
              <w:rPr>
                <w:rFonts w:ascii="Arial" w:cs="Arial" w:eastAsia="Arial" w:hAnsi="Arial"/>
                <w:sz w:val="18"/>
                <w:szCs w:val="18"/>
                <w:color w:val="auto"/>
              </w:rPr>
              <w:t>1,007,992</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(2,104,029)</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(2,104,0290)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 December 31, 2017</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gridSpan w:val="2"/>
            <w:vMerge w:val="continue"/>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9,772,694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1,286,424</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35,287,464</w:t>
            </w:r>
          </w:p>
        </w:tc>
        <w:tc>
          <w:tcPr>
            <w:tcW w:w="980" w:type="dxa"/>
            <w:vAlign w:val="bottom"/>
          </w:tcPr>
          <w:p>
            <w:pPr>
              <w:jc w:val="right"/>
              <w:spacing w:after="0"/>
              <w:rPr>
                <w:sz w:val="20"/>
                <w:szCs w:val="20"/>
                <w:color w:val="auto"/>
              </w:rPr>
            </w:pPr>
            <w:r>
              <w:rPr>
                <w:rFonts w:ascii="Arial" w:cs="Arial" w:eastAsia="Arial" w:hAnsi="Arial"/>
                <w:sz w:val="18"/>
                <w:szCs w:val="18"/>
                <w:color w:val="auto"/>
                <w:w w:val="86"/>
              </w:rPr>
              <w:t>$ (30,363,122</w:t>
            </w: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6,220,539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rPr>
              <w:t>OPTIMIZERx CORPORATION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88"/>
              </w:rPr>
              <w:t>Consolidated Statements of Cash Flows for the Years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Ended December 31, 2017 and 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for the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(2,104,029)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(1,539,203)</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235,284</w:t>
            </w: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Loss on disposal of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65,738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 issued for services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384,126</w:t>
            </w: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87,375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175,175</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(305,465)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514,514</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related party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(727,460)</w:t>
            </w: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(174,608)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(205,977)</w:t>
            </w: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Revenue share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(1,317,923)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177,254</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89,655</w:t>
            </w: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665,679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281,285</w:t>
            </w:r>
          </w:p>
        </w:tc>
        <w:tc>
          <w:tcPr>
            <w:tcW w:w="0" w:type="dxa"/>
            <w:vAlign w:val="bottom"/>
          </w:tcPr>
          <w:p>
            <w:pPr>
              <w:spacing w:after="0"/>
              <w:rPr>
                <w:sz w:val="1"/>
                <w:szCs w:val="1"/>
                <w:color w:val="auto"/>
              </w:rPr>
            </w:pPr>
          </w:p>
        </w:tc>
      </w:tr>
      <w:tr>
        <w:trPr>
          <w:trHeight w:val="250"/>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120,579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159,579</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(1,479,831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(465,965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(178,434)</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Patent rights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(163,836)</w:t>
            </w:r>
          </w:p>
        </w:tc>
        <w:tc>
          <w:tcPr>
            <w:tcW w:w="0" w:type="dxa"/>
            <w:vAlign w:val="bottom"/>
          </w:tcPr>
          <w:p>
            <w:pPr>
              <w:spacing w:after="0"/>
              <w:rPr>
                <w:sz w:val="1"/>
                <w:szCs w:val="1"/>
                <w:color w:val="auto"/>
              </w:rPr>
            </w:pPr>
          </w:p>
        </w:tc>
      </w:tr>
      <w:tr>
        <w:trPr>
          <w:trHeight w:val="236"/>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449,500</w:t>
            </w:r>
          </w:p>
        </w:tc>
        <w:tc>
          <w:tcPr>
            <w:tcW w:w="0" w:type="dxa"/>
            <w:vAlign w:val="bottom"/>
          </w:tcPr>
          <w:p>
            <w:pPr>
              <w:spacing w:after="0"/>
              <w:rPr>
                <w:sz w:val="1"/>
                <w:szCs w:val="1"/>
                <w:color w:val="auto"/>
              </w:rPr>
            </w:pP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Redemption of common stock</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(806,915)</w:t>
            </w:r>
          </w:p>
        </w:tc>
        <w:tc>
          <w:tcPr>
            <w:tcW w:w="0" w:type="dxa"/>
            <w:vAlign w:val="bottom"/>
          </w:tcPr>
          <w:p>
            <w:pPr>
              <w:spacing w:after="0"/>
              <w:rPr>
                <w:sz w:val="1"/>
                <w:szCs w:val="1"/>
                <w:color w:val="auto"/>
              </w:rPr>
            </w:pPr>
          </w:p>
        </w:tc>
      </w:tr>
      <w:tr>
        <w:trPr>
          <w:trHeight w:val="236"/>
        </w:trPr>
        <w:tc>
          <w:tcPr>
            <w:tcW w:w="8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 CASH AND CASH EQUIVALENTS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(1,912,074)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(1,172,918)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7,034,647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8,207,565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80" w:type="dxa"/>
            <w:vAlign w:val="bottom"/>
            <w:gridSpan w:val="2"/>
            <w:vMerge w:val="continue"/>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5,122,573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7,034,647</w:t>
            </w:r>
          </w:p>
        </w:tc>
        <w:tc>
          <w:tcPr>
            <w:tcW w:w="0" w:type="dxa"/>
            <w:vAlign w:val="bottom"/>
          </w:tcPr>
          <w:p>
            <w:pPr>
              <w:spacing w:after="0"/>
              <w:rPr>
                <w:sz w:val="1"/>
                <w:szCs w:val="1"/>
                <w:color w:val="auto"/>
              </w:rPr>
            </w:pPr>
          </w:p>
        </w:tc>
      </w:tr>
      <w:tr>
        <w:trPr>
          <w:trHeight w:val="216"/>
        </w:trPr>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gridSpan w:val="2"/>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Corporation is a leading provider of digital health messaging via electronic health records (EHRs), providing a direct channel for pharmaceutical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and provides more than half a million healthcare providers access to these benefits within their workflow at the point of care.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2017 and 2016. The allowance for doubtful accounts was $0 as of both December 31, 2017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assets are stated at cost and are being amortized over their estimated useful lives of seventeen years for patents and three to four years for software and websites using the straight-line method.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content delivery activities in which the Company delivers financial or brand messaging through a distribution network of ePrescribers and Electronic Health Record technology providers (channel partners), or from reselling services that complement the business for other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setup fees that are required for integrating client offerings and campaigns into the rule-based content delivery system and network upon completion of the setup when the client’s campaign is ready to launch within the system. 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 based revenue split that the Company receives. In instances where the Company resells services and have all financial risk and significant operation input and risk, the Company records the revenue gross.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volume of transactions that are delivered through the channel partner network, the Company provides a revenue share to compensate the partner for their promotion of the campaign. Revenue shares are a negotiated percentage of the transaction fees and can also be specific to special considerations and campaigns. In addition, the Company pays revenue share to ConnectiveRx (formerly LDM/PDR) as a result of a 2014 legal settlement in an amount equal to the greater of 10% of financial messaging distribution revenues generated through the network, or $0.37 per financial message distributed through our network. The contractual amount due to the channel partners is recorded as an expense at the time the eCoupon is distributed.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1.47%-1.81%</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0.86%-1.15%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3.5-5 years</w:t>
            </w:r>
          </w:p>
        </w:tc>
        <w:tc>
          <w:tcPr>
            <w:tcW w:w="1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65%-78%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OptimizeRx’s stock options have characteristics significantly different from those of traded options, and changes in the subjective input assumptions could materially affect the fair value estimate.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The number of common shares potentially issuable upon the exercise of certain options and warrants that were excluded from the diluted loss per common share calculation was approximately 163,067, because they are anti-dilutive, as a result of a net loss for the year ended December 31, 2017. As described in Notes 11 and 12, the Company had options and warrants outstanding as indicated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3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Warrants</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348,194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w:t>
            </w:r>
          </w:p>
        </w:tc>
        <w:tc>
          <w:tcPr>
            <w:tcW w:w="3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amends the existing accounting standards for revenue recognition. ASU 2014-09 is based on principles that govern the recognition of revenue at an amount an entity expects to be entitled when products are transferred to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Subsequently, the FASB has issued the following standards related to ASU 2014-09: ASU No. 2016-08, Revenue from Contracts with Customers (Topic 606):</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Principal versus Agent Considerations (“ASU 2016-08”); ASU No. 2016-10, Revenue from Contracts with Customers (Topic 606): Identifying Performance Obligations and Licensing (“ASU 2016-10”); ASU No. 2016-12, Revenue from Contracts with Customers (Topic 606): Narrow-Scope Improvements and Practical Expedients (“ASU 2016-12”); and ASU No. 2016-20, Technical Corrections and Improvements to Topic 606, Revenue from Contracts with Customers (“ASU 2016-20”). The Company must adopt ASU 2016-08, ASU 2016-10, ASU 2016-12 and ASU 2016-20 with ASU 2014-09 (collectively, the “new revenue standards”).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revenue standards may be applied retrospectively to each prior period presented or retrospectively with the cumulative effect recognized as of the date of adoption. The Company will adopt the new revenue standards in its first quarter of 2018. The new revenue standards are not expected to have a material impact on the amount and timing of revenue recognized in the Company’s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consisted of the following as of December 31, 2017 and 2016:</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EHR access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43,764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43,608</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7,212</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203,125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r>
      <w:tr>
        <w:trPr>
          <w:trHeight w:val="25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255,428</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80,820</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33"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2017 and 2016: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158,502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132,905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74,276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167,305</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173,649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6"/>
              </w:rPr>
              <w:t>Depreciation expense was $48,587 and $22,414 for the years ended December 31, 2017 and 2016, respectively.</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NOTE 5 – WEB-BASED TECHNOLOGY</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00" w:type="dxa"/>
            <w:vAlign w:val="bottom"/>
            <w:gridSpan w:val="5"/>
          </w:tcPr>
          <w:p>
            <w:pPr>
              <w:spacing w:after="0"/>
              <w:rPr>
                <w:sz w:val="20"/>
                <w:szCs w:val="20"/>
                <w:color w:val="auto"/>
              </w:rPr>
            </w:pPr>
            <w:r>
              <w:rPr>
                <w:rFonts w:ascii="Arial" w:cs="Arial" w:eastAsia="Arial" w:hAnsi="Arial"/>
                <w:sz w:val="18"/>
                <w:szCs w:val="18"/>
                <w:color w:val="auto"/>
                <w:w w:val="94"/>
              </w:rPr>
              <w:t>The Company has capitalized costs in developing its technology, which consisted of the following as of December 31, 2017 and 2016: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OptimizeRx consumer web-based technology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OptimizeRx EHR integrated technology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1,304,230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1,304,230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(1,314,632)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(1,106,559)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Web-based technology, net</w:t>
            </w: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143,730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351,804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periods of up to five years. The consumer web-based technology has no carrying value at either December 31, 2016 or 2017. Amortization expense for the technology costs was $208,074 and $152,502 for the years ended December 31, 2017 and 2016, respectively. Amortization expense related to these assets is expected to be $91,039 in 2018 and $52,691 in 2019 to completely amortize the December 31, 2017 carrying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26, 2010, the Company acquired the technical contributions and assignment of all exclusive rights to and for a key patent from the former CEO of the Company in exchange for 100,000 shares of common stock, valued at $570,000 and 66,667 stock options, valued at $360,000.</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2017 and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172,457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w:t>
            </w:r>
          </w:p>
        </w:tc>
        <w:tc>
          <w:tcPr>
            <w:tcW w:w="29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1,102,457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1,168,165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(463,691)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(395,801)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vMerge w:val="continue"/>
          </w:tcPr>
          <w:p>
            <w:pPr>
              <w:spacing w:after="0"/>
              <w:rPr>
                <w:sz w:val="20"/>
                <w:szCs w:val="20"/>
                <w:color w:val="auto"/>
              </w:rPr>
            </w:pPr>
          </w:p>
        </w:tc>
        <w:tc>
          <w:tcPr>
            <w:tcW w:w="31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638,766</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772,394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$67,890 and $67,758 for the years ended December 31, 2017 and 2016, respectively. We expect our amortization expense related to these patents to be $67,890 for each of the years from 2018 through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$507,160 and $386,581 as of December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2010, the Company acquired the technical contributions and assignment of all exclusive rights to and for a key patent in process at the time from a former CEO in exchange for 100,000 shares of common stock to be granted at the discretion of the seller and 66,667 stock options, valued at $360,000, which expired in April 2015. The shares were valued on the grant date at $570,000 and were recorded as a payable to the related party. In 2016, the obligation to issue those shares was redeemed for a payment of $363,000 in cash.</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2015, WPP, plc made a strategic investment in the Company and is a shareholder that owns approximately 20% of the shares of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260" w:type="dxa"/>
            <w:vAlign w:val="bottom"/>
          </w:tcPr>
          <w:p>
            <w:pPr>
              <w:jc w:val="center"/>
              <w:ind w:left="1510"/>
              <w:spacing w:after="0"/>
              <w:rPr>
                <w:sz w:val="20"/>
                <w:szCs w:val="20"/>
                <w:color w:val="auto"/>
              </w:rPr>
            </w:pPr>
            <w:r>
              <w:rPr>
                <w:rFonts w:ascii="Arial" w:cs="Arial" w:eastAsia="Arial" w:hAnsi="Arial"/>
                <w:sz w:val="18"/>
                <w:szCs w:val="18"/>
                <w:b w:val="1"/>
                <w:bCs w:val="1"/>
                <w:color w:val="auto"/>
              </w:rPr>
              <w:t>OPTIMIZERx CORPORATION</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60" w:type="dxa"/>
            <w:vAlign w:val="bottom"/>
          </w:tcPr>
          <w:p>
            <w:pPr>
              <w:jc w:val="center"/>
              <w:ind w:left="151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260" w:type="dxa"/>
            <w:vAlign w:val="bottom"/>
          </w:tcPr>
          <w:p>
            <w:pPr>
              <w:jc w:val="center"/>
              <w:ind w:left="1530"/>
              <w:spacing w:after="0"/>
              <w:rPr>
                <w:sz w:val="20"/>
                <w:szCs w:val="20"/>
                <w:color w:val="auto"/>
              </w:rPr>
            </w:pPr>
            <w:r>
              <w:rPr>
                <w:rFonts w:ascii="Arial" w:cs="Arial" w:eastAsia="Arial" w:hAnsi="Arial"/>
                <w:sz w:val="18"/>
                <w:szCs w:val="18"/>
                <w:b w:val="1"/>
                <w:bCs w:val="1"/>
                <w:color w:val="auto"/>
                <w:w w:val="96"/>
              </w:rPr>
              <w:t>DECEMBER 31, 2017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NOTE 8 – RELATED PARTY TRANSACTIONS (continued)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The following table sets forth the activity between the Company and WPP</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80" w:type="dxa"/>
            <w:vAlign w:val="bottom"/>
            <w:tcBorders>
              <w:bottom w:val="single" w:sz="8" w:color="CCEEFF"/>
            </w:tcBorders>
          </w:tcPr>
          <w:p>
            <w:pPr>
              <w:spacing w:after="0"/>
              <w:rPr>
                <w:sz w:val="24"/>
                <w:szCs w:val="24"/>
                <w:color w:val="auto"/>
              </w:rPr>
            </w:pPr>
          </w:p>
        </w:tc>
        <w:tc>
          <w:tcPr>
            <w:tcW w:w="7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Revenue recognized from WPP Agencies</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Rebates given to WPP Agencies</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Accounts payable to WPP Agencies</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Revenue share expenses owed to WPP Agencies</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PREFERRED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10,000,000 shares of preferred stock, $.001 par value per share, authorized as of December 31, 2017. Of those shares, 1,000 were designated as Series A and Series B. There were no shares outstanding at any time during the periods covered by these financial statements. The Series A and B designations were transaction specific in 2008 and 2010 and were redeemed in 2014. When outstanding, the shares had a liquidation preference and bore dividends at a rate of 10%, payable in cash or stock, but are no longer applicable. The Company intends to remove the designations in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500,000,000 shares of common stock, $.001 par value per share, authorized as of December 31, 2017. There were 9,772,694 and 9,906,289 shares of common stock issued and outstanding at December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2017, the Company purchased and cancelled 166,666 shares held by the previous CEO at a price of $2.34 per share for a total payment of $390,000.</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the Company issued 8,071 shares in connection with the exercise of employee stock options by former employees. The options were exercised on a net settled basis and no cash proceeds were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Director Compensation plan covering its independent non-employee Directors. A total of 25,000 and 16,667 shares were granted and issued in the years ended December 31, 2017 and 2016, respectively in connection with this compensation plan. These shares were valued at $87,375 and $51,375,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we issued 128,063 shares of common stock to an unrelated party in a private transaction, the proceeds of which were used to redeem shares of common stock payable to an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2016, the Company issued 33,333 shares of common stock, valued at $110,000, to Shadron Stastney in connection with the settlement of litigation.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34,585 shares of common stock in 2016 in connection with the cashless exercise of stock options granted in prior years that were about to expire in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2015, the Company agreed to grant 65,868 fully vested shares of its common stock to two executive officers as bonuses. These shares were not issued at the time, but were recorded as stock payable. The obligation to issue these shares was redeemed for cash in 2016 for a total payment of $232,602.</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the Company entered into a new capital markets advisory agreement covering a one-year period, which called for 30,000 shares of common stock to be issued as compensation. The first 15,000 shares were issued in September 2015 and valued at $41,400. These shares were amortized over a six-month period. The agreement was cancelled in 2016 and the remaining 15,000 shares were not issued.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2014, the Company agreed to grant 112,500 shares of common stock to two executive officers at the time as bonuses based on their efforts to recapitalize the Company. Stock-based compensation related to these bonuses of $570,375 was recorded during the year ended December 31, 2014. These shares were not issued at the time and were recorded as stock payable. The obligation to issue these shares was redeemed in 2016 for cash payments of $397,038. Also in 2014, as part of a capital raise, the Company agreed to grant 66,667 shares of common stock to three executive officers at the time. The shares were part of an equity raise and the issuance was recorded as part of equity issuance costs, so no expense was recorded. In 2016, a total of 50,000 of those shares were redeemed for a cash payment of $177,275 and the remaining 16,667 shares were issued to a former executive officer.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of the Company approved a one for three reverse stock split that became effective May 14, 2018. The effect of this reverse stock split has been retroactively reflected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in June 2013. A total of 500,000 shares were initially reserved for issuance under the Plan. The Plan was amended in 2016 to increase the authorized shares to 1,333,333 shares and again in 2018 to increase the authorized shares to 1,833,333. A total of 1,368,750 options were outstanding at December 31, 2016. In addition, a total of 245,035 restricted shares were granted in 2014 and 2015, but not issued at the time. A total 228,338 of these shares were redeemed for cash in 2016, and 16,667 of these shares were issued in 2016. As of December 31, 2017, the Company has no remaining restricted shares owed. The Company had no remaining shares available to grant under the Plan at December 31, 2017.</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Prior to establishment of the Plan, the Board granted options under terms similar to those described in the preceding paragraphs. A total of 8,333 options were outstanding at December 31, 2016 that were granted prior to the establishment of the 2013 Plan, but those options expired in 2017.</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2017 and 2016, was $815,014 and $384,126, respectively. No income tax benefit was recognized in the income statement and no compensation was capitalized in any of the years presented.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Aggregate</w:t>
            </w:r>
          </w:p>
        </w:tc>
      </w:tr>
      <w:tr>
        <w:trPr>
          <w:trHeight w:val="216"/>
        </w:trPr>
        <w:tc>
          <w:tcPr>
            <w:tcW w:w="60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intrinsic value</w:t>
            </w:r>
          </w:p>
        </w:tc>
      </w:tr>
      <w:tr>
        <w:trPr>
          <w:trHeight w:val="237"/>
        </w:trPr>
        <w:tc>
          <w:tcPr>
            <w:tcW w:w="60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- 2016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680,000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 - 2016</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(161,666)</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Expired – 2016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(16,667)</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 2017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480,417</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 – 2017</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(43,333)</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Expired – 2017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(108,334)</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1,368,750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2,173,700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Exercisable, December 31, 2017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630,417</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1,035,900</w:t>
            </w:r>
          </w:p>
        </w:tc>
        <w:tc>
          <w:tcPr>
            <w:tcW w:w="80" w:type="dxa"/>
            <w:vAlign w:val="bottom"/>
          </w:tcPr>
          <w:p>
            <w:pPr>
              <w:spacing w:after="0"/>
              <w:rPr>
                <w:sz w:val="20"/>
                <w:szCs w:val="20"/>
                <w:color w:val="auto"/>
              </w:rPr>
            </w:pPr>
          </w:p>
        </w:tc>
      </w:tr>
      <w:tr>
        <w:trPr>
          <w:trHeight w:val="21"/>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options outstanding at December 31, 2016, 406,667 were exercisable with a weighted average contractual life of 1.1 years and the remaining 633,333 were non-vested.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expiration date and exercise price of the options outstanding at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ind w:left="1200"/>
              <w:spacing w:after="0"/>
              <w:rPr>
                <w:sz w:val="20"/>
                <w:szCs w:val="20"/>
                <w:color w:val="auto"/>
              </w:rPr>
            </w:pPr>
            <w:r>
              <w:rPr>
                <w:rFonts w:ascii="Arial" w:cs="Arial" w:eastAsia="Arial" w:hAnsi="Arial"/>
                <w:sz w:val="18"/>
                <w:szCs w:val="18"/>
                <w:color w:val="auto"/>
              </w:rPr>
              <w:t>Number of Options</w:t>
            </w:r>
          </w:p>
        </w:tc>
        <w:tc>
          <w:tcPr>
            <w:tcW w:w="3880" w:type="dxa"/>
            <w:vAlign w:val="bottom"/>
            <w:gridSpan w:val="2"/>
          </w:tcPr>
          <w:p>
            <w:pPr>
              <w:ind w:left="1360"/>
              <w:spacing w:after="0"/>
              <w:rPr>
                <w:sz w:val="20"/>
                <w:szCs w:val="20"/>
                <w:color w:val="auto"/>
              </w:rPr>
            </w:pPr>
            <w:r>
              <w:rPr>
                <w:rFonts w:ascii="Arial" w:cs="Arial" w:eastAsia="Arial" w:hAnsi="Arial"/>
                <w:sz w:val="18"/>
                <w:szCs w:val="18"/>
                <w:color w:val="auto"/>
              </w:rPr>
              <w:t>Exercise Price</w:t>
            </w: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16"/>
        </w:trPr>
        <w:tc>
          <w:tcPr>
            <w:tcW w:w="37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200,000</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rPr>
              <w:t>03/31/22</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7"/>
              </w:rPr>
              <w:t>50,000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10/30/18</w:t>
            </w:r>
          </w:p>
        </w:tc>
      </w:tr>
      <w:tr>
        <w:trPr>
          <w:trHeight w:val="216"/>
        </w:trPr>
        <w:tc>
          <w:tcPr>
            <w:tcW w:w="3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378,333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03/03/19</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92"/>
              </w:rPr>
              <w:t>500,000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02/22/21</w:t>
            </w:r>
          </w:p>
        </w:tc>
      </w:tr>
      <w:tr>
        <w:trPr>
          <w:trHeight w:val="216"/>
        </w:trPr>
        <w:tc>
          <w:tcPr>
            <w:tcW w:w="3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166,667</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07/28/21</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8"/>
              </w:rPr>
              <w:t>6,667</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11/01/22</w:t>
            </w:r>
          </w:p>
        </w:tc>
      </w:tr>
      <w:tr>
        <w:trPr>
          <w:trHeight w:val="216"/>
        </w:trPr>
        <w:tc>
          <w:tcPr>
            <w:tcW w:w="3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33,333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03/03/19</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7"/>
              </w:rPr>
              <w:t>10,417</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12/31/22</w:t>
            </w:r>
          </w:p>
        </w:tc>
      </w:tr>
      <w:tr>
        <w:trPr>
          <w:trHeight w:val="216"/>
        </w:trPr>
        <w:tc>
          <w:tcPr>
            <w:tcW w:w="3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3,333</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01/29/19</w:t>
            </w:r>
          </w:p>
        </w:tc>
      </w:tr>
      <w:tr>
        <w:trPr>
          <w:trHeight w:val="655"/>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F-22</w:t>
            </w: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to purchase common stock, primarily in connection with capital raising activities. As discussed in Note 10, in connection with the strategic investment by WPP, in 2015 the Company issued warrants to purchase 80,148 shares of common stock with an exercise price of $2.3625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with an intrinsic value of $485,678, outstanding as of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gridSpan w:val="2"/>
          </w:tcPr>
          <w:p>
            <w:pPr>
              <w:ind w:left="520"/>
              <w:spacing w:after="0"/>
              <w:rPr>
                <w:sz w:val="20"/>
                <w:szCs w:val="20"/>
                <w:color w:val="auto"/>
              </w:rPr>
            </w:pPr>
            <w:r>
              <w:rPr>
                <w:rFonts w:ascii="Arial" w:cs="Arial" w:eastAsia="Arial" w:hAnsi="Arial"/>
                <w:sz w:val="18"/>
                <w:szCs w:val="18"/>
                <w:color w:val="auto"/>
              </w:rPr>
              <w:t>Number of Shares Underlying Warrants</w:t>
            </w:r>
          </w:p>
        </w:tc>
        <w:tc>
          <w:tcPr>
            <w:tcW w:w="3880" w:type="dxa"/>
            <w:vAlign w:val="bottom"/>
            <w:gridSpan w:val="2"/>
          </w:tcPr>
          <w:p>
            <w:pPr>
              <w:ind w:left="1360"/>
              <w:spacing w:after="0"/>
              <w:rPr>
                <w:sz w:val="20"/>
                <w:szCs w:val="20"/>
                <w:color w:val="auto"/>
              </w:rPr>
            </w:pPr>
            <w:r>
              <w:rPr>
                <w:rFonts w:ascii="Arial" w:cs="Arial" w:eastAsia="Arial" w:hAnsi="Arial"/>
                <w:sz w:val="18"/>
                <w:szCs w:val="18"/>
                <w:color w:val="auto"/>
              </w:rPr>
              <w:t>Exercise Price</w:t>
            </w:r>
          </w:p>
        </w:tc>
        <w:tc>
          <w:tcPr>
            <w:tcW w:w="3520" w:type="dxa"/>
            <w:vAlign w:val="bottom"/>
          </w:tcPr>
          <w:p>
            <w:pPr>
              <w:jc w:val="right"/>
              <w:ind w:right="1110"/>
              <w:spacing w:after="0"/>
              <w:rPr>
                <w:sz w:val="20"/>
                <w:szCs w:val="20"/>
                <w:color w:val="auto"/>
              </w:rPr>
            </w:pPr>
            <w:r>
              <w:rPr>
                <w:rFonts w:ascii="Arial" w:cs="Arial" w:eastAsia="Arial" w:hAnsi="Arial"/>
                <w:sz w:val="18"/>
                <w:szCs w:val="18"/>
                <w:color w:val="auto"/>
              </w:rPr>
              <w:t>Expiration Date</w:t>
            </w:r>
          </w:p>
        </w:tc>
      </w:tr>
      <w:tr>
        <w:trPr>
          <w:trHeight w:val="216"/>
        </w:trPr>
        <w:tc>
          <w:tcPr>
            <w:tcW w:w="3900" w:type="dxa"/>
            <w:vAlign w:val="bottom"/>
            <w:tcBorders>
              <w:top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rPr>
              <w:t>268,046</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03/17/2019</w:t>
            </w:r>
          </w:p>
        </w:tc>
      </w:tr>
      <w:tr>
        <w:trPr>
          <w:trHeight w:val="230"/>
        </w:trPr>
        <w:tc>
          <w:tcPr>
            <w:tcW w:w="3900" w:type="dxa"/>
            <w:vAlign w:val="bottom"/>
          </w:tcPr>
          <w:p>
            <w:pPr>
              <w:jc w:val="right"/>
              <w:ind w:right="1570"/>
              <w:spacing w:after="0"/>
              <w:rPr>
                <w:sz w:val="20"/>
                <w:szCs w:val="20"/>
                <w:color w:val="auto"/>
              </w:rPr>
            </w:pPr>
            <w:r>
              <w:rPr>
                <w:rFonts w:ascii="Arial" w:cs="Arial" w:eastAsia="Arial" w:hAnsi="Arial"/>
                <w:sz w:val="18"/>
                <w:szCs w:val="18"/>
                <w:color w:val="auto"/>
              </w:rPr>
              <w:t>80,148</w:t>
            </w:r>
          </w:p>
        </w:tc>
        <w:tc>
          <w:tcPr>
            <w:tcW w:w="120" w:type="dxa"/>
            <w:vAlign w:val="bottom"/>
          </w:tcPr>
          <w:p>
            <w:pPr>
              <w:spacing w:after="0"/>
              <w:rPr>
                <w:sz w:val="20"/>
                <w:szCs w:val="20"/>
                <w:color w:val="auto"/>
              </w:rPr>
            </w:pPr>
          </w:p>
        </w:tc>
        <w:tc>
          <w:tcPr>
            <w:tcW w:w="3760" w:type="dxa"/>
            <w:vAlign w:val="bottom"/>
          </w:tcPr>
          <w:p>
            <w:pPr>
              <w:jc w:val="right"/>
              <w:ind w:right="1450"/>
              <w:spacing w:after="0"/>
              <w:rPr>
                <w:sz w:val="20"/>
                <w:szCs w:val="20"/>
                <w:color w:val="auto"/>
              </w:rPr>
            </w:pPr>
            <w:r>
              <w:rPr>
                <w:rFonts w:ascii="Arial" w:cs="Arial" w:eastAsia="Arial" w:hAnsi="Arial"/>
                <w:sz w:val="18"/>
                <w:szCs w:val="18"/>
                <w:color w:val="auto"/>
              </w:rPr>
              <w:t>$2.3625</w:t>
            </w:r>
          </w:p>
        </w:tc>
        <w:tc>
          <w:tcPr>
            <w:tcW w:w="120" w:type="dxa"/>
            <w:vAlign w:val="bottom"/>
          </w:tcPr>
          <w:p>
            <w:pPr>
              <w:spacing w:after="0"/>
              <w:rPr>
                <w:sz w:val="20"/>
                <w:szCs w:val="20"/>
                <w:color w:val="auto"/>
              </w:rPr>
            </w:pPr>
          </w:p>
        </w:tc>
        <w:tc>
          <w:tcPr>
            <w:tcW w:w="3520" w:type="dxa"/>
            <w:vAlign w:val="bottom"/>
          </w:tcPr>
          <w:p>
            <w:pPr>
              <w:jc w:val="right"/>
              <w:ind w:right="1210"/>
              <w:spacing w:after="0"/>
              <w:rPr>
                <w:sz w:val="20"/>
                <w:szCs w:val="20"/>
                <w:color w:val="auto"/>
              </w:rPr>
            </w:pPr>
            <w:r>
              <w:rPr>
                <w:rFonts w:ascii="Arial" w:cs="Arial" w:eastAsia="Arial" w:hAnsi="Arial"/>
                <w:sz w:val="18"/>
                <w:szCs w:val="18"/>
                <w:color w:val="auto"/>
              </w:rPr>
              <w:t>09/24/2020</w:t>
            </w:r>
          </w:p>
        </w:tc>
      </w:tr>
    </w:tbl>
    <w:p>
      <w:pPr>
        <w:spacing w:after="0" w:line="187"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6"/>
          <w:szCs w:val="16"/>
          <w:color w:val="auto"/>
        </w:rPr>
        <w:t>The Company had the following warrant activity during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Outstanding,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December 31,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r>
      <w:tr>
        <w:trPr>
          <w:trHeight w:val="237"/>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exercise price</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698,194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4.95</w:t>
            </w:r>
          </w:p>
        </w:tc>
        <w:tc>
          <w:tcPr>
            <w:tcW w:w="20" w:type="dxa"/>
            <w:vAlign w:val="bottom"/>
          </w:tcPr>
          <w:p>
            <w:pPr>
              <w:spacing w:after="0"/>
              <w:rPr>
                <w:sz w:val="17"/>
                <w:szCs w:val="17"/>
                <w:color w:val="auto"/>
              </w:rPr>
            </w:pPr>
          </w:p>
        </w:tc>
      </w:tr>
      <w:tr>
        <w:trPr>
          <w:trHeight w:val="216"/>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(16,667)</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681,527</w:t>
            </w:r>
          </w:p>
        </w:tc>
        <w:tc>
          <w:tcPr>
            <w:tcW w:w="22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5.01</w:t>
            </w:r>
          </w:p>
        </w:tc>
      </w:tr>
      <w:tr>
        <w:trPr>
          <w:trHeight w:val="216"/>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(333,333)</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348,194</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33"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 13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one customer that individually accounted for approximately 12% of revenue in 2017 and a different customer that individually accounted for approximately 12% of revenue in 2016. No other customers accounted for more than 10% of revenue in either year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the Company had net operating loss carry forwards of approximately $12.2 million that expire from 2027 through 2037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260" w:type="dxa"/>
            <w:vAlign w:val="bottom"/>
          </w:tcPr>
          <w:p>
            <w:pPr>
              <w:jc w:val="center"/>
              <w:ind w:left="1510"/>
              <w:spacing w:after="0"/>
              <w:rPr>
                <w:sz w:val="20"/>
                <w:szCs w:val="20"/>
                <w:color w:val="auto"/>
              </w:rPr>
            </w:pPr>
            <w:r>
              <w:rPr>
                <w:rFonts w:ascii="Arial" w:cs="Arial" w:eastAsia="Arial" w:hAnsi="Arial"/>
                <w:sz w:val="18"/>
                <w:szCs w:val="18"/>
                <w:b w:val="1"/>
                <w:bCs w:val="1"/>
                <w:color w:val="auto"/>
              </w:rPr>
              <w:t>OPTIMIZERx CORPORATION</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60" w:type="dxa"/>
            <w:vAlign w:val="bottom"/>
          </w:tcPr>
          <w:p>
            <w:pPr>
              <w:jc w:val="center"/>
              <w:ind w:left="151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260" w:type="dxa"/>
            <w:vAlign w:val="bottom"/>
          </w:tcPr>
          <w:p>
            <w:pPr>
              <w:jc w:val="center"/>
              <w:ind w:left="1530"/>
              <w:spacing w:after="0"/>
              <w:rPr>
                <w:sz w:val="20"/>
                <w:szCs w:val="20"/>
                <w:color w:val="auto"/>
              </w:rPr>
            </w:pPr>
            <w:r>
              <w:rPr>
                <w:rFonts w:ascii="Arial" w:cs="Arial" w:eastAsia="Arial" w:hAnsi="Arial"/>
                <w:sz w:val="18"/>
                <w:szCs w:val="18"/>
                <w:b w:val="1"/>
                <w:bCs w:val="1"/>
                <w:color w:val="auto"/>
                <w:w w:val="96"/>
              </w:rPr>
              <w:t>DECEMBER 31, 2017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NOTE 14 – INCOME TAXES (continued)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w w:val="95"/>
              </w:rPr>
              <w:t>The provision for Federal income tax consists of the following for the years ended December 31, 2017 and 2016: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Federal income tax benefit attributable to:</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operations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715,000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6"/>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Permanent and timing differences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rate change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(656,000)</w:t>
            </w:r>
          </w:p>
        </w:tc>
        <w:tc>
          <w:tcPr>
            <w:tcW w:w="0" w:type="dxa"/>
            <w:vAlign w:val="bottom"/>
          </w:tcPr>
          <w:p>
            <w:pPr>
              <w:spacing w:after="0"/>
              <w:rPr>
                <w:sz w:val="1"/>
                <w:szCs w:val="1"/>
                <w:color w:val="auto"/>
              </w:rPr>
            </w:pPr>
          </w:p>
        </w:tc>
      </w:tr>
      <w:tr>
        <w:trPr>
          <w:trHeight w:val="27"/>
        </w:trPr>
        <w:tc>
          <w:tcPr>
            <w:tcW w:w="85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Net provision for federal income tax</w:t>
            </w: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gridSpan w:val="2"/>
            <w:vMerge w:val="continue"/>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as of December 31, 2016, and 21% as of December 31, 2017, of significant items comprising our net deferred tax amount is as follows as of December 31, 2017 and 2016:</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693"/>
        <w:spacing w:after="0"/>
        <w:rPr>
          <w:sz w:val="20"/>
          <w:szCs w:val="20"/>
          <w:color w:val="auto"/>
        </w:rPr>
      </w:pPr>
      <w:r>
        <w:rPr>
          <w:rFonts w:ascii="Arial" w:cs="Arial" w:eastAsia="Arial" w:hAnsi="Arial"/>
          <w:sz w:val="16"/>
          <w:szCs w:val="16"/>
          <w:color w:val="auto"/>
        </w:rPr>
        <w:t>Deferred tax asset attributable to:</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87"/>
        <w:spacing w:after="0"/>
        <w:tabs>
          <w:tab w:leader="none" w:pos="1726"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ind w:left="427" w:hanging="427"/>
        <w:spacing w:after="0"/>
        <w:tabs>
          <w:tab w:leader="none" w:pos="4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2,551,000   $</w:t>
      </w:r>
      <w:r>
        <w:rPr>
          <w:rFonts w:ascii="Arial" w:cs="Arial" w:eastAsia="Arial" w:hAnsi="Arial"/>
          <w:sz w:val="16"/>
          <w:szCs w:val="16"/>
          <w:color w:val="auto"/>
        </w:rPr>
        <w:t>3,648,000</w:t>
      </w:r>
    </w:p>
    <w:p>
      <w:pPr>
        <w:spacing w:after="0" w:line="23" w:lineRule="exact"/>
        <w:rPr>
          <w:rFonts w:ascii="Arial" w:cs="Arial" w:eastAsia="Arial" w:hAnsi="Arial"/>
          <w:sz w:val="18"/>
          <w:szCs w:val="18"/>
          <w:color w:val="auto"/>
        </w:rPr>
      </w:pPr>
    </w:p>
    <w:p>
      <w:pPr>
        <w:ind w:left="647"/>
        <w:spacing w:after="0"/>
        <w:rPr>
          <w:rFonts w:ascii="Arial" w:cs="Arial" w:eastAsia="Arial" w:hAnsi="Arial"/>
          <w:sz w:val="18"/>
          <w:szCs w:val="18"/>
          <w:color w:val="auto"/>
        </w:rPr>
      </w:pPr>
      <w:r>
        <w:rPr>
          <w:rFonts w:ascii="Arial" w:cs="Arial" w:eastAsia="Arial" w:hAnsi="Arial"/>
          <w:sz w:val="18"/>
          <w:szCs w:val="18"/>
          <w:color w:val="auto"/>
        </w:rPr>
        <w:t>98,000</w:t>
      </w:r>
      <w:r>
        <w:rPr>
          <w:rFonts w:ascii="Arial" w:cs="Arial" w:eastAsia="Arial" w:hAnsi="Arial"/>
          <w:sz w:val="16"/>
          <w:szCs w:val="16"/>
          <w:color w:val="auto"/>
        </w:rPr>
        <w:t>126,000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-267970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67"/>
        <w:spacing w:after="0"/>
        <w:tabs>
          <w:tab w:leader="none" w:pos="1886" w:val="left"/>
        </w:tabs>
        <w:rPr>
          <w:sz w:val="20"/>
          <w:szCs w:val="20"/>
          <w:color w:val="auto"/>
        </w:rPr>
      </w:pPr>
      <w:r>
        <w:rPr>
          <w:rFonts w:ascii="Arial" w:cs="Arial" w:eastAsia="Arial" w:hAnsi="Arial"/>
          <w:sz w:val="18"/>
          <w:szCs w:val="18"/>
          <w:color w:val="auto"/>
        </w:rPr>
        <w:t>372,000</w:t>
      </w:r>
      <w:r>
        <w:rPr>
          <w:sz w:val="20"/>
          <w:szCs w:val="20"/>
          <w:color w:val="auto"/>
        </w:rPr>
        <w:tab/>
      </w:r>
      <w:r>
        <w:rPr>
          <w:rFonts w:ascii="Arial" w:cs="Arial" w:eastAsia="Arial" w:hAnsi="Arial"/>
          <w:sz w:val="18"/>
          <w:szCs w:val="18"/>
          <w:color w:val="auto"/>
        </w:rPr>
        <w:t>339,000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-130810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07" w:hanging="919"/>
        <w:spacing w:after="0"/>
        <w:tabs>
          <w:tab w:leader="none" w:pos="20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73,000</w:t>
      </w:r>
    </w:p>
    <w:p>
      <w:pPr>
        <w:spacing w:after="0" w:line="9"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(3,021,000)</w:t>
      </w:r>
      <w:r>
        <w:rPr>
          <w:rFonts w:ascii="Arial" w:cs="Arial" w:eastAsia="Arial" w:hAnsi="Arial"/>
          <w:sz w:val="16"/>
          <w:szCs w:val="16"/>
          <w:color w:val="auto"/>
        </w:rPr>
        <w:t>(4,186,000)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-130810</wp:posOffset>
            </wp:positionV>
            <wp:extent cx="72466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2" w:lineRule="exact"/>
        <w:rPr>
          <w:sz w:val="20"/>
          <w:szCs w:val="20"/>
          <w:color w:val="auto"/>
        </w:rPr>
      </w:pPr>
    </w:p>
    <w:p>
      <w:pPr>
        <w:ind w:left="7"/>
        <w:spacing w:after="0"/>
        <w:tabs>
          <w:tab w:leader="none" w:pos="1066" w:val="left"/>
          <w:tab w:leader="none" w:pos="1346" w:val="left"/>
          <w:tab w:leader="none" w:pos="24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93" w:space="720"/>
            <w:col w:w="2607"/>
          </w:cols>
          <w:pgMar w:left="240" w:top="216" w:right="239" w:bottom="1440" w:gutter="0" w:footer="0" w:header="0"/>
          <w:type w:val="continuous"/>
        </w:sectPr>
      </w:pP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initially signed the lease for its current office space located in Rochester Michigan on December 1, 2011. That lease expired November 30, 2016 and the Company signed a new lease for the same space. The current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least termination payment of $7,300 will be due at the end of the initial 3-year term.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month to month leases on shared office spaces in Cambridge Massachusetts and Nashville, Tennessee, payable at rates of $2,700 per month and $1,370 per month,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Minimum annual rent payments are as follows for the remaining term of the leases:</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00" w:type="dxa"/>
            <w:vAlign w:val="bottom"/>
          </w:tcPr>
          <w:p>
            <w:pPr>
              <w:spacing w:after="0"/>
              <w:rPr>
                <w:sz w:val="20"/>
                <w:szCs w:val="20"/>
                <w:color w:val="auto"/>
              </w:rPr>
            </w:pPr>
            <w:r>
              <w:rPr>
                <w:rFonts w:ascii="Arial" w:cs="Arial" w:eastAsia="Arial" w:hAnsi="Arial"/>
                <w:sz w:val="18"/>
                <w:szCs w:val="18"/>
                <w:color w:val="auto"/>
              </w:rPr>
              <w:t>Year ended December 31:</w:t>
            </w: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00" w:type="dxa"/>
            <w:vAlign w:val="bottom"/>
            <w:shd w:val="clear" w:color="auto" w:fill="CCEEFF"/>
          </w:tcPr>
          <w:p>
            <w:pPr>
              <w:jc w:val="right"/>
              <w:ind w:right="7470"/>
              <w:spacing w:after="0"/>
              <w:rPr>
                <w:sz w:val="20"/>
                <w:szCs w:val="20"/>
                <w:color w:val="auto"/>
              </w:rPr>
            </w:pPr>
            <w:r>
              <w:rPr>
                <w:rFonts w:ascii="Arial" w:cs="Arial" w:eastAsia="Arial" w:hAnsi="Arial"/>
                <w:sz w:val="18"/>
                <w:szCs w:val="18"/>
                <w:color w:val="auto"/>
              </w:rPr>
              <w:t>2018</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75,772</w:t>
            </w:r>
          </w:p>
        </w:tc>
      </w:tr>
      <w:tr>
        <w:trPr>
          <w:trHeight w:val="223"/>
        </w:trPr>
        <w:tc>
          <w:tcPr>
            <w:tcW w:w="8100" w:type="dxa"/>
            <w:vAlign w:val="bottom"/>
          </w:tcPr>
          <w:p>
            <w:pPr>
              <w:jc w:val="right"/>
              <w:ind w:right="7470"/>
              <w:spacing w:after="0"/>
              <w:rPr>
                <w:sz w:val="20"/>
                <w:szCs w:val="20"/>
                <w:color w:val="auto"/>
              </w:rPr>
            </w:pPr>
            <w:r>
              <w:rPr>
                <w:rFonts w:ascii="Arial" w:cs="Arial" w:eastAsia="Arial" w:hAnsi="Arial"/>
                <w:sz w:val="18"/>
                <w:szCs w:val="18"/>
                <w:color w:val="auto"/>
              </w:rPr>
              <w:t>2019</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70,224</w:t>
            </w:r>
          </w:p>
        </w:tc>
      </w:tr>
      <w:tr>
        <w:trPr>
          <w:trHeight w:val="248"/>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commitment</w:t>
            </w:r>
          </w:p>
        </w:tc>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originally was due when the e-Coupon functionality was launched on a widespread basis in the Touchworks platform, which occurred February 28, 2017. A payment of $325,000 was made at the time and the remaining amount due was extended until October,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Hosting agreement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an agreement with a third party to host and administer its software through March 31, 2018 at a rate of $24,230 per month for a total of $72,690 for the three-month period. That agreement was terminated in December 2017 with an effective date of March 31, 2018 in conjunction with moving to a more cost-effective solution and in connection with that termination, the Company will make additional payments of $220,440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16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$137,858 and $64,690 recorded in 2017 and 2016, respectively, for company contributions to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the Company’s Board of Directors amended the 2013 Equity Compensation Plan to increase the number of shares authorized under the plan to 1,833,333. At the same time, the Company granted 130,000 shares of restricted common stock to officers and options to purchase 106,667 shares of common stock with an exercise price of $4.20 to non-officers, both of which vest only if the Company achieves certain stretch revenue goals in either 2019 or 2020. In addition, the Company accelerated vesting to 2018 on 100,000 existing options that previously vested in 2021.</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30, 2017, KLJ &amp; Associates LLP resigned as our independent registered accounting firm. We engaged Sadler, Gibb &amp; Associates, LLC as our independent registered accounting firm effective August 30, 2017. The decision to change accountants was approved by our board of directors. For more information on the change in accountants, please see our Form 8-K filed with the Securities and Exchange Commission on September 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lvl w:ilvl="1">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lvl w:ilvl="1">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2019-12-07T14:32:47Z</dcterms:created>
  <dcterms:modified xsi:type="dcterms:W3CDTF">2019-12-07T14:32:47Z</dcterms:modified>
</cp:coreProperties>
</file>