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David Atterbury</w:t>
      </w:r>
    </w:p>
    <w:p>
      <w:pPr>
        <w:spacing w:after="0" w:line="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0000FF"/>
        </w:rPr>
        <w:t>2001 Shawnee Mission Pkwy,</w:t>
      </w:r>
    </w:p>
    <w:p>
      <w:pPr>
        <w:ind w:left="3640"/>
        <w:spacing w:after="0" w:line="230" w:lineRule="auto"/>
        <w:rPr>
          <w:sz w:val="20"/>
          <w:szCs w:val="20"/>
          <w:color w:val="auto"/>
        </w:rPr>
      </w:pPr>
      <w:r>
        <w:rPr>
          <w:rFonts w:ascii="Times New Roman" w:cs="Times New Roman" w:eastAsia="Times New Roman" w:hAnsi="Times New Roman"/>
          <w:sz w:val="22"/>
          <w:szCs w:val="22"/>
          <w:b w:val="1"/>
          <w:bCs w:val="1"/>
          <w:color w:val="0000FF"/>
        </w:rPr>
        <w:t>Mission Woods, 1P, 66205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(913) 951-2700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KANSAS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1,508,303.00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1,508,303.00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1,508,303.00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1,508,303.00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OptimizeRx Corporation</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260 Charles Street, Suite 302, Waltham, MASSACHUSETTS , 02453.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Whetstone Capital Advisors, LLC ("WCA") Mr. David Atterbury</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2001 Shawnee Mission Pkwy Mission Woods, KS 66205</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WCA is a Kansas limited liability company and Mr. David Atterbury is the manager of WCA. WCA serves as the</w:t>
      </w:r>
    </w:p>
    <w:p>
      <w:pPr>
        <w:spacing w:after="0" w:line="14" w:lineRule="exact"/>
        <w:rPr>
          <w:rFonts w:ascii="Times New Roman" w:cs="Times New Roman" w:eastAsia="Times New Roman" w:hAnsi="Times New Roman"/>
          <w:sz w:val="22"/>
          <w:szCs w:val="22"/>
          <w:color w:val="auto"/>
        </w:rPr>
      </w:pPr>
    </w:p>
    <w:p>
      <w:pPr>
        <w:ind w:left="940" w:right="4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investment advisor to certain private investment funds (the "Funds"), which hold Common Stock of the Issuer, and may direct the vote and disposition of the Common Stock held by the Funds. As the manager of WCA, Mr. Atterbury may direct the vote and disposition of the Common Stock held by the Funds.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neither the Reporting Persons (or a controlling entity thereof) nor any executive officer or</w:t>
      </w:r>
    </w:p>
    <w:p>
      <w:pPr>
        <w:spacing w:after="0" w:line="25" w:lineRule="exact"/>
        <w:rPr>
          <w:rFonts w:ascii="Times New Roman" w:cs="Times New Roman" w:eastAsia="Times New Roman" w:hAnsi="Times New Roman"/>
          <w:sz w:val="42"/>
          <w:szCs w:val="42"/>
          <w:color w:val="auto"/>
          <w:vertAlign w:val="subscript"/>
        </w:rPr>
      </w:pPr>
    </w:p>
    <w:p>
      <w:pPr>
        <w:ind w:left="940" w:right="12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neither the Reporting Persons (or a controlling entity thereof) nor any executive officer or</w:t>
      </w:r>
    </w:p>
    <w:p>
      <w:pPr>
        <w:spacing w:after="0" w:line="25" w:lineRule="exact"/>
        <w:rPr>
          <w:rFonts w:ascii="Times New Roman" w:cs="Times New Roman" w:eastAsia="Times New Roman" w:hAnsi="Times New Roman"/>
          <w:sz w:val="22"/>
          <w:szCs w:val="22"/>
          <w:color w:val="auto"/>
        </w:rPr>
      </w:pPr>
    </w:p>
    <w:p>
      <w:pPr>
        <w:ind w:left="940" w:right="32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a party to a civil proceeding of a judicial or administrative body of competent jurisdiction.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60"/>
        <w:spacing w:after="0" w:line="259" w:lineRule="auto"/>
        <w:rPr>
          <w:sz w:val="20"/>
          <w:szCs w:val="20"/>
          <w:color w:val="auto"/>
        </w:rPr>
      </w:pPr>
      <w:r>
        <w:rPr>
          <w:rFonts w:ascii="Times New Roman" w:cs="Times New Roman" w:eastAsia="Times New Roman" w:hAnsi="Times New Roman"/>
          <w:sz w:val="21"/>
          <w:szCs w:val="21"/>
          <w:color w:val="auto"/>
        </w:rPr>
        <w:t>The Common Stock reported herein as being beneficially owned by the Reporting Persons was purchased using working capital of the Funds. An aggregate of approximately $7,557,310 (excluding brokerage commissions) was used to purchase the Common Stock reported as beneficially owned by the Reporting Persons in this Schedule 13D.</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8" w:lineRule="auto"/>
        <w:rPr>
          <w:sz w:val="20"/>
          <w:szCs w:val="20"/>
          <w:color w:val="auto"/>
        </w:rPr>
      </w:pPr>
      <w:r>
        <w:rPr>
          <w:rFonts w:ascii="Times New Roman" w:cs="Times New Roman" w:eastAsia="Times New Roman" w:hAnsi="Times New Roman"/>
          <w:sz w:val="21"/>
          <w:szCs w:val="21"/>
          <w:color w:val="auto"/>
        </w:rPr>
        <w:t>The Reporting Persons originally acquired the Common Stock reported herein for investment purposes because they believed such shares represented an attractive investment opportunity. The Reporting Persons have had and anticipate having further communications with officers and directors of the Issuer in connection with the Reporting Persons investment in the Issuer. Specifically, the Reporting Persons sent the letter attached hereto as Exhibit 99.2 to the Issuer's Board of Directors (the "Board") on February 3, 2025 urging the Board to consider strategic alternatives to seek to maximize the Issuer's value, including, but not limited to through a sale of the Issuer in its entirety. The Reporting Persons may also have similar conversations with other stockholders or other third parties, such as industry</w:t>
      </w:r>
    </w:p>
    <w:p>
      <w:pPr>
        <w:sectPr>
          <w:pgSz w:w="11900" w:h="16936" w:orient="portrait"/>
          <w:cols w:equalWidth="0" w:num="1">
            <w:col w:w="11120"/>
          </w:cols>
          <w:pgMar w:left="360" w:top="102" w:right="419" w:bottom="0" w:gutter="0" w:footer="0" w:header="0"/>
        </w:sectPr>
      </w:pPr>
    </w:p>
    <w:bookmarkStart w:id="3" w:name="page4"/>
    <w:bookmarkEnd w:id="3"/>
    <w:p>
      <w:pPr>
        <w:ind w:left="940" w:right="80"/>
        <w:spacing w:after="0" w:line="244" w:lineRule="auto"/>
        <w:rPr>
          <w:sz w:val="20"/>
          <w:szCs w:val="20"/>
          <w:color w:val="auto"/>
        </w:rPr>
      </w:pPr>
      <w:r>
        <w:rPr>
          <w:rFonts w:ascii="Times New Roman" w:cs="Times New Roman" w:eastAsia="Times New Roman" w:hAnsi="Times New Roman"/>
          <w:sz w:val="21"/>
          <w:szCs w:val="21"/>
          <w:color w:val="auto"/>
        </w:rPr>
        <w:t>analysts, existing or potential strategic partners or competitors, investment professionals and other investors and may exchange information with any such persons or the Issuer pursuant to appropriate confidentiality or similar agreements (which may contain customary standstill provisions). The Reporting Persons may at any time reconsider and change their intentions relating to the foregoing. The Reporting Persons may also take one or more of the actions described in subsections (a) through (j) of Item 4 of Schedule 13D and may discuss or propose such actions with the Issuer's management and the Board, other stockholders of the Issuer and other third parties, such as those set out above. The Reporting Persons may also take steps to explore and prepare for various plans and actions, and propose transactions, before forming an intention to engage in such plans or actions or proceed with such transactions. The Reporting Persons intend to review their investments in the Issuer on a continuing basis. Depending on various factors, including, without limitation, the Issuer's financial position and strategic direction, the outcome of the discussions and matters referenced above, actions taken by the Issuer's management or Board, price levels of the Common Stock, liquidity requirements and other investment opportunities available to the Reporting Persons, conditions in the securities market and general economic and industry conditions, the Reporting Persons may in the future take actions with respect to their investment position in the Issuer as they deem appropriate, including, without limitation, purchasing additional shares of Common Stock or other instruments that are based upon or relate to the value of the Common Stock or the Issuer in the open market or otherwise, selling some or all of the securities reported herein, and/or engaging in hedging or similar transactions with respect to the shares of Common Stock.</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 and percentage of the Common Stock beneficially owned by each of the Reporting Persons. The percentages reported</w:t>
      </w:r>
    </w:p>
    <w:p>
      <w:pPr>
        <w:spacing w:after="0" w:line="1" w:lineRule="exact"/>
        <w:rPr>
          <w:sz w:val="20"/>
          <w:szCs w:val="20"/>
          <w:color w:val="auto"/>
        </w:rPr>
      </w:pPr>
    </w:p>
    <w:p>
      <w:pPr>
        <w:ind w:left="940" w:right="140" w:hanging="932"/>
        <w:spacing w:after="0" w:line="235"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this Schedule 13D were calculated based upon the 18,420,906 shares of Common Stock issued and outstanding as of November 8, 2024, as reported in the Issuer's Quarterly Report on Form 10-Q filed with the Securities and Exchange Commission (the "SEC") on November 14, 2024.</w:t>
      </w:r>
    </w:p>
    <w:p>
      <w:pPr>
        <w:spacing w:after="0" w:line="15"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22"/>
          <w:szCs w:val="22"/>
          <w:color w:val="auto"/>
        </w:rPr>
      </w:pPr>
    </w:p>
    <w:p>
      <w:pPr>
        <w:ind w:left="940" w:right="5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40" w:right="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effected by the Reporting Persons in the Common Stock of the Issuer during the past sixty (60) days are set forth in Schedule A. All such transactions were effected in the open market.</w:t>
      </w:r>
    </w:p>
    <w:p>
      <w:pPr>
        <w:spacing w:after="0" w:line="17" w:lineRule="exact"/>
        <w:rPr>
          <w:rFonts w:ascii="Times New Roman" w:cs="Times New Roman" w:eastAsia="Times New Roman" w:hAnsi="Times New Roman"/>
          <w:sz w:val="39"/>
          <w:szCs w:val="39"/>
          <w:color w:val="auto"/>
          <w:vertAlign w:val="subscript"/>
        </w:rPr>
      </w:pPr>
    </w:p>
    <w:p>
      <w:pPr>
        <w:ind w:left="940" w:right="2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Funds and the Reporting Persons, no other person is known to have the right to receive, or the power to direct the receipt of, dividends from or proceeds from the sale, of the Common Stock.</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6" w:lineRule="auto"/>
        <w:rPr>
          <w:sz w:val="20"/>
          <w:szCs w:val="20"/>
          <w:color w:val="auto"/>
        </w:rPr>
      </w:pPr>
      <w:r>
        <w:rPr>
          <w:rFonts w:ascii="Times New Roman" w:cs="Times New Roman" w:eastAsia="Times New Roman" w:hAnsi="Times New Roman"/>
          <w:sz w:val="22"/>
          <w:szCs w:val="22"/>
          <w:color w:val="auto"/>
        </w:rPr>
        <w:t>There are no contracts, arrangements, understandings or relationships (legal or otherwise) among any Reporting Person or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2"/>
          <w:szCs w:val="22"/>
          <w:color w:val="auto"/>
        </w:rPr>
        <w:t>Exhibit 99.1 - Joint Filing Agreement, dated as of February 5, 2025, by and between Whetstone Capital Advisors, LLC and Mr. David Atterbury. Exhibit 99.2 - Letter to the Board of Directors of Optimize Rx Corporation, dated as of January 27, 2025, from Whetstone Capital Advisors, LLC and Mr. David Atterbury.</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David Atterbury Manager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Atterbury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02/04/2025</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2025-02-05T10:47:00Z</dcterms:created>
  <dcterms:modified xsi:type="dcterms:W3CDTF">2025-02-05T10:47:00Z</dcterms:modified>
</cp:coreProperties>
</file>