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429"/>
        </w:trPr>
        <w:tc>
          <w:tcPr>
            <w:tcW w:w="11240" w:type="dxa"/>
            <w:vAlign w:val="bottom"/>
            <w:gridSpan w:val="3"/>
          </w:tcPr>
          <w:p>
            <w:pPr>
              <w:ind w:left="4580"/>
              <w:spacing w:after="0"/>
              <w:rPr>
                <w:sz w:val="20"/>
                <w:szCs w:val="20"/>
                <w:color w:val="auto"/>
              </w:rPr>
            </w:pPr>
            <w:r>
              <w:rPr>
                <w:rFonts w:ascii="Times New Roman" w:cs="Times New Roman" w:eastAsia="Times New Roman" w:hAnsi="Times New Roman"/>
                <w:sz w:val="32"/>
                <w:szCs w:val="32"/>
                <w:b w:val="1"/>
                <w:bCs w:val="1"/>
                <w:color w:val="auto"/>
              </w:rPr>
              <w:t>FORM 12b-25</w:t>
            </w:r>
          </w:p>
        </w:tc>
        <w:tc>
          <w:tcPr>
            <w:tcW w:w="0" w:type="dxa"/>
            <w:vAlign w:val="bottom"/>
          </w:tcPr>
          <w:p>
            <w:pPr>
              <w:spacing w:after="0"/>
              <w:rPr>
                <w:sz w:val="1"/>
                <w:szCs w:val="1"/>
                <w:color w:val="auto"/>
              </w:rPr>
            </w:pPr>
          </w:p>
        </w:tc>
      </w:tr>
      <w:tr>
        <w:trPr>
          <w:trHeight w:val="206"/>
        </w:trPr>
        <w:tc>
          <w:tcPr>
            <w:tcW w:w="1124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1240" w:type="dxa"/>
            <w:vAlign w:val="bottom"/>
            <w:gridSpan w:val="3"/>
          </w:tcPr>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tc>
        <w:tc>
          <w:tcPr>
            <w:tcW w:w="0" w:type="dxa"/>
            <w:vAlign w:val="bottom"/>
          </w:tcPr>
          <w:p>
            <w:pPr>
              <w:spacing w:after="0"/>
              <w:rPr>
                <w:sz w:val="1"/>
                <w:szCs w:val="1"/>
                <w:color w:val="auto"/>
              </w:rPr>
            </w:pPr>
          </w:p>
        </w:tc>
      </w:tr>
      <w:tr>
        <w:trPr>
          <w:trHeight w:val="378"/>
        </w:trPr>
        <w:tc>
          <w:tcPr>
            <w:tcW w:w="4760" w:type="dxa"/>
            <w:vAlign w:val="bottom"/>
          </w:tcPr>
          <w:p>
            <w:pPr>
              <w:ind w:left="1240"/>
              <w:spacing w:after="0" w:line="207" w:lineRule="exact"/>
              <w:rPr>
                <w:sz w:val="20"/>
                <w:szCs w:val="20"/>
                <w:color w:val="auto"/>
              </w:rPr>
            </w:pPr>
            <w:r>
              <w:rPr>
                <w:rFonts w:ascii="Times New Roman" w:cs="Times New Roman" w:eastAsia="Times New Roman" w:hAnsi="Times New Roman"/>
                <w:sz w:val="18"/>
                <w:szCs w:val="18"/>
                <w:color w:val="auto"/>
                <w:w w:val="98"/>
              </w:rPr>
              <w:t xml:space="preserve">(Check One) </w:t>
            </w: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 xml:space="preserve">  Form 10-K   </w:t>
            </w:r>
            <w:r>
              <w:rPr>
                <w:rFonts w:ascii="MS PGothic" w:cs="MS PGothic" w:eastAsia="MS PGothic" w:hAnsi="MS PGothic"/>
                <w:sz w:val="18"/>
                <w:szCs w:val="18"/>
                <w:color w:val="auto"/>
                <w:w w:val="98"/>
              </w:rPr>
              <w:t>☐</w:t>
            </w:r>
            <w:r>
              <w:rPr>
                <w:rFonts w:ascii="Times New Roman" w:cs="Times New Roman" w:eastAsia="Times New Roman" w:hAnsi="Times New Roman"/>
                <w:sz w:val="18"/>
                <w:szCs w:val="18"/>
                <w:color w:val="auto"/>
                <w:w w:val="98"/>
              </w:rPr>
              <w:t xml:space="preserve">  Form 20-F </w:t>
            </w:r>
          </w:p>
        </w:tc>
        <w:tc>
          <w:tcPr>
            <w:tcW w:w="128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w:t>
            </w:r>
          </w:p>
        </w:tc>
        <w:tc>
          <w:tcPr>
            <w:tcW w:w="5200" w:type="dxa"/>
            <w:vAlign w:val="bottom"/>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c>
          <w:tcPr>
            <w:tcW w:w="0" w:type="dxa"/>
            <w:vAlign w:val="bottom"/>
          </w:tcPr>
          <w:p>
            <w:pPr>
              <w:spacing w:after="0"/>
              <w:rPr>
                <w:sz w:val="1"/>
                <w:szCs w:val="1"/>
                <w:color w:val="auto"/>
              </w:rPr>
            </w:pPr>
          </w:p>
        </w:tc>
      </w:tr>
      <w:tr>
        <w:trPr>
          <w:trHeight w:val="303"/>
        </w:trPr>
        <w:tc>
          <w:tcPr>
            <w:tcW w:w="6040" w:type="dxa"/>
            <w:vAlign w:val="bottom"/>
            <w:gridSpan w:val="2"/>
          </w:tcPr>
          <w:p>
            <w:pPr>
              <w:ind w:left="226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Form 10-Q </w:t>
            </w: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Form 10-D   </w:t>
            </w: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Form N-CEN </w:t>
            </w:r>
          </w:p>
        </w:tc>
        <w:tc>
          <w:tcPr>
            <w:tcW w:w="5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7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For Period Ended: June 30, 2024</w:t>
            </w:r>
          </w:p>
        </w:tc>
        <w:tc>
          <w:tcPr>
            <w:tcW w:w="12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040" w:type="dxa"/>
            <w:vAlign w:val="bottom"/>
            <w:gridSpan w:val="2"/>
          </w:tcPr>
          <w:p>
            <w:pPr>
              <w:ind w:left="2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10-K</w:t>
            </w: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40" w:type="dxa"/>
            <w:vAlign w:val="bottom"/>
            <w:gridSpan w:val="2"/>
          </w:tcPr>
          <w:p>
            <w:pPr>
              <w:ind w:left="2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20-F</w:t>
            </w: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40" w:type="dxa"/>
            <w:vAlign w:val="bottom"/>
            <w:gridSpan w:val="2"/>
          </w:tcPr>
          <w:p>
            <w:pPr>
              <w:ind w:left="2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11-K</w:t>
            </w: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40" w:type="dxa"/>
            <w:vAlign w:val="bottom"/>
            <w:gridSpan w:val="2"/>
          </w:tcPr>
          <w:p>
            <w:pPr>
              <w:ind w:left="2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on Form 10-Q</w:t>
            </w: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76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5"/>
              </w:rPr>
              <w:t>For the Transition Period Ended:  </w:t>
            </w:r>
          </w:p>
        </w:tc>
        <w:tc>
          <w:tcPr>
            <w:tcW w:w="1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31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u w:val="single" w:color="auto"/>
          <w:color w:val="auto"/>
        </w:rPr>
        <w:t>OptimizeRx Corporation</w:t>
      </w:r>
    </w:p>
    <w:p>
      <w:pPr>
        <w:spacing w:after="0" w:line="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if Applicable)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260 Charles Street, Suite 302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 (</w:t>
      </w:r>
      <w:r>
        <w:rPr>
          <w:rFonts w:ascii="Times New Roman" w:cs="Times New Roman" w:eastAsia="Times New Roman" w:hAnsi="Times New Roman"/>
          <w:sz w:val="18"/>
          <w:szCs w:val="18"/>
          <w:b w:val="1"/>
          <w:bCs w:val="1"/>
          <w:i w:val="1"/>
          <w:iCs w:val="1"/>
          <w:color w:val="auto"/>
        </w:rPr>
        <w:t>Street and Number</w:t>
      </w:r>
      <w:r>
        <w:rPr>
          <w:rFonts w:ascii="Times New Roman" w:cs="Times New Roman" w:eastAsia="Times New Roman" w:hAnsi="Times New Roman"/>
          <w:sz w:val="18"/>
          <w:szCs w:val="18"/>
          <w:b w:val="1"/>
          <w:bCs w:val="1"/>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Waltham, MA 02453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w:t>
            </w:r>
          </w:p>
        </w:tc>
        <w:tc>
          <w:tcPr>
            <w:tcW w:w="10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tc>
        <w:tc>
          <w:tcPr>
            <w:tcW w:w="0" w:type="dxa"/>
            <w:vAlign w:val="bottom"/>
          </w:tcPr>
          <w:p>
            <w:pPr>
              <w:spacing w:after="0"/>
              <w:rPr>
                <w:sz w:val="1"/>
                <w:szCs w:val="1"/>
                <w:color w:val="auto"/>
              </w:rPr>
            </w:pPr>
          </w:p>
        </w:tc>
      </w:tr>
      <w:tr>
        <w:trPr>
          <w:trHeight w:val="414"/>
        </w:trPr>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10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tc>
        <w:tc>
          <w:tcPr>
            <w:tcW w:w="0" w:type="dxa"/>
            <w:vAlign w:val="bottom"/>
          </w:tcPr>
          <w:p>
            <w:pPr>
              <w:spacing w:after="0"/>
              <w:rPr>
                <w:sz w:val="1"/>
                <w:szCs w:val="1"/>
                <w:color w:val="auto"/>
              </w:rPr>
            </w:pPr>
          </w:p>
        </w:tc>
      </w:tr>
      <w:tr>
        <w:trPr>
          <w:trHeight w:val="216"/>
        </w:trPr>
        <w:tc>
          <w:tcPr>
            <w:tcW w:w="700" w:type="dxa"/>
            <w:vAlign w:val="bottom"/>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10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w:t>
            </w:r>
          </w:p>
        </w:tc>
        <w:tc>
          <w:tcPr>
            <w:tcW w:w="0" w:type="dxa"/>
            <w:vAlign w:val="bottom"/>
          </w:tcPr>
          <w:p>
            <w:pPr>
              <w:spacing w:after="0"/>
              <w:rPr>
                <w:sz w:val="1"/>
                <w:szCs w:val="1"/>
                <w:color w:val="auto"/>
              </w:rPr>
            </w:pPr>
          </w:p>
        </w:tc>
      </w:tr>
      <w:tr>
        <w:trPr>
          <w:trHeight w:val="154"/>
        </w:trPr>
        <w:tc>
          <w:tcPr>
            <w:tcW w:w="70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transition report on Form 10-Q or subject distribution report on Form 10-D, or portion thereof, will be filed on or before the fifth calendar day</w:t>
            </w:r>
          </w:p>
        </w:tc>
        <w:tc>
          <w:tcPr>
            <w:tcW w:w="0" w:type="dxa"/>
            <w:vAlign w:val="bottom"/>
          </w:tcPr>
          <w:p>
            <w:pPr>
              <w:spacing w:after="0"/>
              <w:rPr>
                <w:sz w:val="1"/>
                <w:szCs w:val="1"/>
                <w:color w:val="auto"/>
              </w:rPr>
            </w:pPr>
          </w:p>
        </w:tc>
      </w:tr>
      <w:tr>
        <w:trPr>
          <w:trHeight w:val="62"/>
        </w:trPr>
        <w:tc>
          <w:tcPr>
            <w:tcW w:w="700" w:type="dxa"/>
            <w:vAlign w:val="bottom"/>
          </w:tcPr>
          <w:p>
            <w:pPr>
              <w:spacing w:after="0"/>
              <w:rPr>
                <w:sz w:val="5"/>
                <w:szCs w:val="5"/>
                <w:color w:val="auto"/>
              </w:rPr>
            </w:pPr>
          </w:p>
        </w:tc>
        <w:tc>
          <w:tcPr>
            <w:tcW w:w="10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following the prescribed due date; 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-822325</wp:posOffset>
            </wp:positionV>
            <wp:extent cx="8890" cy="1097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097280"/>
                    </a:xfrm>
                    <a:prstGeom prst="rect">
                      <a:avLst/>
                    </a:prstGeom>
                    <a:noFill/>
                  </pic:spPr>
                </pic:pic>
              </a:graphicData>
            </a:graphic>
          </wp:anchor>
        </w:drawing>
      </w:r>
    </w:p>
    <w:p>
      <w:pPr>
        <w:spacing w:after="0" w:line="178" w:lineRule="exact"/>
        <w:rPr>
          <w:sz w:val="20"/>
          <w:szCs w:val="20"/>
          <w:color w:val="auto"/>
        </w:rPr>
      </w:pPr>
    </w:p>
    <w:p>
      <w:pPr>
        <w:ind w:left="840" w:hanging="391"/>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 (Attach Extra Sheets if Needed)</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OptimizeRx Corporation (the “Company”) was unable to file its Quarterly Report on Form 10-Q for the quarter ended June 30, 2024 (the “Form 10-Q”) within the prescribed date and time deadline of 5:30 p.m. (EDT), August 14, 2024, without unreasonable effort or expense, as a result of the Company not providing its financial printer with sufficient time required to prepare the XBRL for the filing of the Form 10-Q. The Company has submitted its Form 10-Q to its financial printer for preparing the XBRL and is awaiting filing.</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expects to file its Form 10-Q prior to the end of the fifth calendar day extension period provided by Rule 12b-25 of the Securities Exchange Act of 1934, as amended.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tc>
        <w:tc>
          <w:tcPr>
            <w:tcW w:w="3440" w:type="dxa"/>
            <w:vAlign w:val="bottom"/>
          </w:tcPr>
          <w:p>
            <w:pPr>
              <w:spacing w:after="0"/>
              <w:rPr>
                <w:sz w:val="20"/>
                <w:szCs w:val="20"/>
                <w:color w:val="auto"/>
              </w:rPr>
            </w:pPr>
          </w:p>
        </w:tc>
      </w:tr>
      <w:tr>
        <w:trPr>
          <w:trHeight w:val="432"/>
        </w:trPr>
        <w:tc>
          <w:tcPr>
            <w:tcW w:w="76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3440" w:type="dxa"/>
            <w:vAlign w:val="bottom"/>
          </w:tcPr>
          <w:p>
            <w:pPr>
              <w:spacing w:after="0"/>
              <w:rPr>
                <w:sz w:val="24"/>
                <w:szCs w:val="24"/>
                <w:color w:val="auto"/>
              </w:rPr>
            </w:pPr>
          </w:p>
        </w:tc>
      </w:tr>
      <w:tr>
        <w:trPr>
          <w:trHeight w:val="452"/>
        </w:trPr>
        <w:tc>
          <w:tcPr>
            <w:tcW w:w="340" w:type="dxa"/>
            <w:vAlign w:val="bottom"/>
          </w:tcPr>
          <w:p>
            <w:pPr>
              <w:spacing w:after="0"/>
              <w:rPr>
                <w:sz w:val="24"/>
                <w:szCs w:val="24"/>
                <w:color w:val="auto"/>
              </w:rPr>
            </w:pPr>
          </w:p>
        </w:tc>
        <w:tc>
          <w:tcPr>
            <w:tcW w:w="3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Edward Stelmakh</w:t>
            </w:r>
          </w:p>
        </w:tc>
        <w:tc>
          <w:tcPr>
            <w:tcW w:w="346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248</w:t>
            </w:r>
          </w:p>
        </w:tc>
        <w:tc>
          <w:tcPr>
            <w:tcW w:w="200" w:type="dxa"/>
            <w:vAlign w:val="bottom"/>
          </w:tcPr>
          <w:p>
            <w:pPr>
              <w:spacing w:after="0"/>
              <w:rPr>
                <w:sz w:val="24"/>
                <w:szCs w:val="24"/>
                <w:color w:val="auto"/>
              </w:rPr>
            </w:pPr>
          </w:p>
        </w:tc>
        <w:tc>
          <w:tcPr>
            <w:tcW w:w="344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653-5974</w:t>
            </w:r>
          </w:p>
        </w:tc>
      </w:tr>
      <w:tr>
        <w:trPr>
          <w:trHeight w:val="238"/>
        </w:trPr>
        <w:tc>
          <w:tcPr>
            <w:tcW w:w="340" w:type="dxa"/>
            <w:vAlign w:val="bottom"/>
          </w:tcPr>
          <w:p>
            <w:pPr>
              <w:spacing w:after="0"/>
              <w:rPr>
                <w:sz w:val="20"/>
                <w:szCs w:val="20"/>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w:t>
            </w:r>
          </w:p>
        </w:tc>
        <w:tc>
          <w:tcPr>
            <w:tcW w:w="22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(Area Code)</w:t>
            </w:r>
          </w:p>
        </w:tc>
        <w:tc>
          <w:tcPr>
            <w:tcW w:w="200" w:type="dxa"/>
            <w:vAlign w:val="bottom"/>
          </w:tcPr>
          <w:p>
            <w:pPr>
              <w:spacing w:after="0"/>
              <w:rPr>
                <w:sz w:val="20"/>
                <w:szCs w:val="20"/>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(Telephone Number)</w:t>
            </w:r>
          </w:p>
        </w:tc>
      </w:tr>
    </w:tbl>
    <w:p>
      <w:pPr>
        <w:spacing w:after="0" w:line="175" w:lineRule="exact"/>
        <w:rPr>
          <w:sz w:val="20"/>
          <w:szCs w:val="20"/>
          <w:color w:val="auto"/>
        </w:rPr>
      </w:pPr>
    </w:p>
    <w:p>
      <w:pPr>
        <w:ind w:left="340" w:hanging="332"/>
        <w:spacing w:after="0" w:line="273" w:lineRule="auto"/>
        <w:tabs>
          <w:tab w:leader="none" w:pos="3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w:t>
      </w:r>
    </w:p>
    <w:p>
      <w:pPr>
        <w:spacing w:after="0" w:line="1" w:lineRule="exact"/>
        <w:rPr>
          <w:sz w:val="20"/>
          <w:szCs w:val="20"/>
          <w:color w:val="auto"/>
        </w:rPr>
      </w:pPr>
    </w:p>
    <w:p>
      <w:pPr>
        <w:ind w:left="340"/>
        <w:spacing w:after="0" w:line="207" w:lineRule="exact"/>
        <w:tabs>
          <w:tab w:leader="none" w:pos="1760" w:val="left"/>
        </w:tabs>
        <w:rPr>
          <w:sz w:val="20"/>
          <w:szCs w:val="20"/>
          <w:color w:val="auto"/>
        </w:rPr>
      </w:pPr>
      <w:r>
        <w:rPr>
          <w:rFonts w:ascii="Times New Roman" w:cs="Times New Roman" w:eastAsia="Times New Roman" w:hAnsi="Times New Roman"/>
          <w:sz w:val="18"/>
          <w:szCs w:val="18"/>
          <w:color w:val="auto"/>
        </w:rPr>
        <w:t>identify report(s). </w:t>
      </w:r>
      <w:r>
        <w:rPr>
          <w:sz w:val="20"/>
          <w:szCs w:val="20"/>
          <w:color w:val="auto"/>
        </w:rPr>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rFonts w:ascii="MS PGothic" w:cs="MS PGothic" w:eastAsia="MS PGothic" w:hAnsi="MS PGothic"/>
          <w:sz w:val="16"/>
          <w:szCs w:val="16"/>
          <w:color w:val="auto"/>
        </w:rPr>
        <w:t xml:space="preserve"> ☐ </w:t>
      </w:r>
      <w:r>
        <w:rPr>
          <w:rFonts w:ascii="Times New Roman" w:cs="Times New Roman" w:eastAsia="Times New Roman" w:hAnsi="Times New Roman"/>
          <w:sz w:val="16"/>
          <w:szCs w:val="16"/>
          <w:color w:val="auto"/>
        </w:rPr>
        <w:t>No</w:t>
      </w:r>
    </w:p>
    <w:p>
      <w:pPr>
        <w:spacing w:after="0" w:line="212" w:lineRule="exact"/>
        <w:rPr>
          <w:sz w:val="20"/>
          <w:szCs w:val="20"/>
          <w:color w:val="auto"/>
        </w:rPr>
      </w:pPr>
    </w:p>
    <w:p>
      <w:pPr>
        <w:ind w:left="340" w:right="52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340"/>
        <w:spacing w:after="0" w:line="207"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6" w:lineRule="exact"/>
        <w:rPr>
          <w:rFonts w:ascii="Times New Roman" w:cs="Times New Roman" w:eastAsia="Times New Roman" w:hAnsi="Times New Roman"/>
          <w:sz w:val="18"/>
          <w:szCs w:val="18"/>
          <w:color w:val="auto"/>
        </w:rPr>
      </w:pPr>
    </w:p>
    <w:p>
      <w:pPr>
        <w:ind w:left="340"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OptimizeRx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Edward Stelmakh</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2024-08-15T05:21:35Z</dcterms:created>
  <dcterms:modified xsi:type="dcterms:W3CDTF">2024-08-15T05:21:35Z</dcterms:modified>
</cp:coreProperties>
</file>