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1" w:lineRule="exact"/>
        <w:rPr>
          <w:sz w:val="24"/>
          <w:szCs w:val="24"/>
          <w:color w:val="auto"/>
        </w:rPr>
      </w:pPr>
    </w:p>
    <w:p>
      <w:pPr>
        <w:jc w:val="center"/>
        <w:ind w:left="4080" w:right="1720" w:hanging="2352"/>
        <w:spacing w:after="0" w:line="482" w:lineRule="auto"/>
        <w:tabs>
          <w:tab w:leader="none" w:pos="1941"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ANNUAL REPORT UNDER SECTION 13 OR 15(d) OF THE SECURITIES EXCHANGE ACT OF 1934 For the fiscal year ended </w:t>
      </w:r>
      <w:r>
        <w:rPr>
          <w:rFonts w:ascii="Arial" w:cs="Arial" w:eastAsia="Arial" w:hAnsi="Arial"/>
          <w:sz w:val="18"/>
          <w:szCs w:val="18"/>
          <w:b w:val="1"/>
          <w:bCs w:val="1"/>
          <w:color w:val="auto"/>
        </w:rPr>
        <w:t>December 31, 2014</w:t>
      </w:r>
    </w:p>
    <w:p>
      <w:pPr>
        <w:spacing w:after="0" w:line="32" w:lineRule="exact"/>
        <w:rPr>
          <w:rFonts w:ascii="MS PGothic" w:cs="MS PGothic" w:eastAsia="MS PGothic" w:hAnsi="MS PGothic"/>
          <w:sz w:val="18"/>
          <w:szCs w:val="18"/>
          <w:color w:val="auto"/>
        </w:rPr>
      </w:pPr>
    </w:p>
    <w:p>
      <w:pPr>
        <w:ind w:left="1780" w:hanging="212"/>
        <w:spacing w:after="0"/>
        <w:tabs>
          <w:tab w:leader="none" w:pos="1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SECURITIES EXCHANGE ACT OF 1934</w:t>
      </w:r>
    </w:p>
    <w:p>
      <w:pPr>
        <w:spacing w:after="0" w:line="225"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For the transition period from _________ to 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000-53605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Nevada</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26-1265381</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5820" w:type="dxa"/>
            <w:vAlign w:val="bottom"/>
            <w:gridSpan w:val="2"/>
          </w:tcPr>
          <w:p>
            <w:pPr>
              <w:ind w:left="1840"/>
              <w:spacing w:after="0"/>
              <w:rPr>
                <w:sz w:val="20"/>
                <w:szCs w:val="20"/>
                <w:color w:val="auto"/>
              </w:rPr>
            </w:pPr>
            <w:r>
              <w:rPr>
                <w:rFonts w:ascii="Arial" w:cs="Arial" w:eastAsia="Arial" w:hAnsi="Arial"/>
                <w:sz w:val="18"/>
                <w:szCs w:val="18"/>
                <w:b w:val="1"/>
                <w:bCs w:val="1"/>
                <w:color w:val="auto"/>
              </w:rPr>
              <w:t>400 Water Street, Ste. 200</w:t>
            </w:r>
          </w:p>
        </w:tc>
        <w:tc>
          <w:tcPr>
            <w:tcW w:w="5600" w:type="dxa"/>
            <w:vAlign w:val="bottom"/>
          </w:tcPr>
          <w:p>
            <w:pPr>
              <w:spacing w:after="0"/>
              <w:rPr>
                <w:sz w:val="24"/>
                <w:szCs w:val="24"/>
                <w:color w:val="auto"/>
              </w:rPr>
            </w:pPr>
          </w:p>
        </w:tc>
      </w:t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Rochester, MI</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48307</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w:t>
      </w:r>
      <w:r>
        <w:rPr>
          <w:rFonts w:ascii="Arial" w:cs="Arial" w:eastAsia="Arial" w:hAnsi="Arial"/>
          <w:sz w:val="18"/>
          <w:szCs w:val="18"/>
          <w:b w:val="1"/>
          <w:bCs w:val="1"/>
          <w:u w:val="single" w:color="auto"/>
          <w:color w:val="auto"/>
        </w:rPr>
        <w:t>248-651-6568</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12(b) of the Exchange Act:</w:t>
      </w:r>
    </w:p>
    <w:p>
      <w:pPr>
        <w:spacing w:after="0" w:line="252" w:lineRule="exact"/>
        <w:rPr>
          <w:sz w:val="24"/>
          <w:szCs w:val="24"/>
          <w:color w:val="auto"/>
        </w:rPr>
      </w:pPr>
    </w:p>
    <w:tbl>
      <w:tblPr>
        <w:tblLayout w:type="fixed"/>
        <w:tblInd w:w="2220" w:type="dxa"/>
        <w:tblCellMar>
          <w:top w:w="0" w:type="dxa"/>
          <w:left w:w="0" w:type="dxa"/>
          <w:bottom w:w="0" w:type="dxa"/>
          <w:right w:w="0" w:type="dxa"/>
        </w:tblCellMar>
      </w:tblPr>
      <w:tr>
        <w:trPr>
          <w:trHeight w:val="212"/>
        </w:trPr>
        <w:tc>
          <w:tcPr>
            <w:tcW w:w="3020" w:type="dxa"/>
            <w:vAlign w:val="bottom"/>
            <w:gridSpan w:val="3"/>
          </w:tcPr>
          <w:p>
            <w:pPr>
              <w:jc w:val="center"/>
              <w:ind w:right="1720"/>
              <w:spacing w:after="0"/>
              <w:rPr>
                <w:sz w:val="20"/>
                <w:szCs w:val="20"/>
                <w:color w:val="auto"/>
              </w:rPr>
            </w:pPr>
            <w:r>
              <w:rPr>
                <w:rFonts w:ascii="Arial" w:cs="Arial" w:eastAsia="Arial" w:hAnsi="Arial"/>
                <w:sz w:val="18"/>
                <w:szCs w:val="18"/>
                <w:color w:val="auto"/>
                <w:w w:val="90"/>
              </w:rPr>
              <w:t>Title of each class</w:t>
            </w:r>
          </w:p>
        </w:tc>
        <w:tc>
          <w:tcPr>
            <w:tcW w:w="4920" w:type="dxa"/>
            <w:vAlign w:val="bottom"/>
            <w:gridSpan w:val="3"/>
          </w:tcPr>
          <w:p>
            <w:pPr>
              <w:jc w:val="center"/>
              <w:ind w:left="1650"/>
              <w:spacing w:after="0"/>
              <w:rPr>
                <w:sz w:val="20"/>
                <w:szCs w:val="20"/>
                <w:color w:val="auto"/>
              </w:rPr>
            </w:pPr>
            <w:r>
              <w:rPr>
                <w:rFonts w:ascii="Arial" w:cs="Arial" w:eastAsia="Arial" w:hAnsi="Arial"/>
                <w:sz w:val="18"/>
                <w:szCs w:val="18"/>
                <w:color w:val="auto"/>
                <w:w w:val="89"/>
              </w:rPr>
              <w:t>Name of each exchange on which registered</w:t>
            </w:r>
          </w:p>
        </w:tc>
      </w:tr>
      <w:tr>
        <w:trPr>
          <w:trHeight w:val="194"/>
        </w:trPr>
        <w:tc>
          <w:tcPr>
            <w:tcW w:w="460" w:type="dxa"/>
            <w:vAlign w:val="bottom"/>
          </w:tcPr>
          <w:p>
            <w:pPr>
              <w:spacing w:after="0"/>
              <w:rPr>
                <w:sz w:val="16"/>
                <w:szCs w:val="16"/>
                <w:color w:val="auto"/>
              </w:rPr>
            </w:pPr>
          </w:p>
        </w:tc>
        <w:tc>
          <w:tcPr>
            <w:tcW w:w="2560" w:type="dxa"/>
            <w:vAlign w:val="bottom"/>
            <w:gridSpan w:val="2"/>
          </w:tcPr>
          <w:p>
            <w:pPr>
              <w:jc w:val="center"/>
              <w:ind w:right="2200"/>
              <w:spacing w:after="0" w:line="194" w:lineRule="exact"/>
              <w:rPr>
                <w:sz w:val="20"/>
                <w:szCs w:val="20"/>
                <w:color w:val="auto"/>
              </w:rPr>
            </w:pPr>
            <w:r>
              <w:rPr>
                <w:rFonts w:ascii="Arial" w:cs="Arial" w:eastAsia="Arial" w:hAnsi="Arial"/>
                <w:sz w:val="18"/>
                <w:szCs w:val="18"/>
                <w:b w:val="1"/>
                <w:bCs w:val="1"/>
                <w:color w:val="auto"/>
                <w:w w:val="83"/>
              </w:rPr>
              <w:t>none</w:t>
            </w:r>
          </w:p>
        </w:tc>
        <w:tc>
          <w:tcPr>
            <w:tcW w:w="4920" w:type="dxa"/>
            <w:vAlign w:val="bottom"/>
            <w:gridSpan w:val="3"/>
          </w:tcPr>
          <w:p>
            <w:pPr>
              <w:jc w:val="center"/>
              <w:ind w:left="1650"/>
              <w:spacing w:after="0" w:line="194" w:lineRule="exact"/>
              <w:rPr>
                <w:sz w:val="20"/>
                <w:szCs w:val="20"/>
                <w:color w:val="auto"/>
              </w:rPr>
            </w:pPr>
            <w:r>
              <w:rPr>
                <w:rFonts w:ascii="Arial" w:cs="Arial" w:eastAsia="Arial" w:hAnsi="Arial"/>
                <w:sz w:val="18"/>
                <w:szCs w:val="18"/>
                <w:b w:val="1"/>
                <w:bCs w:val="1"/>
                <w:color w:val="auto"/>
                <w:w w:val="90"/>
              </w:rPr>
              <w:t>not applicable</w:t>
            </w:r>
          </w:p>
        </w:tc>
      </w:tr>
      <w:tr>
        <w:trPr>
          <w:trHeight w:val="20"/>
        </w:trPr>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12(g) of the Exchange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par value of $0.001</w:t>
      </w:r>
    </w:p>
    <w:p>
      <w:pPr>
        <w:spacing w:after="0" w:line="178" w:lineRule="exact"/>
        <w:rPr>
          <w:sz w:val="24"/>
          <w:szCs w:val="24"/>
          <w:color w:val="auto"/>
        </w:rPr>
      </w:pPr>
    </w:p>
    <w:p>
      <w:pPr>
        <w:ind w:right="1820"/>
        <w:spacing w:after="0" w:line="27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Indicate by check mark if the registrant is not required to file reports pursuant to Section 13 or Section 15(d) of the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highlight w:val="black"/>
        </w:rPr>
        <w:t>☒</w:t>
      </w:r>
    </w:p>
    <w:p>
      <w:pPr>
        <w:spacing w:after="0" w:line="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517" w:right="239" w:bottom="1440" w:gutter="0" w:footer="0" w:header="0"/>
        </w:sectPr>
      </w:pPr>
    </w:p>
    <w:p>
      <w:pPr>
        <w:spacing w:after="0" w:line="204"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Large accelerated filer</w:t>
      </w:r>
    </w:p>
    <w:p>
      <w:pPr>
        <w:spacing w:after="0" w:line="8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Smaller reporting company</w:t>
      </w:r>
    </w:p>
    <w:p>
      <w:pPr>
        <w:spacing w:after="0" w:line="199" w:lineRule="exact"/>
        <w:rPr>
          <w:sz w:val="24"/>
          <w:szCs w:val="24"/>
          <w:color w:val="auto"/>
        </w:rPr>
      </w:pPr>
    </w:p>
    <w:p>
      <w:pPr>
        <w:sectPr>
          <w:pgSz w:w="11900" w:h="16838" w:orient="portrait"/>
          <w:cols w:equalWidth="0" w:num="2">
            <w:col w:w="5000" w:space="720"/>
            <w:col w:w="5700"/>
          </w:cols>
          <w:pgMar w:left="240" w:top="517"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9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Arial" w:cs="Arial" w:eastAsia="Arial" w:hAnsi="Arial"/>
          <w:sz w:val="18"/>
          <w:szCs w:val="18"/>
          <w:b w:val="1"/>
          <w:bCs w:val="1"/>
          <w:color w:val="auto"/>
        </w:rPr>
        <w:t>$26,134,458</w:t>
      </w:r>
    </w:p>
    <w:p>
      <w:pPr>
        <w:spacing w:after="0" w:line="15"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Indicate the number of shares outstanding of each of the registrant’s classes of common stock, as of the latest practicable date. </w:t>
      </w:r>
      <w:r>
        <w:rPr>
          <w:rFonts w:ascii="Arial" w:cs="Arial" w:eastAsia="Arial" w:hAnsi="Arial"/>
          <w:sz w:val="18"/>
          <w:szCs w:val="18"/>
          <w:b w:val="1"/>
          <w:bCs w:val="1"/>
          <w:color w:val="auto"/>
        </w:rPr>
        <w:t>22,912,319 common shares as</w:t>
      </w:r>
      <w:r>
        <w:rPr>
          <w:rFonts w:ascii="Arial" w:cs="Arial" w:eastAsia="Arial" w:hAnsi="Arial"/>
          <w:sz w:val="18"/>
          <w:szCs w:val="18"/>
          <w:color w:val="auto"/>
        </w:rPr>
        <w:t xml:space="preserve"> </w:t>
      </w:r>
      <w:r>
        <w:rPr>
          <w:rFonts w:ascii="Arial" w:cs="Arial" w:eastAsia="Arial" w:hAnsi="Arial"/>
          <w:sz w:val="18"/>
          <w:szCs w:val="18"/>
          <w:b w:val="1"/>
          <w:bCs w:val="1"/>
          <w:color w:val="auto"/>
        </w:rPr>
        <w:t>of March 20,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568960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Amendment No. 1 on Form 10-K/A amends the Annual Report on Form 10-K for the year ended December 31, 2014 of OptimizeRx Corp. (he "Company", "we" or "us"), filed with the U.S. Securities and Exchange Commission (the "SEC") on March 31, 2015 to include an updated auditor report for KLJ &amp; Associates, LLP.</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other changes have been made to the Form 10-K. This Amendment does not reflect events occurring after the filing of the Form 10-K, does not update disclosures contained in the Form 10-K, and does not modify or amend the Form 10-K except as specifically described in this explanatory note. Accordingly, this Amendment should be read in conjunction with our Form 10-K and our other filings made with the SEC subsequent to the filing of the Form 10-K, including any amendments to those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900" w:type="dxa"/>
            <w:vAlign w:val="bottom"/>
            <w:gridSpan w:val="16"/>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17"/>
                <w:szCs w:val="17"/>
                <w:color w:val="auto"/>
              </w:rPr>
            </w:pPr>
          </w:p>
        </w:tc>
      </w:tr>
      <w:tr>
        <w:trPr>
          <w:trHeight w:val="473"/>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Page</w:t>
            </w:r>
          </w:p>
        </w:tc>
      </w:tr>
      <w:tr>
        <w:trPr>
          <w:trHeight w:val="162"/>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40" w:type="dxa"/>
            <w:vAlign w:val="bottom"/>
            <w:gridSpan w:val="11"/>
          </w:tcPr>
          <w:p>
            <w:pPr>
              <w:jc w:val="center"/>
              <w:ind w:right="4300"/>
              <w:spacing w:after="0" w:line="16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PART I</w:t>
              </w:r>
            </w:hyperlink>
          </w:p>
        </w:tc>
        <w:tc>
          <w:tcPr>
            <w:tcW w:w="1140" w:type="dxa"/>
            <w:vAlign w:val="bottom"/>
          </w:tcPr>
          <w:p>
            <w:pPr>
              <w:spacing w:after="0"/>
              <w:rPr>
                <w:sz w:val="14"/>
                <w:szCs w:val="1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520" w:type="dxa"/>
            <w:vAlign w:val="bottom"/>
            <w:gridSpan w:val="3"/>
          </w:tcPr>
          <w:p>
            <w:pPr>
              <w:spacing w:after="0"/>
              <w:rPr>
                <w:sz w:val="24"/>
                <w:szCs w:val="24"/>
                <w:color w:val="auto"/>
              </w:rPr>
            </w:pPr>
          </w:p>
        </w:tc>
        <w:tc>
          <w:tcPr>
            <w:tcW w:w="440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40" w:type="dxa"/>
            <w:vAlign w:val="bottom"/>
            <w:tcBorders>
              <w:top w:val="single" w:sz="8" w:color="0000EE"/>
            </w:tcBorders>
          </w:tcPr>
          <w:p>
            <w:pPr>
              <w:spacing w:after="0"/>
              <w:rPr>
                <w:sz w:val="24"/>
                <w:szCs w:val="24"/>
                <w:color w:val="auto"/>
              </w:rPr>
            </w:pPr>
          </w:p>
        </w:tc>
        <w:tc>
          <w:tcPr>
            <w:tcW w:w="4300" w:type="dxa"/>
            <w:vAlign w:val="bottom"/>
            <w:gridSpan w:val="10"/>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Item 1A.</w:t>
              </w:r>
            </w:hyperlink>
          </w:p>
        </w:tc>
        <w:tc>
          <w:tcPr>
            <w:tcW w:w="9240" w:type="dxa"/>
            <w:vAlign w:val="bottom"/>
            <w:gridSpan w:val="2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9"/>
              </w:rPr>
              <w:t>7</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120" w:type="dxa"/>
            <w:vAlign w:val="bottom"/>
            <w:tcBorders>
              <w:top w:val="single" w:sz="8" w:color="0000EE"/>
            </w:tcBorders>
            <w:gridSpan w:val="2"/>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Properties</w:t>
              </w:r>
            </w:hyperlink>
          </w:p>
        </w:tc>
        <w:tc>
          <w:tcPr>
            <w:tcW w:w="180" w:type="dxa"/>
            <w:vAlign w:val="bottom"/>
            <w:tcBorders>
              <w:top w:val="single" w:sz="8" w:color="0000EE"/>
            </w:tcBorders>
          </w:tcPr>
          <w:p>
            <w:pPr>
              <w:spacing w:after="0"/>
              <w:rPr>
                <w:sz w:val="17"/>
                <w:szCs w:val="17"/>
                <w:color w:val="auto"/>
              </w:rPr>
            </w:pPr>
          </w:p>
        </w:tc>
        <w:tc>
          <w:tcPr>
            <w:tcW w:w="8320" w:type="dxa"/>
            <w:vAlign w:val="bottom"/>
            <w:gridSpan w:val="22"/>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12</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3.</w:t>
              </w:r>
            </w:hyperlink>
          </w:p>
        </w:tc>
        <w:tc>
          <w:tcPr>
            <w:tcW w:w="520" w:type="dxa"/>
            <w:vAlign w:val="bottom"/>
            <w:gridSpan w:val="3"/>
          </w:tcPr>
          <w:p>
            <w:pPr>
              <w:spacing w:after="0"/>
              <w:rPr>
                <w:sz w:val="17"/>
                <w:szCs w:val="17"/>
                <w:color w:val="auto"/>
              </w:rPr>
            </w:pPr>
          </w:p>
        </w:tc>
        <w:tc>
          <w:tcPr>
            <w:tcW w:w="9240" w:type="dxa"/>
            <w:vAlign w:val="bottom"/>
            <w:gridSpan w:val="2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4.</w:t>
              </w:r>
            </w:hyperlink>
          </w:p>
        </w:tc>
        <w:tc>
          <w:tcPr>
            <w:tcW w:w="520" w:type="dxa"/>
            <w:vAlign w:val="bottom"/>
            <w:gridSpan w:val="3"/>
          </w:tcPr>
          <w:p>
            <w:pPr>
              <w:spacing w:after="0"/>
              <w:rPr>
                <w:sz w:val="17"/>
                <w:szCs w:val="17"/>
                <w:color w:val="auto"/>
              </w:rPr>
            </w:pPr>
          </w:p>
        </w:tc>
        <w:tc>
          <w:tcPr>
            <w:tcW w:w="9240" w:type="dxa"/>
            <w:vAlign w:val="bottom"/>
            <w:gridSpan w:val="2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Mine Safety Disclosures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12</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PART II</w:t>
              </w:r>
            </w:hyperlink>
          </w:p>
        </w:tc>
        <w:tc>
          <w:tcPr>
            <w:tcW w:w="424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5.</w:t>
              </w:r>
            </w:hyperlink>
          </w:p>
        </w:tc>
        <w:tc>
          <w:tcPr>
            <w:tcW w:w="520" w:type="dxa"/>
            <w:vAlign w:val="bottom"/>
            <w:gridSpan w:val="3"/>
          </w:tcPr>
          <w:p>
            <w:pPr>
              <w:spacing w:after="0"/>
              <w:rPr>
                <w:sz w:val="24"/>
                <w:szCs w:val="24"/>
                <w:color w:val="auto"/>
              </w:rPr>
            </w:pPr>
          </w:p>
        </w:tc>
        <w:tc>
          <w:tcPr>
            <w:tcW w:w="836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Market for Registrant’s Common Equity and Related Stockholder Matters and Issuer Purchases of Equity Securities</w:t>
              </w:r>
            </w:hyperlink>
          </w:p>
        </w:tc>
        <w:tc>
          <w:tcPr>
            <w:tcW w:w="8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7.</w:t>
              </w:r>
            </w:hyperlink>
          </w:p>
        </w:tc>
        <w:tc>
          <w:tcPr>
            <w:tcW w:w="520" w:type="dxa"/>
            <w:vAlign w:val="bottom"/>
            <w:gridSpan w:val="3"/>
          </w:tcPr>
          <w:p>
            <w:pPr>
              <w:spacing w:after="0"/>
              <w:rPr>
                <w:sz w:val="17"/>
                <w:szCs w:val="17"/>
                <w:color w:val="auto"/>
              </w:rPr>
            </w:pPr>
          </w:p>
        </w:tc>
        <w:tc>
          <w:tcPr>
            <w:tcW w:w="9240" w:type="dxa"/>
            <w:vAlign w:val="bottom"/>
            <w:gridSpan w:val="2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8.</w:t>
              </w:r>
            </w:hyperlink>
          </w:p>
        </w:tc>
        <w:tc>
          <w:tcPr>
            <w:tcW w:w="520" w:type="dxa"/>
            <w:vAlign w:val="bottom"/>
            <w:gridSpan w:val="3"/>
          </w:tcPr>
          <w:p>
            <w:pPr>
              <w:spacing w:after="0"/>
              <w:rPr>
                <w:sz w:val="17"/>
                <w:szCs w:val="17"/>
                <w:color w:val="auto"/>
              </w:rPr>
            </w:pPr>
          </w:p>
        </w:tc>
        <w:tc>
          <w:tcPr>
            <w:tcW w:w="3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Financial Statements and Supplementary Data</w:t>
              </w:r>
            </w:hyperlink>
          </w:p>
        </w:tc>
        <w:tc>
          <w:tcPr>
            <w:tcW w:w="3120" w:type="dxa"/>
            <w:vAlign w:val="bottom"/>
            <w:tcBorders>
              <w:top w:val="single" w:sz="8" w:color="0000EE"/>
            </w:tcBorders>
            <w:gridSpan w:val="12"/>
          </w:tcPr>
          <w:p>
            <w:pPr>
              <w:spacing w:after="0"/>
              <w:rPr>
                <w:sz w:val="17"/>
                <w:szCs w:val="17"/>
                <w:color w:val="auto"/>
              </w:rPr>
            </w:pPr>
          </w:p>
        </w:tc>
        <w:tc>
          <w:tcPr>
            <w:tcW w:w="2780" w:type="dxa"/>
            <w:vAlign w:val="bottom"/>
            <w:gridSpan w:val="4"/>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9.</w:t>
              </w:r>
            </w:hyperlink>
          </w:p>
        </w:tc>
        <w:tc>
          <w:tcPr>
            <w:tcW w:w="520" w:type="dxa"/>
            <w:vAlign w:val="bottom"/>
            <w:gridSpan w:val="3"/>
          </w:tcPr>
          <w:p>
            <w:pPr>
              <w:spacing w:after="0"/>
              <w:rPr>
                <w:sz w:val="17"/>
                <w:szCs w:val="17"/>
                <w:color w:val="auto"/>
              </w:rPr>
            </w:pPr>
          </w:p>
        </w:tc>
        <w:tc>
          <w:tcPr>
            <w:tcW w:w="9240" w:type="dxa"/>
            <w:vAlign w:val="bottom"/>
            <w:gridSpan w:val="2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Changes In and Disagreements With Accountants on Accounting and Financial Disclosure</w:t>
              </w:r>
            </w:hyperlink>
          </w:p>
        </w:tc>
        <w:tc>
          <w:tcPr>
            <w:tcW w:w="114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Item 9A.</w:t>
              </w:r>
            </w:hyperlink>
          </w:p>
        </w:tc>
        <w:tc>
          <w:tcPr>
            <w:tcW w:w="9240" w:type="dxa"/>
            <w:vAlign w:val="bottom"/>
            <w:gridSpan w:val="2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1140" w:type="dxa"/>
            <w:vAlign w:val="bottom"/>
          </w:tcPr>
          <w:p>
            <w:pPr>
              <w:spacing w:after="0"/>
              <w:rPr>
                <w:sz w:val="17"/>
                <w:szCs w:val="17"/>
                <w:color w:val="auto"/>
              </w:rPr>
            </w:pPr>
          </w:p>
        </w:tc>
      </w:tr>
      <w:tr>
        <w:trPr>
          <w:trHeight w:val="196"/>
        </w:trPr>
        <w:tc>
          <w:tcPr>
            <w:tcW w:w="640" w:type="dxa"/>
            <w:vAlign w:val="bottom"/>
            <w:tcBorders>
              <w:top w:val="single" w:sz="8" w:color="0000EE"/>
            </w:tcBorders>
            <w:gridSpan w:val="3"/>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Item 9B.</w:t>
              </w:r>
            </w:hyperlink>
          </w:p>
        </w:tc>
        <w:tc>
          <w:tcPr>
            <w:tcW w:w="400" w:type="dxa"/>
            <w:vAlign w:val="bottom"/>
          </w:tcPr>
          <w:p>
            <w:pPr>
              <w:spacing w:after="0"/>
              <w:rPr>
                <w:sz w:val="17"/>
                <w:szCs w:val="17"/>
                <w:color w:val="auto"/>
              </w:rPr>
            </w:pPr>
          </w:p>
        </w:tc>
        <w:tc>
          <w:tcPr>
            <w:tcW w:w="17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7460" w:type="dxa"/>
            <w:vAlign w:val="bottom"/>
            <w:gridSpan w:val="20"/>
          </w:tcPr>
          <w:p>
            <w:pPr>
              <w:spacing w:after="0"/>
              <w:rPr>
                <w:sz w:val="17"/>
                <w:szCs w:val="17"/>
                <w:color w:val="auto"/>
              </w:rPr>
            </w:pPr>
          </w:p>
        </w:tc>
        <w:tc>
          <w:tcPr>
            <w:tcW w:w="1140" w:type="dxa"/>
            <w:vAlign w:val="bottom"/>
          </w:tcPr>
          <w:p>
            <w:pPr>
              <w:spacing w:after="0"/>
              <w:rPr>
                <w:sz w:val="17"/>
                <w:szCs w:val="17"/>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80" w:type="dxa"/>
            <w:vAlign w:val="bottom"/>
            <w:gridSpan w:val="12"/>
          </w:tcPr>
          <w:p>
            <w:pPr>
              <w:jc w:val="center"/>
              <w:ind w:right="4220"/>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PART III</w:t>
              </w:r>
            </w:hyperlink>
          </w:p>
        </w:tc>
        <w:tc>
          <w:tcPr>
            <w:tcW w:w="1140" w:type="dxa"/>
            <w:vAlign w:val="bottom"/>
          </w:tcPr>
          <w:p>
            <w:pPr>
              <w:spacing w:after="0"/>
              <w:rPr>
                <w:sz w:val="24"/>
                <w:szCs w:val="24"/>
                <w:color w:val="auto"/>
              </w:rPr>
            </w:pPr>
          </w:p>
        </w:tc>
      </w:tr>
      <w:tr>
        <w:trPr>
          <w:trHeight w:val="412"/>
        </w:trPr>
        <w:tc>
          <w:tcPr>
            <w:tcW w:w="1040" w:type="dxa"/>
            <w:vAlign w:val="bottom"/>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10.</w:t>
              </w:r>
            </w:hyperlink>
          </w:p>
        </w:tc>
        <w:tc>
          <w:tcPr>
            <w:tcW w:w="4320" w:type="dxa"/>
            <w:vAlign w:val="bottom"/>
            <w:gridSpan w:val="12"/>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Directors, Executive Officers and Corporate Governance</w:t>
              </w:r>
            </w:hyperlink>
          </w:p>
        </w:tc>
        <w:tc>
          <w:tcPr>
            <w:tcW w:w="700" w:type="dxa"/>
            <w:vAlign w:val="bottom"/>
            <w:tcBorders>
              <w:top w:val="single" w:sz="8" w:color="0000EE"/>
            </w:tcBorders>
            <w:gridSpan w:val="5"/>
          </w:tcPr>
          <w:p>
            <w:pPr>
              <w:spacing w:after="0"/>
              <w:rPr>
                <w:sz w:val="24"/>
                <w:szCs w:val="24"/>
                <w:color w:val="auto"/>
              </w:rPr>
            </w:pPr>
          </w:p>
        </w:tc>
        <w:tc>
          <w:tcPr>
            <w:tcW w:w="4220" w:type="dxa"/>
            <w:vAlign w:val="bottom"/>
            <w:gridSpan w:val="8"/>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11.</w:t>
              </w:r>
            </w:hyperlink>
          </w:p>
        </w:tc>
        <w:tc>
          <w:tcPr>
            <w:tcW w:w="9240" w:type="dxa"/>
            <w:vAlign w:val="bottom"/>
            <w:gridSpan w:val="2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Executive Compensation</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12.</w:t>
              </w:r>
            </w:hyperlink>
          </w:p>
        </w:tc>
        <w:tc>
          <w:tcPr>
            <w:tcW w:w="9240" w:type="dxa"/>
            <w:vAlign w:val="bottom"/>
            <w:gridSpan w:val="2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Security Ownership of Certain Beneficial Owners and Management and Related Stockholder Matters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13.</w:t>
              </w:r>
            </w:hyperlink>
          </w:p>
        </w:tc>
        <w:tc>
          <w:tcPr>
            <w:tcW w:w="924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Certain Relationships and Related Transactions, and Director Independence</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14.</w:t>
              </w:r>
            </w:hyperlink>
          </w:p>
        </w:tc>
        <w:tc>
          <w:tcPr>
            <w:tcW w:w="9240" w:type="dxa"/>
            <w:vAlign w:val="bottom"/>
            <w:gridSpan w:val="2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Principal Accountant Fees and Services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bottom w:val="single" w:sz="8" w:color="0000EE"/>
            </w:tcBorders>
          </w:tcPr>
          <w:p>
            <w:pPr>
              <w:spacing w:after="0"/>
              <w:rPr>
                <w:sz w:val="24"/>
                <w:szCs w:val="24"/>
                <w:color w:val="auto"/>
              </w:rPr>
            </w:pPr>
          </w:p>
        </w:tc>
        <w:tc>
          <w:tcPr>
            <w:tcW w:w="680" w:type="dxa"/>
            <w:vAlign w:val="bottom"/>
            <w:tcBorders>
              <w:bottom w:val="single" w:sz="8" w:color="0000EE"/>
            </w:tcBorders>
            <w:gridSpan w:val="5"/>
          </w:tcPr>
          <w:p>
            <w:pPr>
              <w:jc w:val="center"/>
              <w:spacing w:after="0"/>
              <w:rPr>
                <w:rFonts w:ascii="Arial" w:cs="Arial" w:eastAsia="Arial" w:hAnsi="Arial"/>
                <w:sz w:val="18"/>
                <w:szCs w:val="18"/>
                <w:color w:val="0000EE"/>
                <w:w w:val="97"/>
              </w:rPr>
            </w:pPr>
            <w:hyperlink w:anchor="page60">
              <w:r>
                <w:rPr>
                  <w:rFonts w:ascii="Arial" w:cs="Arial" w:eastAsia="Arial" w:hAnsi="Arial"/>
                  <w:sz w:val="18"/>
                  <w:szCs w:val="18"/>
                  <w:color w:val="0000EE"/>
                  <w:w w:val="97"/>
                </w:rPr>
                <w:t>PART IV</w:t>
              </w:r>
            </w:hyperlink>
          </w:p>
        </w:tc>
        <w:tc>
          <w:tcPr>
            <w:tcW w:w="420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r>
      <w:tr>
        <w:trPr>
          <w:trHeight w:val="412"/>
        </w:trPr>
        <w:tc>
          <w:tcPr>
            <w:tcW w:w="1040" w:type="dxa"/>
            <w:vAlign w:val="bottom"/>
            <w:gridSpan w:val="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15.</w:t>
              </w:r>
            </w:hyperlink>
          </w:p>
        </w:tc>
        <w:tc>
          <w:tcPr>
            <w:tcW w:w="9240" w:type="dxa"/>
            <w:vAlign w:val="bottom"/>
            <w:gridSpan w:val="2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Exhibits, Financial Statement Schedules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676"/>
        </w:trPr>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3" w:name="page4"/>
    <w:bookmarkEnd w:id="3"/>
    <w:p>
      <w:pPr>
        <w:ind w:left="5740"/>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 For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2014 and into 2015, our company continues to be focused on four key operational areas: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pharmaceutical brands and budgets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physician utilization in our current EHR Network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our promotional network in other EHRs and platforms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infrastructure and resources to fully support and exploit each of the above three.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Per Per this focus, we were able to demonstrate success in each during 2014 through:</w:t>
      </w:r>
    </w:p>
    <w:p>
      <w:pPr>
        <w:spacing w:after="0" w:line="22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sales of approximately 39% over 2013.</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promotional transactions of approximately 26% over those in 2013.</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distributed eCoupons related to approximately 80 different brands.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operating income of approximately $400,000, excluding non-cash expenses,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successfully launching our SampleMD e-coupon solution within Quest Diagnostics’ Care360 EMR and eHealthline networks.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acquisition of new pharmaceutical manufacturers and brands promoting through our platforms.</w:t>
      </w:r>
    </w:p>
    <w:p>
      <w:pPr>
        <w:spacing w:after="0" w:line="225"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hiring of key senior level personnel, including a highly experienced financial executive as CFO and a former global marketing director from AstraZeneca to lead east coast sales, while expanded our Board of Directors with seasoned executives.</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 of $10 million dollars in new capital to exercise the negotiated buyout of Vicis, which netted out an additional $2.8 million dollars to us, and a reduction of approximately 7 million in potential fully diluted shares.</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 and launch of the SampleMD 2.0 technology platform to support growth and are upgrading to Oracle database software to further improve system and reporting capacity.</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and proving an outstanding Return on Investment associated with our pharmaceutical promotions through three independent analytics firms involving multiple pharmaceutical brands and manufacturers.</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unveiling VoucherDVM and engaged leading platforms to offer automated vet product savings. The company has formalized an agreement with National Veterinary Associates, a leading national hospital network, to beta launch in second quarter of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generated positive cash flow from operations in 2014, excluding working capital fluctuations, and we expect to continue to do so in 2015, as well as to be profitable during the upcoming year based on the expected escalation of revenues.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success in acquiring, integrating and expanding into new promotional EHR/eRx platforms continues to grow as well. We are in the process of completing the initial rollout of brands into the Practice Fusion network, as well as discussing 2015 rollout dates with other potential networks.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fourth quarter of 2014, we signed an agreement with Practice Fusion, the largest cloud-based electronic health records (EHR) platform, to integrate and automate our patient savings and support system to enable Practice Fusion prescribers to more efficiently help patients better afford and adhere to their prescribed medications. Practice Fusion’s EHR is used by a community of more than 112,000 active medical professionals monthly with over 91 million patient records and should have a significant impact on our prescribing reach and sales once live. We anticipate that the integration will be completed early in the second quarter of 2015.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enforcing our agreements to integrate our promotions within LDM/PDR’s network of over 100,000 physicians and work collectively to integrate into NextGen. This delay in implementation of agreed terms has resulted in significant loss of revenue and profits to OptimizeRx. Thus we are aggressively seeking multiple strategies, including legal, to address and resolve this.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March 2015, we signed an agreement with HCA Information Technology &amp; Services, Inc.to pilot our eCoupon promotional system within their network.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HCA is the largest hospital system in the nation.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also signed our first agreement with National Veterinary Associates (NVA), one of the largest veterinary hospital systems in the nation.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Pharmaceutical Sales and Marketing Updates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sales team continues to expand opportunities within existing and new clients. We are focused on adding additional brands at existing clients, expanding the utilization of our network for existing brands, and obtaining new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are expanding our non e-Coupon services as follows: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focus on our New Drug File Integration.</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begin a test rollout of our demand drug rep and sample request with two Urology EHR platforms to provide immediate access to assigned drug reps. Drug rep access via cold calling has become a very inefficient way to support and market to physician offices. This provides a novel, potentially ground breaking new way to increase access and meaningful support by reps in a more efficient, effective manner.</w:t>
      </w:r>
    </w:p>
    <w:p>
      <w:pPr>
        <w:spacing w:after="0" w:line="165"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ePrescribe Training – we have multiple opportunities pending to leverage our partnership with WPP/Grey to train representatives on understanding and leveraging EHR sales opportunities.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VoucherDVM - we continue to advance our negotiations with each of the leading veterinarian technology platforms and have signed an agreement with National Veterinary Associates, one of the largest veterinary groups in the U.S., to initiate a beta launch within the second quarter of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are also continuing to ramp up our marketing efforts as follows: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Held multiple meetings generated through Pharma to bring on new Health Systems/ePrescribe Platforms.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Spoke at Coupon and Co-Pay Off-set Strategies Conference.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Spoke at the Noble Financial Capital Markets Eleventh Annual Equity Conference at Club Med.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Sponsored the 2nd Annual ePrescribe/EHR Conference.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Developed and distributed a White Paper to demonstrate the eCoupon ROI to Pharmaceutical Manufacturers.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our partnership with Grey Healthcare, rebranded our promotional marketing items, including new brochures, presentations, and digital media.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substantially over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Update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generated positive cash flow from operations, when ignoring working capital fluctuations, of approximately $400,000 in 2014 as set forth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w w:val="91"/>
              </w:rPr>
              <w:t>Years Ended December 31</w:t>
            </w:r>
          </w:p>
        </w:tc>
        <w:tc>
          <w:tcPr>
            <w:tcW w:w="0" w:type="dxa"/>
            <w:vAlign w:val="bottom"/>
          </w:tcPr>
          <w:p>
            <w:pPr>
              <w:spacing w:after="0"/>
              <w:rPr>
                <w:sz w:val="1"/>
                <w:szCs w:val="1"/>
                <w:color w:val="auto"/>
              </w:rPr>
            </w:pPr>
          </w:p>
        </w:tc>
      </w:tr>
      <w:tr>
        <w:trPr>
          <w:trHeight w:val="237"/>
        </w:trPr>
        <w:tc>
          <w:tcPr>
            <w:tcW w:w="6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414"/>
        </w:trPr>
        <w:tc>
          <w:tcPr>
            <w:tcW w:w="644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2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6,502,962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4,679,741</w:t>
            </w: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Arial" w:cs="Arial" w:eastAsia="Arial" w:hAnsi="Arial"/>
                <w:sz w:val="18"/>
                <w:szCs w:val="18"/>
                <w:b w:val="1"/>
                <w:bCs w:val="1"/>
                <w:color w:val="auto"/>
              </w:rPr>
              <w:t>Revenue Share Expense</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3,221,534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1,861,316</w:t>
            </w:r>
          </w:p>
        </w:tc>
        <w:tc>
          <w:tcPr>
            <w:tcW w:w="0" w:type="dxa"/>
            <w:vAlign w:val="bottom"/>
          </w:tcPr>
          <w:p>
            <w:pPr>
              <w:spacing w:after="0"/>
              <w:rPr>
                <w:sz w:val="1"/>
                <w:szCs w:val="1"/>
                <w:color w:val="auto"/>
              </w:rPr>
            </w:pPr>
          </w:p>
        </w:tc>
      </w:tr>
      <w:tr>
        <w:trPr>
          <w:trHeight w:val="27"/>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44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3,281,428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2,818,425</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4"/>
        </w:trPr>
        <w:tc>
          <w:tcPr>
            <w:tcW w:w="64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4,307,756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3,085,961</w:t>
            </w: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Arial" w:cs="Arial" w:eastAsia="Arial" w:hAnsi="Arial"/>
                <w:sz w:val="18"/>
                <w:szCs w:val="18"/>
                <w:b w:val="1"/>
                <w:bCs w:val="1"/>
                <w:color w:val="auto"/>
              </w:rPr>
              <w:t>Less Noncash operating expenses</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1,439,877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717,173</w:t>
            </w:r>
          </w:p>
        </w:tc>
        <w:tc>
          <w:tcPr>
            <w:tcW w:w="0" w:type="dxa"/>
            <w:vAlign w:val="bottom"/>
          </w:tcPr>
          <w:p>
            <w:pPr>
              <w:spacing w:after="0"/>
              <w:rPr>
                <w:sz w:val="1"/>
                <w:szCs w:val="1"/>
                <w:color w:val="auto"/>
              </w:rPr>
            </w:pPr>
          </w:p>
        </w:tc>
      </w:tr>
      <w:tr>
        <w:trPr>
          <w:trHeight w:val="27"/>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Cash operating Expenses</w:t>
            </w:r>
          </w:p>
        </w:tc>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44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2,867,879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2,368,788</w:t>
            </w:r>
          </w:p>
        </w:tc>
        <w:tc>
          <w:tcPr>
            <w:tcW w:w="0" w:type="dxa"/>
            <w:vAlign w:val="bottom"/>
          </w:tcPr>
          <w:p>
            <w:pPr>
              <w:spacing w:after="0"/>
              <w:rPr>
                <w:sz w:val="1"/>
                <w:szCs w:val="1"/>
                <w:color w:val="auto"/>
              </w:rPr>
            </w:pPr>
          </w:p>
        </w:tc>
      </w:tr>
      <w:tr>
        <w:trPr>
          <w:trHeight w:val="27"/>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Income from Operations excluding noncash expenses</w:t>
            </w:r>
          </w:p>
        </w:tc>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2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413,549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449,637</w:t>
            </w:r>
          </w:p>
        </w:tc>
        <w:tc>
          <w:tcPr>
            <w:tcW w:w="0" w:type="dxa"/>
            <w:vAlign w:val="bottom"/>
          </w:tcPr>
          <w:p>
            <w:pPr>
              <w:spacing w:after="0"/>
              <w:rPr>
                <w:sz w:val="1"/>
                <w:szCs w:val="1"/>
                <w:color w:val="auto"/>
              </w:rPr>
            </w:pPr>
          </w:p>
        </w:tc>
      </w:tr>
      <w:tr>
        <w:trPr>
          <w:trHeight w:val="21"/>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Operational Update</w:t>
            </w:r>
          </w:p>
        </w:tc>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44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2015, we are intensively focused on increasing physician utilization of our partner networks. Prior to the launch of the Practice Fusion network, the total reach of our partner networks was approximately 300,000 providers. However, only approximately 100,000 providers have access to eCoupon functionality. Approximately 65,000 providers have used our eCoupon functionality at least once, but only approximately 20,000 providers actually use the networks regularly at the present time. We are working individually with each of our partners based on their particular situation to improve workflow to increase coupon utilization by those providers that have access, obtain access for those providers that currently do not have e-coupon access, and increase overall revenue derived from each channel. We believe there is significant revenue growth available within our existing brands by better utilization of our existing partner networks in addition to the revenue growth provided by new brands and new network partners.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572"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Technology Updates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support our growth, we have completed the development and migration of SampleMD 2.0’s on-demand, rule based content delivery platform. The system can now manage up to 1 million rules and return the appropriate content within 1 second. This allows unsurpassed response time to avoid delays, and the ability to meet the upcoming dramatic scale we expect.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launched downloadable “wrapper” code, which streamlines the integration requirements for our solution from a few weeks to a few days, if EHR channel partners choose to utilize this method. This addresses one of the biggest hurdles we face in getting health systems and EHRs to implement our system, given the extensive demand on their available technical resources.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top of building out our updated software solution, we also updated our infrastructure by replacing and updating our computers in a high availability environment, taking greater precautions for security and building out the architecture to facilitate disaster recovery with a secondary facilitated computer environment. We believe this technology investment will increase performance, simplify integrations, insure availability and protect the investments of our shareholders. We will also be migrating our platform to Oracle database software to support our anticipated growth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Events in 2014</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2014, we also successfully completed a $10 million capital raise and exercised the option to redeem Vicis Capital Master Fund’s holdings in our company. By successfully executing these initiatives we reduced potential fully diluted shares by approximately 7 million and provided an additional $2.8 million in working capital to support our growth and eliminate dividend payments and other unfavorable provisions of Vicis’ preferred stock.</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added two new outside members to our Board of Directors. Gus Halas has an extensive operating background at a variety of companies across a wide range of industries. He brings broad based business and investor perspectives to our senior leadership and is a real asset to us as we hone our strategy and further position ourselves for growth acceleration. Dr. Jack Pinney brings broad based medical knowledge and extensive experience in physician practice and an important user perspective to our Board of Directors and works with us to better understand how we can help more healthcare providers utilize our automated access to needed information and support for their practice and patients.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expanded our senior leadership team by adding Ed Berger, a former AstraZenica global marketing director with extensive contacts throughout the pharmaceutical industry to lead our sales efforts on the east coast. We also added Doug Baker as our Chief Financial Officer, a certified public accountant with extensive financial experience with public companies.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2014, we settled litigation related to a patent infringement case with Physicians Interactive Holdings, Inc. and Skyscape.com. All actions and claims have been released. We believe this settlement will reduce legal expenses moving forward.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lengthy sales cycle involved in creating this new e-coupon market, we remain very excited about our core e-coupon business and expect acceleration to continue with the launch of additional channels and our joint pursuit of leading health systems with our pharmaceutical partners. We expect our active network to grow substantially in 2015 and feel confident our active users will double by the end of the second quarter of 2015 based on anticipated contractual and platform commitments being implemented.</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also pleased with the status of our current discussions with, and the value recognized by, leading veterinary platform providers that are interested in partnering to deliver similar automated savings to animal owners—while allowing veterinarians to remain competitive in their pharmacy business. These discussions are leading to expanded ways we can offer savings directly to veterinarians—as well as to their pet owners outside of the vet clinics.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7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SampleMD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SampleMD eliminates the need for physicians to manage and store physical drug samples by offering a more convenient and efficient way to allocate, administer and track samples and co-pay savings provided to their patients.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Over 90% of our revenue comes through activities related to our SampleMD platform.</w:t>
      </w:r>
    </w:p>
    <w:p>
      <w:pPr>
        <w:spacing w:after="0" w:line="177" w:lineRule="exact"/>
        <w:rPr>
          <w:rFonts w:ascii="Arial" w:cs="Arial" w:eastAsia="Arial" w:hAnsi="Arial"/>
          <w:sz w:val="17"/>
          <w:szCs w:val="17"/>
          <w:color w:val="auto"/>
        </w:rPr>
      </w:pPr>
    </w:p>
    <w:p>
      <w:pPr>
        <w:jc w:val="both"/>
        <w:ind w:left="660" w:hanging="328"/>
        <w:spacing w:after="0" w:line="29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OPTIMIZEHR – Our consulting practice focused on educating and working with pharmaceutical manufacturers on identifying, formulating, and implementing new eRx media strategies for promoting their products. Our consulting services include: 1) Drug File Integration - a service to insure that the manufacturer’s drug is present in every ePrescribing platform available; 2) Sales Force Training – a service to educate the extended field sales force on this new integrated solution and what to look for within their client base to insure maximum exposure of their bands; and 3) Strategy Development – a service that assists manufactures in identifying and building a competitive strategy to take advantage of this new digital frontier. Currently, this activity results in less than 10% of our revenue, but we believe this represents a significant growth opportunity for us.</w:t>
      </w:r>
    </w:p>
    <w:p>
      <w:pPr>
        <w:spacing w:after="0" w:line="164"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 At the present time, we generate no revenue through this site, but we believe it represents a significant potential future revenue source.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extend our marketing efforts to build both brand and capabilities awareness in the market. As previously discussed, we continue to actively participate in industry and partner events such as exlPharma and the ACE – Allscripts Users Conference as well as taking a lead sponsor position in the CBInet eRx and EHR conferences in March and October of 2014. We are also a cosponsor of the March 2015 conference. During the course of the year, we also initiated and delivered successful email marketing campaigns, which generated viable leads for our sales force.</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2013, we also announced our strategic partnership with WPP/Grey Health Group, a leading agency within the healthcare marketplace. We plan to continue to increase our marketing efforts with all of our strategic partners, as we intend to continue to promote SampleMD and OPTIMIZERx primarily through the following:</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Additionally, in 2014, we hired a highly seasoned Sales and Marketing Executive, who has decades of global pharmaceutical marketing and sales experience at AstraZeneca and elsewhere, as our Eastern Vice President of Sales. We continue to be alert for qualified sales personnel and will expand our sales force as revenues continue to grow.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SampleMD platform competes in the highly competitive pharmaceutical and healthcare advertising industry that is dominated by large well-known companies with established names, solid market niches, wide arrays of product offerings and marketing networks. Coupon offerings compete for pharmaceutical budgets with a variety of other forms of advertising and promotion.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Despite these overall competitors, we do not have major competition in our space of the market. We have been experiencing a growing list of potential partners whom either have content that want to deliver through the SampleMD engine and network, or whom have complementary technology and want to integrate our solution as a channel partner, expanding our reach to clinicians. The primary competitors in our space of the market are PDR Network, LLC and Physicians Interactive Holdings, Inc. However, we believe our breadth of brands offered, extensive list of pharmaceutical clients, and the vast reach of our network give us a substantial advantage and allows us to achieve a dominant position in the marketplace.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2012, we were awarded a patent for our innovative SampleMD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 We have also submitted and will be preparing additional filings to protect our intellectual property on forthcoming solutions that will further assist and support physicians, pharmacists and patients.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have hired Harness, Dickey &amp; Pierce, a nationally ranked IP firm, to further expand and protect our intellectual property. Through them, we have filed two additional patents on our technology. We believe our current and expanding IP will allow us to continue being the leader in this rapidly growing space.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OPTIMIZERx and SampleMD are both licensed trademarks of ours.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we had 12 full time employees and 1 part time employee, in addition to contracted programmers, as needed, through our established relationship with Simple eSolutions, a technical and programming resources partner. Additionally, we have one contracted business development individual targeting new EMR channel and pharma clients.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Business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have historically experienced losses, if we are unable to achieve profitability, our financial condition and company could suffer.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inception of our business we have historically incurred losses. While we have increased revenues significantly, we have not yet been able to achieve profitability due to significant investments in our growth.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We believe that we will be able to attract competent employees, but no assurance can be given that we will be successful in this regard. If we are unable to engage and retain the necessary personnel, our business may be materially and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work with many leading pharmaceutical companies, including Pfizer, Eli Lilly, Auxilium, Actavis, AstraZeneca, Alcon, Daichi Sankyo, Shire, Activis, and others. Our failure to retain existing customers or expand with new customers could negatively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revenues are concentrated in approximately 25 customers, primarily large pharmaceutical manufacturers and large advertising agencies. Approximately 64% of our revenue came from our largest five customers. Loss of one or more of these customers could have a significant negative impact on our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Dr. First, Quest Diagnostics, and others. We will need to maintain these relationships as well as diversify them. The inability to do so could adversely impact our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agreements with electronic prescription platforms are subject to audit, which could subject us to additional costs that might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electronic prescription platform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completed the development and migration of SampleMD 2.0’s on-demand, rule based content delivery platform. The system can now manage up to 1 million rules and return the appropriate content within 1 second. This allows unsurpassed response time to avoid delays, and the ability to meet the upcoming dramatic scale we expect. Despite the launch of Sample MD 2.0,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 to the labyrinth of regulations in healthcare space, state and federal, as well as political sensitivity of healthcare delivery our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9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5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 and</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decrease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are embroiled in various lawsuits from time to time with uncertain consequences, the outcome of potential judgments may negatively affect our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involved in litigation and other disputes, as described in Item 3 of this report. As we continue to grow, we can expect to have to deal with lawsuits that affect our business. Lawsuits are uncertain and involve a substantial degree of risk. If we are unable to successfully prosecute or defend these actions, our financial condition and results of operations could suffer.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changing regulation of corporate governance and public disclosure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and administrative costs and a diversion of management time and attention from revenue generating and other business activities to compliance activities.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are subject to the “Penny Stock” rules, the level of trading activity in our stock may be reduced.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Currently, we do not own any real estate. Our principal executive offices are located at 400 Water Street, Suite 200, Rochester, Michigan, 48307. We initially entered into a 3 year lease for this 2,886 square foot facility, with a cost of $5,049.25 per month. We renewed that lease for a two year period on December 1, 2014 for a monthly rental rate of $5,201.50.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2014, we initial litigation against Shadron Stastney, our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unconditionally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2015, we initiated litigation against LDM Group, LLC and PDR Network, LLC in the United States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approximates $900,000, as well as damages for lost income and business value as a result of LDM’s breach of the agreement.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United States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approximates $900,000, as well as damages for lost income and business value as a result of PDR’s actions.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early 2014, Mr. Milton Wilpon (“Mr. Wilpon”) of New Jersey claimed to have obtained a default judgment for approximately $929,000 in the New Jersey Superior Court, Essex County (the “Judgment”) against a predecessor of ours and was seeking to amend the Judgment to add us as a judgment debtor. We appeared in the action and filed a motion to vacate the Judgment on several grounds. , In September 2014, the Court granted our motion and vacated the Judgment in its entirety and dismissed the action.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in December 2014, we were served with a copy of a Demand for Arbitration filed by Mr. Wilpon relating to his claims under the Settlement Agreement. On February 24, 2015, we filed an appearance with the AAA objecting to the arbitration on several grounds, including (1) that claims arose in 2001 and are barred by the applicable statute of limitations; (2) plaintiff did not properly serve and file the demand for arbitration and (3) plaintiff has not followed the proper procedure for the appointment of an arbitrator as provided by the Settlement Agreement. We will continue to vigorously oppose Mr. Wilpon’s claims.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8800" w:type="dxa"/>
            <w:vAlign w:val="bottom"/>
            <w:tcBorders>
              <w:top w:val="single" w:sz="8" w:color="auto"/>
            </w:tcBorders>
            <w:gridSpan w:val="2"/>
          </w:tcPr>
          <w:p>
            <w:pPr>
              <w:ind w:left="3800"/>
              <w:spacing w:after="0"/>
              <w:rPr>
                <w:sz w:val="20"/>
                <w:szCs w:val="20"/>
                <w:color w:val="auto"/>
              </w:rPr>
            </w:pPr>
            <w:r>
              <w:rPr>
                <w:rFonts w:ascii="Arial" w:cs="Arial" w:eastAsia="Arial" w:hAnsi="Arial"/>
                <w:sz w:val="18"/>
                <w:szCs w:val="18"/>
                <w:color w:val="auto"/>
              </w:rPr>
              <w:t>Quarter Ended</w:t>
            </w: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High $</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Low $</w:t>
            </w:r>
          </w:p>
        </w:tc>
      </w:tr>
      <w:tr>
        <w:trPr>
          <w:trHeight w:val="202"/>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December 31, 2013</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0.91</w:t>
            </w:r>
          </w:p>
        </w:tc>
        <w:tc>
          <w:tcPr>
            <w:tcW w:w="100" w:type="dxa"/>
            <w:vAlign w:val="bottom"/>
          </w:tcPr>
          <w:p>
            <w:pPr>
              <w:spacing w:after="0"/>
              <w:rPr>
                <w:sz w:val="17"/>
                <w:szCs w:val="17"/>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September 30, 2013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June 30, 2013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March 31, 2013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r>
      <w:tr>
        <w:trPr>
          <w:trHeight w:val="466"/>
        </w:trPr>
        <w:tc>
          <w:tcPr>
            <w:tcW w:w="20" w:type="dxa"/>
            <w:vAlign w:val="bottom"/>
          </w:tcPr>
          <w:p>
            <w:pPr>
              <w:spacing w:after="0"/>
              <w:rPr>
                <w:sz w:val="24"/>
                <w:szCs w:val="24"/>
                <w:color w:val="auto"/>
              </w:rPr>
            </w:pPr>
          </w:p>
        </w:tc>
        <w:tc>
          <w:tcPr>
            <w:tcW w:w="8800" w:type="dxa"/>
            <w:vAlign w:val="bottom"/>
            <w:tcBorders>
              <w:bottom w:val="single" w:sz="8" w:color="auto"/>
            </w:tcBorders>
            <w:gridSpan w:val="2"/>
          </w:tcPr>
          <w:p>
            <w:pPr>
              <w:ind w:left="4280"/>
              <w:spacing w:after="0"/>
              <w:rPr>
                <w:sz w:val="20"/>
                <w:szCs w:val="20"/>
                <w:color w:val="auto"/>
              </w:rPr>
            </w:pPr>
            <w:r>
              <w:rPr>
                <w:rFonts w:ascii="Arial" w:cs="Arial" w:eastAsia="Arial" w:hAnsi="Arial"/>
                <w:sz w:val="18"/>
                <w:szCs w:val="18"/>
                <w:color w:val="auto"/>
              </w:rPr>
              <w:t>Fiscal Year Ending December 31, 2014</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8800" w:type="dxa"/>
            <w:vAlign w:val="bottom"/>
            <w:gridSpan w:val="2"/>
          </w:tcPr>
          <w:p>
            <w:pPr>
              <w:ind w:left="3800"/>
              <w:spacing w:after="0"/>
              <w:rPr>
                <w:sz w:val="20"/>
                <w:szCs w:val="20"/>
                <w:color w:val="auto"/>
              </w:rPr>
            </w:pPr>
            <w:r>
              <w:rPr>
                <w:rFonts w:ascii="Arial" w:cs="Arial" w:eastAsia="Arial" w:hAnsi="Arial"/>
                <w:sz w:val="18"/>
                <w:szCs w:val="18"/>
                <w:color w:val="auto"/>
              </w:rPr>
              <w:t>Quarter Ended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High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Low $</w:t>
            </w:r>
          </w:p>
        </w:tc>
      </w:tr>
      <w:tr>
        <w:trPr>
          <w:trHeight w:val="202"/>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December 31, 2014</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0.80</w:t>
            </w:r>
          </w:p>
        </w:tc>
        <w:tc>
          <w:tcPr>
            <w:tcW w:w="100" w:type="dxa"/>
            <w:vAlign w:val="bottom"/>
          </w:tcPr>
          <w:p>
            <w:pPr>
              <w:spacing w:after="0"/>
              <w:rPr>
                <w:sz w:val="17"/>
                <w:szCs w:val="17"/>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September 30, 2014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June 30, 2014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March 31, 2014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Quarter Ended March 31, 2015 (through March 20, 2015)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On March 20, 2015, the last sales price per share of our common stock was $1.36.</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20, 2015, we had 22,912,319 shares of our common stock issued and outstanding, held by 326 shareholders of record at our transfer agent, with approximately 1,000 additional shareholders holding our shares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Plan, we may issue up to an aggregate total of 1,500,000 incentive or non-qualified options to purchase our common stock or stock awards.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Equity Compensation Plans as of December 31, 2014</w:t>
            </w:r>
          </w:p>
        </w:tc>
        <w:tc>
          <w:tcPr>
            <w:tcW w:w="2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58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5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5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available</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94"/>
              </w:rPr>
              <w:t>Number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for future</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50"/>
              <w:spacing w:after="0"/>
              <w:rPr>
                <w:sz w:val="20"/>
                <w:szCs w:val="20"/>
                <w:color w:val="auto"/>
              </w:rPr>
            </w:pPr>
            <w:r>
              <w:rPr>
                <w:rFonts w:ascii="Arial" w:cs="Arial" w:eastAsia="Arial" w:hAnsi="Arial"/>
                <w:sz w:val="18"/>
                <w:szCs w:val="18"/>
                <w:b w:val="1"/>
                <w:bCs w:val="1"/>
                <w:color w:val="auto"/>
                <w:w w:val="87"/>
              </w:rPr>
              <w:t>of Securities to</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84"/>
              </w:rPr>
              <w:t>be issued upon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under</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83"/>
              </w:rPr>
              <w:t>exercise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equity</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50"/>
              <w:spacing w:after="0"/>
              <w:rPr>
                <w:sz w:val="20"/>
                <w:szCs w:val="20"/>
                <w:color w:val="auto"/>
              </w:rPr>
            </w:pPr>
            <w:r>
              <w:rPr>
                <w:rFonts w:ascii="Arial" w:cs="Arial" w:eastAsia="Arial" w:hAnsi="Arial"/>
                <w:sz w:val="18"/>
                <w:szCs w:val="18"/>
                <w:b w:val="1"/>
                <w:bCs w:val="1"/>
                <w:color w:val="auto"/>
                <w:w w:val="87"/>
              </w:rPr>
              <w:t>of outstanding</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86"/>
              </w:rPr>
              <w:t>compensation</w:t>
            </w:r>
          </w:p>
        </w:tc>
      </w:tr>
      <w:tr>
        <w:trPr>
          <w:trHeight w:val="234"/>
        </w:trPr>
        <w:tc>
          <w:tcPr>
            <w:tcW w:w="5840" w:type="dxa"/>
            <w:vAlign w:val="bottom"/>
          </w:tcPr>
          <w:p>
            <w:pPr>
              <w:ind w:left="3100"/>
              <w:spacing w:after="0"/>
              <w:rPr>
                <w:sz w:val="20"/>
                <w:szCs w:val="20"/>
                <w:color w:val="auto"/>
              </w:rPr>
            </w:pPr>
            <w:r>
              <w:rPr>
                <w:rFonts w:ascii="Arial" w:cs="Arial" w:eastAsia="Arial" w:hAnsi="Arial"/>
                <w:sz w:val="18"/>
                <w:szCs w:val="18"/>
                <w:b w:val="1"/>
                <w:bCs w:val="1"/>
                <w:color w:val="auto"/>
              </w:rPr>
              <w:t>Plan Category</w:t>
            </w: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86"/>
              </w:rPr>
              <w:t>options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4"/>
              </w:rPr>
              <w:t>plans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6393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3931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Plan approved by shareholders (2013 Equity Compensation Plan)</w:t>
      </w:r>
    </w:p>
    <w:p>
      <w:pPr>
        <w:spacing w:after="0" w:line="36"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Plan not approved by shareholders (Other Equity Compensation (includes options and warrants)) 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(c)</w:t>
            </w:r>
          </w:p>
        </w:tc>
        <w:tc>
          <w:tcPr>
            <w:tcW w:w="20" w:type="dxa"/>
            <w:vAlign w:val="bottom"/>
          </w:tcPr>
          <w:p>
            <w:pPr>
              <w:spacing w:after="0"/>
              <w:rPr>
                <w:sz w:val="20"/>
                <w:szCs w:val="20"/>
                <w:color w:val="auto"/>
              </w:rPr>
            </w:pPr>
          </w:p>
        </w:tc>
      </w:tr>
      <w:tr>
        <w:trPr>
          <w:trHeight w:val="229"/>
        </w:trPr>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552,500</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410,000</w:t>
            </w:r>
          </w:p>
        </w:tc>
        <w:tc>
          <w:tcPr>
            <w:tcW w:w="2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2,609,139</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3,161,639</w:t>
            </w:r>
          </w:p>
        </w:tc>
        <w:tc>
          <w:tcPr>
            <w:tcW w:w="2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410,000</w:t>
            </w:r>
          </w:p>
        </w:tc>
      </w:tr>
      <w:tr>
        <w:trPr>
          <w:trHeight w:val="21"/>
        </w:trPr>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000" w:space="440"/>
            <w:col w:w="3980"/>
          </w:cols>
          <w:pgMar w:left="240" w:top="877"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below relates to our issuances of securities without registration under the Securities Act of 1933 during the reporting period which were not previously included in a Quarterly Report on Form 10-Q or Current Report on Form 8-K.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we issued 12,500 shares of restricted common stock to our outside Directors as part of our director compensation package for services rendered in the fourth quarter of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2015, we signed a capital markets advisory agreement whereby we agreed to issue 90,000 shares of common stock in two increments as payment for the advisory services. The first 45,000 shares were issued in March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 for the Years Ended December 31, 2014 and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total revenue reported for the year ended December 31, 2014 was approximately $6.5 million, an increase of 39% from the year ended December 31, 2013. This increased revenue resulted from increases in all major revenue categories including setup fees, reporting fees, and eCoupon distributions and resulted from both increased pharmaceutical brands being promoted and expanded distribution channels. We expect continued revenue increases in 2015.</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Because the pharmaceutical industry is dominated by large companies with multiple brands, our revenue is concentrated in a relatively small number of companies. We have approximately 25 pharmaceutical companies as customers and we received approximately 64% of our revenue in the year ended December 31, 2014 from our largest 5 customers, with approximately 20% of revenue from our largest customer. During the year ended December 31, 2013, approximately 75% of revenue came from our 5 largest customers, with 36% from our largest customer. While we are still dependent on major customers, as our customer base expands, we are becoming less dependent on any one customer.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 of sales, composed of revenue share expense, increased in the year ended December 31, 2014, over the year ended December 31, 2013 as a result of the revenue increases. In addition, revenue share expense as a percentage of revenue in 2014 increased over 2013 from approximately 40% in the year ended December 31, 2013 to approximately 50% in the year ended December 31, 2014.</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increases in revenue share expense as a percentage of revenue result from a combination of factors, including product mix whereby a larger percentage of overall revenues are subject to revenue share, the LDM settlement agreement, which resulted in increased revenue share payments, and increased distributions at channel partners with financial incentives to increase distributions that result in higher payments per distribution. We expect revenue share expense as a percentage of revenue in 2015 to continue at levels similar to, or greater than, that of 2014 as revenues subject to revenue share expense continues to increase as a percentage of our overall revenues, and as a result of the LDM agreement being in effect for all of 2015, compared with only 10 months of 2014.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increased to approximately $4.3 million for the year ended December 31, 2014 from approximately $3.1 million for the year ended December 31, 2013, an increase of approximately 40%. The detail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2"/>
              </w:rPr>
              <w:t>Years Ended December 31</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3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1,477,450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1,320,065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Professional Fees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242,169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426,426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Board Compensation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19,565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Investor Relations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110,998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126,399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Consultants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72,487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100,077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87,201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47,105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264,340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193,791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189,566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81,264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140,101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123,892</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0"/>
                <w:szCs w:val="20"/>
                <w:color w:val="auto"/>
              </w:rPr>
            </w:pPr>
            <w:r>
              <w:rPr>
                <w:rFonts w:ascii="Arial" w:cs="Arial" w:eastAsia="Arial" w:hAnsi="Arial"/>
                <w:sz w:val="18"/>
                <w:szCs w:val="18"/>
                <w:color w:val="auto"/>
              </w:rPr>
              <w:t>Travel</w:t>
            </w:r>
          </w:p>
        </w:tc>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131,637</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143,560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540" w:type="dxa"/>
            <w:vAlign w:val="bottom"/>
          </w:tcPr>
          <w:p>
            <w:pPr>
              <w:ind w:left="180"/>
              <w:spacing w:after="0"/>
              <w:rPr>
                <w:sz w:val="20"/>
                <w:szCs w:val="20"/>
                <w:color w:val="auto"/>
              </w:rPr>
            </w:pPr>
            <w:r>
              <w:rPr>
                <w:rFonts w:ascii="Arial" w:cs="Arial" w:eastAsia="Arial" w:hAnsi="Arial"/>
                <w:sz w:val="18"/>
                <w:szCs w:val="18"/>
                <w:color w:val="auto"/>
              </w:rPr>
              <w:t>Subtotal</w:t>
            </w: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2,735,514</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2,562,579</w:t>
            </w: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1,172,242</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523.382</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0"/>
                <w:szCs w:val="20"/>
                <w:color w:val="auto"/>
              </w:rPr>
            </w:pPr>
            <w:r>
              <w:rPr>
                <w:rFonts w:ascii="Arial" w:cs="Arial" w:eastAsia="Arial" w:hAnsi="Arial"/>
                <w:sz w:val="18"/>
                <w:szCs w:val="18"/>
                <w:color w:val="auto"/>
              </w:rPr>
              <w:t>Lawsuit settlement</w:t>
            </w:r>
          </w:p>
        </w:tc>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4,307,756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3,085,961</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main reasons for the increase in operating expenses in 2014 are stock-based compensation, and the lawsuit settlement, which resulted in a $400,000 payment to the plaintiff. Ignoring those items, operating expenses only increased approximately 7% compared with a revenue increase of approximately 40%. The lawsuit settlement is a one-time expense that is not expected to recur, although as discussed above, it affects revenue share expense on an ongoing basis. Stock based compensation expense increased significantly as a result of stock grants to two executive officers and option grants to new and existing employees. We expect that stock compensation expenses will be significantly reduced in 2015 as there are no stock grants scheduled, aside from some remaining shares that will come due in 2015 to our new directors under our Director Compensation Plan, and amortization of the stock granted to the previous CEO has been completed.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the remaining operating expenses, there were a variety of increases, some of which were offset by savings in other areas. Salaries, wages and benefits increased as a result of additional staff. Professional fees decreased primarily as a result of the resolution of litigation in 2014, resulting in lower legal fees. Advertising and promotion increased as a result of our sponsorship of eCoupon conferences. Development and Maintenance increased as a result of expansion of our system capacity and capabilities.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finished the year ended December 31, 2014 with a loss of approximately $1.0 million, as compared to a loss of approximately $0.25 million during the year ended December 31, 2013. The reasons for specific components are discussed above. Overall, the increase in revenue and resulting gross margin was offset by increased operating expenses, however the majority of those increases were in non-recurring or non-cash items. The lawsuit settlement with LDM accounted for $400,000 of the increased loss. In addition, the 2014 loss included noncash items of approximately $1.2 million related to stock based compensation and approximately $264,000 of depreciation and amortization. Ignoring working capital changes, we had positive cash flow from operations of approximately $400,000 during the year ended December 31, 2014. In the year ended December 31, 2013, the loss of approximately $267,000 included non-cash expenses of only approximately $525,000 in stock-based compensation and $195,000 in depreciation and amortization, resulting in cash flow from operations (ignoring working capital items) of slightly over $450,000 in 2013.</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Quarterly Financial Information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discussed in the notes to the financial statements, we have restated our 2013 financial statements. The restatement relates to unrecorded stock compensation related to investor relations and consulting services, unrecorded revenue share payables, and changes in revenue recognition, all occurring during the year ended December 31, 2013. The revenue recognition relates to promotional programs started in 2013 that were expected to be completed in 2013, but actually carried over into 2014. These items were discovered as a result of their effect on the 2014 financial statements and a result, the quarterly financial statements also will be restated. Following are the restated income statement numbers for the first three quarters that will be used in the 2015 quarterly reports on Form 10-Q, as well as the fourth quarter amounts for information purposes.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First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Second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Third</w:t>
            </w: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Fourth</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Total</w:t>
            </w:r>
          </w:p>
        </w:tc>
      </w:tr>
      <w:tr>
        <w:trPr>
          <w:trHeight w:val="237"/>
        </w:trPr>
        <w:tc>
          <w:tcPr>
            <w:tcW w:w="3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Quarter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Quarter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Quarter</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Year</w:t>
            </w:r>
          </w:p>
        </w:tc>
        <w:tc>
          <w:tcPr>
            <w:tcW w:w="60" w:type="dxa"/>
            <w:vAlign w:val="bottom"/>
          </w:tcPr>
          <w:p>
            <w:pPr>
              <w:spacing w:after="0"/>
              <w:rPr>
                <w:sz w:val="20"/>
                <w:szCs w:val="20"/>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1,289,428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1,426,808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1,819,421</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1,967,305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6,502,962</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Revenue Share Expense</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561,411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730,140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958,334</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971,649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3,221,534</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728,017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696,668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861,087</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995,656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3,281,428</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1,490,218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896,529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1,155,933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765,076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4,307,756</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(762,201)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(199,861)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(294,846)</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230,580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(1,026,328)</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Other income</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Loss before Taxes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(762,095)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(199,638)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(294,543)</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230,883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(1,025,393)</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Provision for Taxes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Net Income (Loss)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(762,095)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(199,638)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(294,543)</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230,883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(1,025,393)</w:t>
            </w: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Loss per share</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35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2014, we had total current assets of approximately $5.6 million, compared with current liabilities of approximately $2.4 million, resulting in working capital of approximately $3.2 million and a current ratio of approximately 2.3 to 1. This is a significant improvement over the working capital balance of approximately $350,000 and current ratio of 1.15 to 1 at December 31, 2013. The increase is largely due to the private offering we conducted in March of 2014, resulting in $2.8 million in working capital. We are currently generating positive cash flow from operations, ignoring working capital fluctuations, and we expect our working capital balance to continue to improve in future quarters.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jc w:val="both"/>
        <w:spacing w:after="0" w:line="279" w:lineRule="auto"/>
        <w:rPr>
          <w:sz w:val="20"/>
          <w:szCs w:val="20"/>
          <w:color w:val="auto"/>
        </w:rPr>
      </w:pPr>
      <w:r>
        <w:rPr>
          <w:rFonts w:ascii="Arial" w:cs="Arial" w:eastAsia="Arial" w:hAnsi="Arial"/>
          <w:sz w:val="17"/>
          <w:szCs w:val="17"/>
          <w:color w:val="auto"/>
        </w:rPr>
        <w:t>Our operating activities used approximately $50,000 in the year ended December 31, 2014, however, this was significantly impacted by working capital items, primarily an increase in accounts receivable of approximately $589,000 as a result of increasing sales throughout the year. Without this, we would have had positive cash flow from operations and we expect positive cash flow from operations in future quarters in 2015 and for the full year in 2015. When ignoring working capital fluctuations, we generated positive cash flow from operations in both years as shown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2"/>
              </w:rPr>
              <w:t>Years Ended December 31</w:t>
            </w: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color w:val="auto"/>
              </w:rPr>
              <w:t>Net Revenue</w:t>
            </w:r>
          </w:p>
        </w:tc>
        <w:tc>
          <w:tcPr>
            <w:tcW w:w="2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6,502,962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4,679,741</w:t>
            </w: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Arial" w:cs="Arial" w:eastAsia="Arial" w:hAnsi="Arial"/>
                <w:sz w:val="18"/>
                <w:szCs w:val="18"/>
                <w:color w:val="auto"/>
              </w:rPr>
              <w:t>Revenue Share Expense</w:t>
            </w:r>
          </w:p>
        </w:tc>
        <w:tc>
          <w:tcPr>
            <w:tcW w:w="2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3,221,534</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1,861,316</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3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3,281,428</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2,818,425</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4,307,756</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3,085,961</w:t>
            </w: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Arial" w:cs="Arial" w:eastAsia="Arial" w:hAnsi="Arial"/>
                <w:sz w:val="18"/>
                <w:szCs w:val="18"/>
                <w:color w:val="auto"/>
              </w:rPr>
              <w:t>Less Noncash operating expenses</w:t>
            </w:r>
          </w:p>
        </w:tc>
        <w:tc>
          <w:tcPr>
            <w:tcW w:w="2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1,439,877</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717,173</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Cash operating Expenses</w:t>
            </w: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3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2,867,879</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2,368,788</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Income from Operations excluding noncash expenses</w:t>
            </w: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6340" w:type="dxa"/>
            <w:vAlign w:val="bottom"/>
            <w:vMerge w:val="continue"/>
          </w:tcPr>
          <w:p>
            <w:pPr>
              <w:spacing w:after="0"/>
              <w:rPr>
                <w:sz w:val="24"/>
                <w:szCs w:val="24"/>
                <w:color w:val="auto"/>
              </w:rPr>
            </w:pPr>
          </w:p>
        </w:tc>
        <w:tc>
          <w:tcPr>
            <w:tcW w:w="2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413,549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449,637</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$400,000 in investing activities in the year ended December 31, 2014 compared with about $300,000 in the year ended December 31, 2013. These investment activities relate to improvements being implemented in our SampleMD website, as well as protection and expansion of our patent portfolio. These items both represent important components of our business strategy moving forward.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Financing activities provided approximately $2.8 million during the year ended December 31, 2014. This results from a $10 million equity raise in March 2014, partially offset by costs of the raise and redemption of all the common stock, preferred stock, and warrants held by a major shareholder that significantly reduced the potential fully diluted shares count, even when considering the new equity issued. The redemption also alleviated further dilution in connection with dividends payable to the preferred shareholder. With the financing and cash on hand, we have sufficient cash to operate our business for more than the next twelve months and we do not anticipate the need to raise additional equity for operating purposes. There were no cash flows from financing activities in the same period in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accounting policies are discussed in detail in the footnotes to our financial statements included in this Annual Report on Form 10-K for the year ended December 31, 2014, however, we consider our critical accounting policies to be those related to revenue recognition, calculation of revenue share expense, stock-based compensation, capitalization and related amortization of intangible assets, and impairment of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expect the adoption of recently issued accounting pronouncements to have a significant impact on our results of operation, financial position or cash flow.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2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F-1</w:t>
      </w:r>
      <w:r>
        <w:rPr>
          <w:sz w:val="20"/>
          <w:szCs w:val="20"/>
          <w:color w:val="auto"/>
        </w:rPr>
        <w:tab/>
      </w:r>
      <w:hyperlink w:anchor="page24">
        <w:r>
          <w:rPr>
            <w:rFonts w:ascii="Arial" w:cs="Arial" w:eastAsia="Arial" w:hAnsi="Arial"/>
            <w:sz w:val="16"/>
            <w:szCs w:val="16"/>
            <w:u w:val="single" w:color="auto"/>
            <w:color w:val="0000EE"/>
          </w:rPr>
          <w:t>Reports of Independent Registered Public Accounting Firms;</w:t>
        </w:r>
      </w:hyperlink>
    </w:p>
    <w:p>
      <w:pPr>
        <w:spacing w:after="0" w:line="23"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F-3</w:t>
      </w:r>
      <w:r>
        <w:rPr>
          <w:sz w:val="20"/>
          <w:szCs w:val="20"/>
          <w:color w:val="auto"/>
        </w:rPr>
        <w:tab/>
      </w:r>
      <w:hyperlink w:anchor="page26">
        <w:r>
          <w:rPr>
            <w:rFonts w:ascii="Arial" w:cs="Arial" w:eastAsia="Arial" w:hAnsi="Arial"/>
            <w:sz w:val="16"/>
            <w:szCs w:val="16"/>
            <w:u w:val="single" w:color="auto"/>
            <w:color w:val="0000EE"/>
          </w:rPr>
          <w:t>Consolidated Balance Sheets as of December 31, 2014 and 2013;</w:t>
        </w:r>
      </w:hyperlink>
    </w:p>
    <w:p>
      <w:pPr>
        <w:spacing w:after="0" w:line="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F-4</w:t>
      </w:r>
      <w:r>
        <w:rPr>
          <w:sz w:val="20"/>
          <w:szCs w:val="20"/>
          <w:color w:val="auto"/>
        </w:rPr>
        <w:tab/>
      </w:r>
      <w:hyperlink w:anchor="page27">
        <w:r>
          <w:rPr>
            <w:rFonts w:ascii="Arial" w:cs="Arial" w:eastAsia="Arial" w:hAnsi="Arial"/>
            <w:sz w:val="16"/>
            <w:szCs w:val="16"/>
            <w:u w:val="single" w:color="auto"/>
            <w:color w:val="0000EE"/>
          </w:rPr>
          <w:t>Consolidated Statements of Operations for the years ended December 31, 2014 and 2013;</w:t>
        </w:r>
      </w:hyperlink>
    </w:p>
    <w:p>
      <w:pPr>
        <w:spacing w:after="0" w:line="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F-5</w:t>
      </w:r>
      <w:r>
        <w:rPr>
          <w:sz w:val="20"/>
          <w:szCs w:val="20"/>
          <w:color w:val="auto"/>
        </w:rPr>
        <w:tab/>
      </w:r>
      <w:hyperlink w:anchor="page28">
        <w:r>
          <w:rPr>
            <w:rFonts w:ascii="Arial" w:cs="Arial" w:eastAsia="Arial" w:hAnsi="Arial"/>
            <w:sz w:val="16"/>
            <w:szCs w:val="16"/>
            <w:u w:val="single" w:color="auto"/>
            <w:color w:val="0000EE"/>
          </w:rPr>
          <w:t>Consolidated Statement of Stockholders’ Equity as of December 31, 2014;</w:t>
        </w:r>
      </w:hyperlink>
    </w:p>
    <w:p>
      <w:pPr>
        <w:spacing w:after="0" w:line="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F-6</w:t>
      </w:r>
      <w:r>
        <w:rPr>
          <w:sz w:val="20"/>
          <w:szCs w:val="20"/>
          <w:color w:val="auto"/>
        </w:rPr>
        <w:tab/>
      </w:r>
      <w:hyperlink w:anchor="page30">
        <w:r>
          <w:rPr>
            <w:rFonts w:ascii="Arial" w:cs="Arial" w:eastAsia="Arial" w:hAnsi="Arial"/>
            <w:sz w:val="16"/>
            <w:szCs w:val="16"/>
            <w:u w:val="single" w:color="auto"/>
            <w:color w:val="0000EE"/>
          </w:rPr>
          <w:t>Consolidated Statements of Cash Flows for the years ended December 31, 2014 and 2013; and</w:t>
        </w:r>
      </w:hyperlink>
    </w:p>
    <w:p>
      <w:pPr>
        <w:spacing w:after="0" w:line="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F-6</w:t>
      </w:r>
      <w:r>
        <w:rPr>
          <w:sz w:val="20"/>
          <w:szCs w:val="20"/>
          <w:color w:val="auto"/>
        </w:rPr>
        <w:tab/>
      </w:r>
      <w:hyperlink w:anchor="page31">
        <w:r>
          <w:rPr>
            <w:rFonts w:ascii="Arial" w:cs="Arial" w:eastAsia="Arial" w:hAnsi="Arial"/>
            <w:sz w:val="16"/>
            <w:szCs w:val="16"/>
            <w:u w:val="single" w:color="auto"/>
            <w:color w:val="0000EE"/>
          </w:rPr>
          <w:t>Consolidated Notes to Financial Statements.</w:t>
        </w:r>
      </w:hyperlink>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before the effects of the adjustments for the correction of the errors described in Note 17, the accompanying consolidated balance sheet of OptimizeRx Corporation as of December 31, 2013, and the related consolidated statements of operations, stockholders’ equity, and cash flows for the year then ended (the 2013 financial statements before the effects of the adjustments discussed in Note 17 have been withdrawn and are not presented herein). The 2013 financial statements are the responsibility of the Company’s management. Our responsibility is to express an opinion on these financial statements based on our audit.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has determined that it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except for the errors described in Note 17, the consolidated financial statements referred to above present fairly, in all material respects, the financial position of OptimizeRx Corporation as of December 31, 2013, and the results of its operations and cash flows for the year then ended, in conformity with accounting principles generally accepted in the United States of America.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were not engaged to audit, review, or apply any procedures to the adjustments for the correction of the errors described in Note 17 and, accordingly, do not express an opinion or any other form of assurance about whether such adjustments are appropriate and have been properly applied. Those adjustments were audited by KLJ &amp; Associates, LLP.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2014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706120</wp:posOffset>
            </wp:positionV>
            <wp:extent cx="3439160" cy="823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343916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OptimizeRx Corporation</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have audited the accompanying consolidated balance sheet of OptimizeRx Corporation as of December 31, 2014 and the related consolidated statements of operations, stockholders’ equity, and cash flows for the year then ended. OptimizeRx Corporation’s management is responsible for these consolidated financial statements. Our responsibility is to express an opinion on these financial statements based on our audit.</w:t>
      </w:r>
    </w:p>
    <w:p>
      <w:pPr>
        <w:spacing w:after="0" w:line="9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statements, assessing the accounting principles used and significant estimates made by management, as well as evaluating the overall financial statement presentation. We believe that our audits provide a reasonable basis for our opinion.</w:t>
      </w:r>
    </w:p>
    <w:p>
      <w:pPr>
        <w:spacing w:after="0" w:line="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2014, the results of their operations, and their cash flows, for the year ended December 31, 2014, in conformity with accounting principles generally accepted in the United States of America.</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audited the adjustments described in Note 17 that were applied to restate the 2013 financial statements to correct an error. In our opinion, such adjustments are appropriate and have been properly applied. We were not engage to audit, review or apply any procedures to the 2013 financial statements of the Company other than with respect to the adjustments and, accordingly, we do not express an opinion or any other form of assurance on the 2013 financial statements taken as a whole.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Park, 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Consolidated Balance Sheet as of</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December 31, 2014 and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December 31,</w:t>
            </w:r>
          </w:p>
        </w:tc>
        <w:tc>
          <w:tcPr>
            <w:tcW w:w="16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02"/>
        </w:trPr>
        <w:tc>
          <w:tcPr>
            <w:tcW w:w="874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3,446,973</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1,118,243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2,100,381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1,511,709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4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28,093</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5,575,447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40" w:type="dxa"/>
            <w:vAlign w:val="bottom"/>
          </w:tcPr>
          <w:p>
            <w:pPr>
              <w:spacing w:after="0" w:line="203" w:lineRule="exact"/>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40" w:type="dxa"/>
            <w:vAlign w:val="bottom"/>
          </w:tcPr>
          <w:p>
            <w:pPr>
              <w:spacing w:after="0" w:line="201" w:lineRule="exact"/>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Patent rights,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930,854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885,950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Web development costs,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504,643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40" w:type="dxa"/>
            <w:vAlign w:val="bottom"/>
          </w:tcPr>
          <w:p>
            <w:pPr>
              <w:ind w:left="340"/>
              <w:spacing w:after="0"/>
              <w:rPr>
                <w:sz w:val="20"/>
                <w:szCs w:val="20"/>
                <w:color w:val="auto"/>
              </w:rPr>
            </w:pPr>
            <w:r>
              <w:rPr>
                <w:rFonts w:ascii="Arial" w:cs="Arial" w:eastAsia="Arial" w:hAnsi="Arial"/>
                <w:sz w:val="18"/>
                <w:szCs w:val="18"/>
                <w:color w:val="auto"/>
              </w:rPr>
              <w:t>Security deposit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Other Assets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1,440,546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7,028,806</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3,952,765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74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Accounts payable - trade</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200,372</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Accounts payable - related party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570,000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25,459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Revenue share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1,502,761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1,287,552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120,130</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226,272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40" w:type="dxa"/>
            <w:vAlign w:val="bottom"/>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2,418,722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40" w:type="dxa"/>
            <w:vAlign w:val="bottom"/>
          </w:tcPr>
          <w:p>
            <w:pPr>
              <w:spacing w:after="0" w:line="201" w:lineRule="exact"/>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w w:val="89"/>
              </w:rPr>
              <w:t>Preferred stock, $.001 par value, 10,000,000 shares authorized, 0 and 65 shares issued and outstanding at December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31, 2014 and 2013,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w w:val="93"/>
              </w:rPr>
              <w:t>Common stock, $.001 par value, 500,000,000 shares authorized, 22,867,319 and 14,817,496 shares issued and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outstanding at December 31, 2014 and 2013,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22,867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Stock warrants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2,153,295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18,148,049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27,595,609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8,875,155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Stock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963,063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Deferred stock compensation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(270,462)</w:t>
            </w:r>
          </w:p>
        </w:tc>
        <w:tc>
          <w:tcPr>
            <w:tcW w:w="0" w:type="dxa"/>
            <w:vAlign w:val="bottom"/>
          </w:tcPr>
          <w:p>
            <w:pPr>
              <w:spacing w:after="0"/>
              <w:rPr>
                <w:sz w:val="1"/>
                <w:szCs w:val="1"/>
                <w:color w:val="auto"/>
              </w:rPr>
            </w:pPr>
          </w:p>
        </w:tc>
      </w:tr>
      <w:tr>
        <w:trPr>
          <w:trHeight w:val="251"/>
        </w:trPr>
        <w:tc>
          <w:tcPr>
            <w:tcW w:w="874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(26,124,750)</w:t>
            </w:r>
          </w:p>
        </w:tc>
        <w:tc>
          <w:tcPr>
            <w:tcW w:w="1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(25,099,357)</w:t>
            </w:r>
          </w:p>
        </w:tc>
        <w:tc>
          <w:tcPr>
            <w:tcW w:w="0" w:type="dxa"/>
            <w:vAlign w:val="bottom"/>
          </w:tcPr>
          <w:p>
            <w:pPr>
              <w:spacing w:after="0"/>
              <w:rPr>
                <w:sz w:val="1"/>
                <w:szCs w:val="1"/>
                <w:color w:val="auto"/>
              </w:rPr>
            </w:pPr>
          </w:p>
        </w:tc>
      </w:tr>
      <w:tr>
        <w:trPr>
          <w:trHeight w:val="223"/>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4,610,084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7,028,806</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3,952,765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2014 and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6,502,962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4,679,741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REVENUE SHARE EXPENSE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3,221,534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1,861,316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3,281,428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line="203" w:lineRule="exact"/>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1,172,242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523,382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Lawsuit settlement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operating expenses</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2,471,174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2,368,788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4,307,756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3,085,961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(267,536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line="203" w:lineRule="exact"/>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INCOME</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ind w:left="160"/>
              <w:spacing w:after="0" w:line="203" w:lineRule="exact"/>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(1,025,393)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(267,290)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640" w:type="dxa"/>
            <w:vAlign w:val="bottom"/>
            <w:vMerge w:val="continue"/>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(1,025,393</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(267,290</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BASIC</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22,382,415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14,388,017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 FULLY DILUTED</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4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24,008,353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21,196,096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3"/>
              </w:rPr>
              <w:t>NET LOSS PER SHARE: BASIC AND DILUTED (no separate per share amount shown because loss is antidilutive)</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-4090035</wp:posOffset>
            </wp:positionV>
            <wp:extent cx="7246620" cy="40646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06463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2013 (restated)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Preferred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Preferred</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9"/>
              </w:rPr>
              <w:t>Deferred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r>
      <w:tr>
        <w:trPr>
          <w:trHeight w:val="162"/>
        </w:trPr>
        <w:tc>
          <w:tcPr>
            <w:tcW w:w="14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Stock</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Stock</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Accumulated</w:t>
            </w:r>
          </w:p>
        </w:tc>
        <w:tc>
          <w:tcPr>
            <w:tcW w:w="900" w:type="dxa"/>
            <w:vAlign w:val="bottom"/>
            <w:gridSpan w:val="3"/>
          </w:tcPr>
          <w:p>
            <w:pPr>
              <w:spacing w:after="0"/>
              <w:rPr>
                <w:sz w:val="20"/>
                <w:szCs w:val="20"/>
                <w:color w:val="auto"/>
              </w:rPr>
            </w:pPr>
            <w:r>
              <w:rPr>
                <w:rFonts w:ascii="Arial" w:cs="Arial" w:eastAsia="Arial" w:hAnsi="Arial"/>
                <w:sz w:val="14"/>
                <w:szCs w:val="14"/>
                <w:color w:val="auto"/>
              </w:rPr>
              <w:t>Stockholders’</w:t>
            </w:r>
          </w:p>
        </w:tc>
      </w:tr>
      <w:tr>
        <w:trPr>
          <w:trHeight w:val="174"/>
        </w:trPr>
        <w:tc>
          <w:tcPr>
            <w:tcW w:w="14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Amount</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Warrants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Payable</w:t>
            </w:r>
          </w:p>
        </w:tc>
        <w:tc>
          <w:tcPr>
            <w:tcW w:w="1140" w:type="dxa"/>
            <w:vAlign w:val="bottom"/>
            <w:gridSpan w:val="4"/>
          </w:tcPr>
          <w:p>
            <w:pPr>
              <w:ind w:left="100"/>
              <w:spacing w:after="0"/>
              <w:rPr>
                <w:sz w:val="20"/>
                <w:szCs w:val="20"/>
                <w:color w:val="auto"/>
              </w:rPr>
            </w:pPr>
            <w:r>
              <w:rPr>
                <w:rFonts w:ascii="Arial" w:cs="Arial" w:eastAsia="Arial" w:hAnsi="Arial"/>
                <w:sz w:val="14"/>
                <w:szCs w:val="14"/>
                <w:color w:val="auto"/>
              </w:rPr>
              <w:t>Compensation</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r>
      <w:tr>
        <w:trPr>
          <w:trHeight w:val="116"/>
        </w:trPr>
        <w:tc>
          <w:tcPr>
            <w:tcW w:w="146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 January 1,</w:t>
            </w: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67"/>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14,232,496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14,232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$ 20,058,051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6,164,666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2"/>
              </w:rPr>
              <w:t>$ (24,832,067)</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1,404,882</w:t>
            </w:r>
          </w:p>
        </w:tc>
        <w:tc>
          <w:tcPr>
            <w:tcW w:w="100" w:type="dxa"/>
            <w:vAlign w:val="bottom"/>
            <w:shd w:val="clear" w:color="auto" w:fill="CCEEFF"/>
          </w:tcPr>
          <w:p>
            <w:pPr>
              <w:spacing w:after="0"/>
              <w:rPr>
                <w:sz w:val="14"/>
                <w:szCs w:val="14"/>
                <w:color w:val="auto"/>
              </w:rPr>
            </w:pPr>
          </w:p>
        </w:tc>
      </w:tr>
      <w:tr>
        <w:trPr>
          <w:trHeight w:val="130"/>
        </w:trPr>
        <w:tc>
          <w:tcPr>
            <w:tcW w:w="1460" w:type="dxa"/>
            <w:vAlign w:val="bottom"/>
          </w:tcPr>
          <w:p>
            <w:pPr>
              <w:spacing w:after="0" w:line="130" w:lineRule="exact"/>
              <w:rPr>
                <w:sz w:val="20"/>
                <w:szCs w:val="20"/>
                <w:color w:val="auto"/>
              </w:rPr>
            </w:pPr>
            <w:r>
              <w:rPr>
                <w:rFonts w:ascii="Arial" w:cs="Arial" w:eastAsia="Arial" w:hAnsi="Arial"/>
                <w:sz w:val="14"/>
                <w:szCs w:val="14"/>
                <w:color w:val="auto"/>
              </w:rPr>
              <w:t>Issuance of stock</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60" w:type="dxa"/>
            <w:vAlign w:val="bottom"/>
          </w:tcPr>
          <w:p>
            <w:pPr>
              <w:spacing w:after="0"/>
              <w:rPr>
                <w:sz w:val="20"/>
                <w:szCs w:val="20"/>
                <w:color w:val="auto"/>
              </w:rPr>
            </w:pPr>
            <w:r>
              <w:rPr>
                <w:rFonts w:ascii="Arial" w:cs="Arial" w:eastAsia="Arial" w:hAnsi="Arial"/>
                <w:sz w:val="14"/>
                <w:szCs w:val="14"/>
                <w:color w:val="auto"/>
              </w:rPr>
              <w:t>options: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 employees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7,720</w:t>
            </w:r>
          </w:p>
        </w:tc>
        <w:tc>
          <w:tcPr>
            <w:tcW w:w="100" w:type="dxa"/>
            <w:vAlign w:val="bottom"/>
            <w:shd w:val="clear" w:color="auto" w:fill="CCEEFF"/>
          </w:tcPr>
          <w:p>
            <w:pPr>
              <w:spacing w:after="0"/>
              <w:rPr>
                <w:sz w:val="12"/>
                <w:szCs w:val="12"/>
                <w:color w:val="auto"/>
              </w:rPr>
            </w:pPr>
          </w:p>
        </w:tc>
      </w:tr>
      <w:tr>
        <w:trPr>
          <w:trHeight w:val="149"/>
        </w:trPr>
        <w:tc>
          <w:tcPr>
            <w:tcW w:w="1460" w:type="dxa"/>
            <w:vAlign w:val="bottom"/>
          </w:tcPr>
          <w:p>
            <w:pPr>
              <w:ind w:left="180"/>
              <w:spacing w:after="0" w:line="149" w:lineRule="exact"/>
              <w:rPr>
                <w:sz w:val="20"/>
                <w:szCs w:val="20"/>
                <w:color w:val="auto"/>
              </w:rPr>
            </w:pPr>
            <w:r>
              <w:rPr>
                <w:rFonts w:ascii="Arial" w:cs="Arial" w:eastAsia="Arial" w:hAnsi="Arial"/>
                <w:sz w:val="14"/>
                <w:szCs w:val="14"/>
                <w:color w:val="auto"/>
              </w:rPr>
              <w:t>for consulting</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146,412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(59,134)</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87,278</w:t>
            </w:r>
          </w:p>
        </w:tc>
        <w:tc>
          <w:tcPr>
            <w:tcW w:w="100" w:type="dxa"/>
            <w:vAlign w:val="bottom"/>
          </w:tcPr>
          <w:p>
            <w:pPr>
              <w:spacing w:after="0"/>
              <w:rPr>
                <w:sz w:val="12"/>
                <w:szCs w:val="12"/>
                <w:color w:val="auto"/>
              </w:rPr>
            </w:pPr>
          </w:p>
        </w:tc>
      </w:tr>
      <w:tr>
        <w:trPr>
          <w:trHeight w:val="130"/>
        </w:trPr>
        <w:tc>
          <w:tcPr>
            <w:tcW w:w="1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1460" w:type="dxa"/>
            <w:vAlign w:val="bottom"/>
          </w:tcPr>
          <w:p>
            <w:pPr>
              <w:ind w:left="180"/>
              <w:spacing w:after="0" w:line="149" w:lineRule="exact"/>
              <w:rPr>
                <w:sz w:val="20"/>
                <w:szCs w:val="20"/>
                <w:color w:val="auto"/>
              </w:rPr>
            </w:pPr>
            <w:r>
              <w:rPr>
                <w:rFonts w:ascii="Arial" w:cs="Arial" w:eastAsia="Arial" w:hAnsi="Arial"/>
                <w:sz w:val="14"/>
                <w:szCs w:val="14"/>
                <w:color w:val="auto"/>
              </w:rPr>
              <w:t>for services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141,856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(36,520)</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105,420</w:t>
            </w:r>
          </w:p>
        </w:tc>
        <w:tc>
          <w:tcPr>
            <w:tcW w:w="100" w:type="dxa"/>
            <w:vAlign w:val="bottom"/>
          </w:tcPr>
          <w:p>
            <w:pPr>
              <w:spacing w:after="0"/>
              <w:rPr>
                <w:sz w:val="12"/>
                <w:szCs w:val="12"/>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 severance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504,500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(505,000)</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r>
      <w:tr>
        <w:trPr>
          <w:trHeight w:val="130"/>
        </w:trPr>
        <w:tc>
          <w:tcPr>
            <w:tcW w:w="1460" w:type="dxa"/>
            <w:vAlign w:val="bottom"/>
          </w:tcPr>
          <w:p>
            <w:pPr>
              <w:ind w:left="180"/>
              <w:spacing w:after="0" w:line="130" w:lineRule="exact"/>
              <w:rPr>
                <w:sz w:val="20"/>
                <w:szCs w:val="20"/>
                <w:color w:val="auto"/>
              </w:rPr>
            </w:pPr>
            <w:r>
              <w:rPr>
                <w:rFonts w:ascii="Arial" w:cs="Arial" w:eastAsia="Arial" w:hAnsi="Arial"/>
                <w:sz w:val="14"/>
                <w:szCs w:val="14"/>
                <w:color w:val="auto"/>
              </w:rPr>
              <w:t>for correction of</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60" w:type="dxa"/>
            <w:vAlign w:val="bottom"/>
          </w:tcPr>
          <w:p>
            <w:pPr>
              <w:ind w:left="180"/>
              <w:spacing w:after="0"/>
              <w:rPr>
                <w:sz w:val="20"/>
                <w:szCs w:val="20"/>
                <w:color w:val="auto"/>
              </w:rPr>
            </w:pPr>
            <w:r>
              <w:rPr>
                <w:rFonts w:ascii="Arial" w:cs="Arial" w:eastAsia="Arial" w:hAnsi="Arial"/>
                <w:sz w:val="14"/>
                <w:szCs w:val="14"/>
                <w:color w:val="auto"/>
              </w:rPr>
              <w:t>prior issue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r>
      <w:tr>
        <w:trPr>
          <w:trHeight w:val="130"/>
        </w:trPr>
        <w:tc>
          <w:tcPr>
            <w:tcW w:w="1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Reclassification for</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expired warrants</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(1,910,002)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1,910,002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4"/>
                <w:szCs w:val="14"/>
                <w:color w:val="auto"/>
              </w:rPr>
            </w:pPr>
          </w:p>
        </w:tc>
      </w:tr>
      <w:tr>
        <w:trPr>
          <w:trHeight w:val="130"/>
        </w:trPr>
        <w:tc>
          <w:tcPr>
            <w:tcW w:w="1460" w:type="dxa"/>
            <w:vAlign w:val="bottom"/>
          </w:tcPr>
          <w:p>
            <w:pPr>
              <w:spacing w:after="0" w:line="130" w:lineRule="exact"/>
              <w:rPr>
                <w:sz w:val="20"/>
                <w:szCs w:val="20"/>
                <w:color w:val="auto"/>
              </w:rPr>
            </w:pPr>
            <w:r>
              <w:rPr>
                <w:rFonts w:ascii="Arial" w:cs="Arial" w:eastAsia="Arial" w:hAnsi="Arial"/>
                <w:sz w:val="14"/>
                <w:szCs w:val="14"/>
                <w:color w:val="auto"/>
              </w:rPr>
              <w:t>Expense consulting</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60" w:type="dxa"/>
            <w:vAlign w:val="bottom"/>
          </w:tcPr>
          <w:p>
            <w:pPr>
              <w:spacing w:after="0"/>
              <w:rPr>
                <w:sz w:val="20"/>
                <w:szCs w:val="20"/>
                <w:color w:val="auto"/>
              </w:rPr>
            </w:pPr>
            <w:r>
              <w:rPr>
                <w:rFonts w:ascii="Arial" w:cs="Arial" w:eastAsia="Arial" w:hAnsi="Arial"/>
                <w:sz w:val="14"/>
                <w:szCs w:val="14"/>
                <w:color w:val="auto"/>
              </w:rPr>
              <w:t>services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330,192</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330,192</w:t>
            </w:r>
          </w:p>
        </w:tc>
        <w:tc>
          <w:tcPr>
            <w:tcW w:w="100" w:type="dxa"/>
            <w:vAlign w:val="bottom"/>
          </w:tcPr>
          <w:p>
            <w:pPr>
              <w:spacing w:after="0"/>
              <w:rPr>
                <w:sz w:val="14"/>
                <w:szCs w:val="14"/>
                <w:color w:val="auto"/>
              </w:rPr>
            </w:pPr>
          </w:p>
        </w:tc>
      </w:tr>
      <w:tr>
        <w:trPr>
          <w:trHeight w:val="182"/>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Net loss for the year</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(267,290)</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(267,290)</w:t>
            </w:r>
          </w:p>
        </w:tc>
      </w:tr>
      <w:tr>
        <w:trPr>
          <w:trHeight w:val="103"/>
        </w:trPr>
        <w:tc>
          <w:tcPr>
            <w:tcW w:w="1460" w:type="dxa"/>
            <w:vAlign w:val="bottom"/>
            <w:tcBorders>
              <w:top w:val="single" w:sz="8" w:color="CCEEFF"/>
            </w:tcBorders>
          </w:tcPr>
          <w:p>
            <w:pPr>
              <w:spacing w:after="0" w:line="104" w:lineRule="exact"/>
              <w:rPr>
                <w:sz w:val="20"/>
                <w:szCs w:val="20"/>
                <w:color w:val="auto"/>
              </w:rPr>
            </w:pPr>
            <w:r>
              <w:rPr>
                <w:rFonts w:ascii="Arial" w:cs="Arial" w:eastAsia="Arial" w:hAnsi="Arial"/>
                <w:sz w:val="11"/>
                <w:szCs w:val="11"/>
                <w:color w:val="auto"/>
              </w:rPr>
              <w:t>Balance, December</w:t>
            </w: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r>
      <w:tr>
        <w:trPr>
          <w:trHeight w:val="215"/>
        </w:trPr>
        <w:tc>
          <w:tcPr>
            <w:tcW w:w="1460" w:type="dxa"/>
            <w:vAlign w:val="bottom"/>
          </w:tcPr>
          <w:p>
            <w:pPr>
              <w:spacing w:after="0"/>
              <w:rPr>
                <w:sz w:val="20"/>
                <w:szCs w:val="20"/>
                <w:color w:val="auto"/>
              </w:rPr>
            </w:pPr>
            <w:r>
              <w:rPr>
                <w:rFonts w:ascii="Arial" w:cs="Arial" w:eastAsia="Arial" w:hAnsi="Arial"/>
                <w:sz w:val="14"/>
                <w:szCs w:val="14"/>
                <w:color w:val="auto"/>
              </w:rPr>
              <w:t>31, 2013 (restated)</w:t>
            </w: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14,817,496</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14,817</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$ 18,148,049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8,875,155</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207" w:lineRule="exact"/>
              <w:rPr>
                <w:sz w:val="20"/>
                <w:szCs w:val="20"/>
                <w:color w:val="auto"/>
              </w:rPr>
            </w:pPr>
            <w:r>
              <w:rPr>
                <w:rFonts w:ascii="Arial" w:cs="Arial" w:eastAsia="Arial" w:hAnsi="Arial"/>
                <w:sz w:val="13"/>
                <w:szCs w:val="13"/>
                <w:color w:val="auto"/>
              </w:rPr>
              <w:t>(270,462</w:t>
            </w:r>
            <w:r>
              <w:rPr>
                <w:rFonts w:ascii="Arial" w:cs="Arial" w:eastAsia="Arial" w:hAnsi="Arial"/>
                <w:sz w:val="24"/>
                <w:szCs w:val="24"/>
                <w:color w:val="auto"/>
                <w:vertAlign w:val="superscript"/>
              </w:rPr>
              <w:t>)</w:t>
            </w:r>
          </w:p>
        </w:tc>
        <w:tc>
          <w:tcPr>
            <w:tcW w:w="1040" w:type="dxa"/>
            <w:vAlign w:val="bottom"/>
            <w:gridSpan w:val="2"/>
          </w:tcPr>
          <w:p>
            <w:pPr>
              <w:jc w:val="right"/>
              <w:ind w:right="180"/>
              <w:spacing w:after="0" w:line="207" w:lineRule="exact"/>
              <w:rPr>
                <w:sz w:val="20"/>
                <w:szCs w:val="20"/>
                <w:color w:val="auto"/>
              </w:rPr>
            </w:pPr>
            <w:r>
              <w:rPr>
                <w:rFonts w:ascii="Arial" w:cs="Arial" w:eastAsia="Arial" w:hAnsi="Arial"/>
                <w:sz w:val="13"/>
                <w:szCs w:val="13"/>
                <w:color w:val="auto"/>
                <w:w w:val="98"/>
              </w:rPr>
              <w:t>$ (25,099,357</w:t>
            </w:r>
            <w:r>
              <w:rPr>
                <w:rFonts w:ascii="Arial" w:cs="Arial" w:eastAsia="Arial" w:hAnsi="Arial"/>
                <w:sz w:val="24"/>
                <w:szCs w:val="24"/>
                <w:color w:val="auto"/>
                <w:w w:val="98"/>
                <w:vertAlign w:val="superscript"/>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1,668,202</w:t>
            </w:r>
          </w:p>
        </w:tc>
        <w:tc>
          <w:tcPr>
            <w:tcW w:w="100" w:type="dxa"/>
            <w:vAlign w:val="bottom"/>
          </w:tcPr>
          <w:p>
            <w:pPr>
              <w:spacing w:after="0"/>
              <w:rPr>
                <w:sz w:val="18"/>
                <w:szCs w:val="18"/>
                <w:color w:val="auto"/>
              </w:rPr>
            </w:pPr>
          </w:p>
        </w:tc>
      </w:tr>
      <w:tr>
        <w:trPr>
          <w:trHeight w:val="21"/>
        </w:trPr>
        <w:tc>
          <w:tcPr>
            <w:tcW w:w="1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-2177415</wp:posOffset>
            </wp:positionV>
            <wp:extent cx="7246620" cy="21526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152650"/>
                    </a:xfrm>
                    <a:prstGeom prst="rect">
                      <a:avLst/>
                    </a:prstGeom>
                    <a:noFill/>
                  </pic:spPr>
                </pic:pic>
              </a:graphicData>
            </a:graphic>
          </wp:anchor>
        </w:drawing>
      </w:r>
    </w:p>
    <w:p>
      <w:pPr>
        <w:spacing w:after="0" w:line="11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Preferred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Preferred</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9"/>
              </w:rPr>
              <w:t>Deferred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r>
      <w:tr>
        <w:trPr>
          <w:trHeight w:val="162"/>
        </w:trPr>
        <w:tc>
          <w:tcPr>
            <w:tcW w:w="14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Stock</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Stock</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Accumulated</w:t>
            </w:r>
          </w:p>
        </w:tc>
        <w:tc>
          <w:tcPr>
            <w:tcW w:w="900" w:type="dxa"/>
            <w:vAlign w:val="bottom"/>
            <w:gridSpan w:val="3"/>
          </w:tcPr>
          <w:p>
            <w:pPr>
              <w:spacing w:after="0"/>
              <w:rPr>
                <w:sz w:val="20"/>
                <w:szCs w:val="20"/>
                <w:color w:val="auto"/>
              </w:rPr>
            </w:pPr>
            <w:r>
              <w:rPr>
                <w:rFonts w:ascii="Arial" w:cs="Arial" w:eastAsia="Arial" w:hAnsi="Arial"/>
                <w:sz w:val="14"/>
                <w:szCs w:val="14"/>
                <w:color w:val="auto"/>
              </w:rPr>
              <w:t>Stockholders’</w:t>
            </w:r>
          </w:p>
        </w:tc>
      </w:tr>
      <w:tr>
        <w:trPr>
          <w:trHeight w:val="174"/>
        </w:trPr>
        <w:tc>
          <w:tcPr>
            <w:tcW w:w="142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Amount</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w w:val="95"/>
              </w:rPr>
              <w:t>Warrants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Payable</w:t>
            </w:r>
          </w:p>
        </w:tc>
        <w:tc>
          <w:tcPr>
            <w:tcW w:w="1140" w:type="dxa"/>
            <w:vAlign w:val="bottom"/>
            <w:gridSpan w:val="4"/>
          </w:tcPr>
          <w:p>
            <w:pPr>
              <w:ind w:left="100"/>
              <w:spacing w:after="0"/>
              <w:rPr>
                <w:sz w:val="20"/>
                <w:szCs w:val="20"/>
                <w:color w:val="auto"/>
              </w:rPr>
            </w:pPr>
            <w:r>
              <w:rPr>
                <w:rFonts w:ascii="Arial" w:cs="Arial" w:eastAsia="Arial" w:hAnsi="Arial"/>
                <w:sz w:val="14"/>
                <w:szCs w:val="14"/>
                <w:color w:val="auto"/>
              </w:rPr>
              <w:t>Compensation</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r>
      <w:tr>
        <w:trPr>
          <w:trHeight w:val="116"/>
        </w:trPr>
        <w:tc>
          <w:tcPr>
            <w:tcW w:w="1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w:t>
            </w: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49"/>
        </w:trPr>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2013</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(restated)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14,817,496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18,148,049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8,875,155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(270,462)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2"/>
              </w:rPr>
              <w:t>$ (25,099,357)</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1,668,202</w:t>
            </w: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Issuance of stock</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options: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 employees</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272,804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272,804</w:t>
            </w:r>
          </w:p>
        </w:tc>
      </w:tr>
      <w:tr>
        <w:trPr>
          <w:trHeight w:val="149"/>
        </w:trPr>
        <w:tc>
          <w:tcPr>
            <w:tcW w:w="1420" w:type="dxa"/>
            <w:vAlign w:val="bottom"/>
          </w:tcPr>
          <w:p>
            <w:pPr>
              <w:ind w:left="180"/>
              <w:spacing w:after="0" w:line="149" w:lineRule="exact"/>
              <w:rPr>
                <w:sz w:val="20"/>
                <w:szCs w:val="20"/>
                <w:color w:val="auto"/>
              </w:rPr>
            </w:pPr>
            <w:r>
              <w:rPr>
                <w:rFonts w:ascii="Arial" w:cs="Arial" w:eastAsia="Arial" w:hAnsi="Arial"/>
                <w:sz w:val="14"/>
                <w:szCs w:val="14"/>
                <w:color w:val="auto"/>
              </w:rPr>
              <w:t>to consultants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(16,935)</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1420" w:type="dxa"/>
            <w:vAlign w:val="bottom"/>
          </w:tcPr>
          <w:p>
            <w:pPr>
              <w:ind w:left="180"/>
              <w:spacing w:after="0" w:line="149" w:lineRule="exact"/>
              <w:rPr>
                <w:sz w:val="20"/>
                <w:szCs w:val="20"/>
                <w:color w:val="auto"/>
              </w:rPr>
            </w:pPr>
            <w:r>
              <w:rPr>
                <w:rFonts w:ascii="Arial" w:cs="Arial" w:eastAsia="Arial" w:hAnsi="Arial"/>
                <w:sz w:val="14"/>
                <w:szCs w:val="14"/>
                <w:color w:val="auto"/>
              </w:rPr>
              <w:t>for services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167,065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26,812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41,667</w:t>
            </w:r>
          </w:p>
        </w:tc>
      </w:tr>
      <w:tr>
        <w:trPr>
          <w:trHeight w:val="149"/>
        </w:trPr>
        <w:tc>
          <w:tcPr>
            <w:tcW w:w="1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 cash</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8,333,333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8,408,699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378,000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8,795,032</w:t>
            </w:r>
          </w:p>
        </w:tc>
      </w:tr>
      <w:tr>
        <w:trPr>
          <w:trHeight w:val="130"/>
        </w:trPr>
        <w:tc>
          <w:tcPr>
            <w:tcW w:w="1420" w:type="dxa"/>
            <w:vAlign w:val="bottom"/>
          </w:tcPr>
          <w:p>
            <w:pPr>
              <w:ind w:left="180"/>
              <w:spacing w:after="0" w:line="130" w:lineRule="exact"/>
              <w:rPr>
                <w:sz w:val="20"/>
                <w:szCs w:val="20"/>
                <w:color w:val="auto"/>
              </w:rPr>
            </w:pPr>
            <w:r>
              <w:rPr>
                <w:rFonts w:ascii="Arial" w:cs="Arial" w:eastAsia="Arial" w:hAnsi="Arial"/>
                <w:sz w:val="14"/>
                <w:szCs w:val="14"/>
                <w:color w:val="auto"/>
              </w:rPr>
              <w:t>for warrant</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ind w:left="180"/>
              <w:spacing w:after="0"/>
              <w:rPr>
                <w:sz w:val="20"/>
                <w:szCs w:val="20"/>
                <w:color w:val="auto"/>
              </w:rPr>
            </w:pPr>
            <w:r>
              <w:rPr>
                <w:rFonts w:ascii="Arial" w:cs="Arial" w:eastAsia="Arial" w:hAnsi="Arial"/>
                <w:sz w:val="14"/>
                <w:szCs w:val="14"/>
                <w:color w:val="auto"/>
              </w:rPr>
              <w:t>exercise</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445,765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(694,133)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693,687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Issue warrants for</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equity raise</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1,110,211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(1,110,211)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Issue stock rights to</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officers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570,375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570,375</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Reclassify expired</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 redeemed</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warrants</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(16,410,832)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16,410,832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Expense consulting</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services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287,397</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287,397</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Redeem shares for</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(896,340)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(5,999,104)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(6,000,000)</w:t>
            </w:r>
          </w:p>
        </w:tc>
      </w:tr>
      <w:tr>
        <w:trPr>
          <w:trHeight w:val="169"/>
        </w:trPr>
        <w:tc>
          <w:tcPr>
            <w:tcW w:w="1420" w:type="dxa"/>
            <w:vAlign w:val="bottom"/>
          </w:tcPr>
          <w:p>
            <w:pPr>
              <w:spacing w:after="0"/>
              <w:rPr>
                <w:sz w:val="20"/>
                <w:szCs w:val="20"/>
                <w:color w:val="auto"/>
              </w:rPr>
            </w:pPr>
            <w:r>
              <w:rPr>
                <w:rFonts w:ascii="Arial" w:cs="Arial" w:eastAsia="Arial" w:hAnsi="Arial"/>
                <w:sz w:val="14"/>
                <w:szCs w:val="14"/>
                <w:color w:val="auto"/>
              </w:rPr>
              <w:t>Net loss for the year</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(1,025,393)</w:t>
            </w: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(1,025,393)</w:t>
            </w:r>
          </w:p>
        </w:tc>
      </w:tr>
      <w:tr>
        <w:trPr>
          <w:trHeight w:val="116"/>
        </w:trPr>
        <w:tc>
          <w:tcPr>
            <w:tcW w:w="1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w:t>
            </w: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215"/>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December 31, 2014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22,867,319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22,867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2,153,295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27,595,609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963,063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line="207" w:lineRule="exact"/>
              <w:rPr>
                <w:sz w:val="20"/>
                <w:szCs w:val="20"/>
                <w:color w:val="auto"/>
              </w:rPr>
            </w:pPr>
            <w:r>
              <w:rPr>
                <w:rFonts w:ascii="Arial" w:cs="Arial" w:eastAsia="Arial" w:hAnsi="Arial"/>
                <w:sz w:val="13"/>
                <w:szCs w:val="13"/>
                <w:color w:val="auto"/>
                <w:w w:val="98"/>
              </w:rPr>
              <w:t>$ (26,124,750</w:t>
            </w:r>
            <w:r>
              <w:rPr>
                <w:rFonts w:ascii="Arial" w:cs="Arial" w:eastAsia="Arial" w:hAnsi="Arial"/>
                <w:sz w:val="24"/>
                <w:szCs w:val="24"/>
                <w:color w:val="auto"/>
                <w:w w:val="98"/>
                <w:vertAlign w:val="superscript"/>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4,610,084</w:t>
            </w:r>
          </w:p>
        </w:tc>
      </w:tr>
      <w:tr>
        <w:trPr>
          <w:trHeight w:val="21"/>
        </w:trPr>
        <w:tc>
          <w:tcPr>
            <w:tcW w:w="1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-2932430</wp:posOffset>
            </wp:positionV>
            <wp:extent cx="7246620" cy="2907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907030"/>
                    </a:xfrm>
                    <a:prstGeom prst="rect">
                      <a:avLst/>
                    </a:prstGeom>
                    <a:noFill/>
                  </pic:spPr>
                </pic:pic>
              </a:graphicData>
            </a:graphic>
          </wp:anchor>
        </w:drawing>
      </w:r>
    </w:p>
    <w:p>
      <w:pPr>
        <w:spacing w:after="0" w:line="11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2014 and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for the period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(1,025,393)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193,791</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Loss on disposal of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issued for services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94,998</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899,438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435,612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(588,672)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(894,911)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56,387</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11,633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134,046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215,210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1,196,975</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13,459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177,020</w:t>
            </w:r>
          </w:p>
        </w:tc>
        <w:tc>
          <w:tcPr>
            <w:tcW w:w="0" w:type="dxa"/>
            <w:vAlign w:val="bottom"/>
          </w:tcPr>
          <w:p>
            <w:pPr>
              <w:spacing w:after="0"/>
              <w:rPr>
                <w:sz w:val="1"/>
                <w:szCs w:val="1"/>
                <w:color w:val="auto"/>
              </w:rPr>
            </w:pPr>
          </w:p>
        </w:tc>
      </w:tr>
      <w:tr>
        <w:trPr>
          <w:trHeight w:val="210"/>
        </w:trPr>
        <w:tc>
          <w:tcPr>
            <w:tcW w:w="8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5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(56,350</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1,132,628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 rights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(150,588)</w:t>
            </w:r>
          </w:p>
        </w:tc>
        <w:tc>
          <w:tcPr>
            <w:tcW w:w="0" w:type="dxa"/>
            <w:vAlign w:val="bottom"/>
          </w:tcPr>
          <w:p>
            <w:pPr>
              <w:spacing w:after="0"/>
              <w:rPr>
                <w:sz w:val="1"/>
                <w:szCs w:val="1"/>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Web development costs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(292,417)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(148,060)</w:t>
            </w:r>
          </w:p>
        </w:tc>
        <w:tc>
          <w:tcPr>
            <w:tcW w:w="0" w:type="dxa"/>
            <w:vAlign w:val="bottom"/>
          </w:tcPr>
          <w:p>
            <w:pPr>
              <w:spacing w:after="0"/>
              <w:rPr>
                <w:sz w:val="1"/>
                <w:szCs w:val="1"/>
                <w:color w:val="auto"/>
              </w:rPr>
            </w:pPr>
          </w:p>
        </w:tc>
      </w:tr>
      <w:tr>
        <w:trPr>
          <w:trHeight w:val="236"/>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(409,952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24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8,795,032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8240" w:type="dxa"/>
            <w:vAlign w:val="bottom"/>
          </w:tcPr>
          <w:p>
            <w:pPr>
              <w:ind w:left="420"/>
              <w:spacing w:after="0"/>
              <w:rPr>
                <w:sz w:val="20"/>
                <w:szCs w:val="20"/>
                <w:color w:val="auto"/>
              </w:rPr>
            </w:pPr>
            <w:r>
              <w:rPr>
                <w:rFonts w:ascii="Arial" w:cs="Arial" w:eastAsia="Arial" w:hAnsi="Arial"/>
                <w:sz w:val="18"/>
                <w:szCs w:val="18"/>
                <w:color w:val="auto"/>
              </w:rPr>
              <w:t>Redemption of common and preferred stock</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(6,000,000)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2,795,032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240" w:type="dxa"/>
            <w:vAlign w:val="bottom"/>
          </w:tcPr>
          <w:p>
            <w:pPr>
              <w:spacing w:after="0" w:line="203"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2,328,730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833,980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1,118,243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284,263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40" w:type="dxa"/>
            <w:vAlign w:val="bottom"/>
            <w:vMerge w:val="continue"/>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3,446,973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1,118,243</w:t>
            </w:r>
          </w:p>
        </w:tc>
        <w:tc>
          <w:tcPr>
            <w:tcW w:w="0" w:type="dxa"/>
            <w:vAlign w:val="bottom"/>
          </w:tcPr>
          <w:p>
            <w:pPr>
              <w:spacing w:after="0"/>
              <w:rPr>
                <w:sz w:val="1"/>
                <w:szCs w:val="1"/>
                <w:color w:val="auto"/>
              </w:rPr>
            </w:pPr>
          </w:p>
        </w:tc>
      </w:tr>
      <w:tr>
        <w:trPr>
          <w:trHeight w:val="216"/>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24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Cash paid for income taxes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2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issued for future services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270,462</w:t>
            </w:r>
          </w:p>
        </w:tc>
        <w:tc>
          <w:tcPr>
            <w:tcW w:w="0" w:type="dxa"/>
            <w:vAlign w:val="bottom"/>
          </w:tcPr>
          <w:p>
            <w:pPr>
              <w:spacing w:after="0"/>
              <w:rPr>
                <w:sz w:val="1"/>
                <w:szCs w:val="1"/>
                <w:color w:val="auto"/>
              </w:rPr>
            </w:pPr>
          </w:p>
        </w:tc>
      </w:tr>
      <w:tr>
        <w:trPr>
          <w:trHeight w:val="21"/>
        </w:trPr>
        <w:tc>
          <w:tcPr>
            <w:tcW w:w="8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-5633720</wp:posOffset>
            </wp:positionV>
            <wp:extent cx="7246620" cy="5608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pacing w:after="0" w:line="18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OptimizeRx Corporation, is a technology solutions company targeting the health care industry. Our objective is to bring better access to better care through connecting patients, physicians and pharmaceutical manufacturers through technology. Originally defined as a marketing and advertising company through our consumer website, we have matured into a technology solutions provider as we launched our direct to physician solution, SampleMD. SampleMD allows physicians to search, print and send available sample trial vouchers and/or co-pay coupons on behalf of their patients. The SampleMD solution is integrated into the physician’s ePrescribing or Electronic Medical Records applications, but could also be a stand-alone desktop application. OptimizeRx solutions provide pharmaceutical manufacturers a direct to physician channel for communicating and promoting their products. It provides health care providers a means to provide sampling and coupons without having to physically store samples on site, and it provides better access and affordability to patients.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was originally formed as Optimizer Systems, LLC in the State of Michigan on January 31, 2006. It incorporated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which is a wholly-owned subsidiary (together, "OptimizeRx" and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cash, accounts receivable, prepaid expenses, accounts payable, accounts payable – related party, accrued expenses and deferred revenue approximates the carrying amount of these financial instruments due to their short-term nature.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 capitalized companies, historically there has been very little bad debt expense. Bad debt expense was $0 for each of the years ended December 31, 2014 and 2013. The allowance for doubtful accounts was $0 as of both December 31, 2014 and 2013.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The capital assets are being depreciated over their estimated useful lives of three to seven years using the straight-line method of depreciation for book purposes.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it is earned. Revenues are generated from our SampleMD activities in which we deliver eCoupons and eVouchers through a distribution network of ePrescribers and Electronic Health Record technology providers (channel partners), or from reselling services that complement our business for other of our partners.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setup fees that are required for integrating client offerings and campaigns into the SampleMD content delivery system and network upon completion of the setup and launch of the client’s campaign within the SampleMD system. As the eCoupons and or eVouchers are distributed through the SampleMD platform and network of channel partners (a transaction), these transactions are recorded and revenue is recognized at the time of distribution. Revenue for transactions can be realized based on a price per distribution or a price per redemption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on occasion has also resold products and or services that are available through our channel partners, and that is complementary to our core businesses and client base. In these instances net revenue is recognized based on the commission based revenue split that the company receives.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fees and can also be specific to special considerations and campaigns. In addition, we pay revenue share to PDR/LDM as a result of a 2014 legal settlement in an amount equal to the greater of 10% of eCoupon revenues generated or $0.37 per eCoupon distributed.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expenses research and development expenses as incurred. Our research efforts are focused on understanding the market dynamics that have the potential to affect the business in both the short and long term. Our primary goal is to help patients better afford and access the medicines their doctor prescribes, as well as other healthcare products and services they need. Based on this, the Company continually seeks better ways to meet this mission through improved technology, better user experiences and new ways to engage industries to provide new support for patients needing their products, as well seeking new services and solutions to offer.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 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0.90%-1.44%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0.79%-1.42%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 years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 - 138%</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 - 171%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7246620" cy="977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OptimizerRx’s stock options have characteristics significantly different from those of traded options, and changes in the subjective input assumptions could materially affect the fair value estimate.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have not been included in the diluted earnings per share calculation for either year since their effect is anti-dilutive.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3 – PREPAID EXPENSES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Prepaid expenses consisted of the following as of December 31, 2014 and 2013: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Legal</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prepaid expenses</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28,093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11,771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NOTE 4 – PROPERTY AND EQUIPMENT</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Company owned equipment recorded at cost which consisted of the following as of December 31, 2014 and 2013: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19,519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22,360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11,088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30,607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33,448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(17,794)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(18,391)</w:t>
            </w:r>
          </w:p>
        </w:tc>
        <w:tc>
          <w:tcPr>
            <w:tcW w:w="0" w:type="dxa"/>
            <w:vAlign w:val="bottom"/>
          </w:tcPr>
          <w:p>
            <w:pPr>
              <w:spacing w:after="0"/>
              <w:rPr>
                <w:sz w:val="1"/>
                <w:szCs w:val="1"/>
                <w:color w:val="auto"/>
              </w:rPr>
            </w:pPr>
          </w:p>
        </w:tc>
      </w:tr>
      <w:tr>
        <w:trPr>
          <w:trHeight w:val="27"/>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12,813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15,057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-2443480</wp:posOffset>
            </wp:positionV>
            <wp:extent cx="7246620" cy="771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77152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$5,933 and $5,628 for the years ended December 31, 2014 and 2013,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their web-based technology, which consisted of the following as of December 31, 2014 and 2013: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OptimizeRx web-based technology</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SampleMD web-based technology</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602,517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602,517</w:t>
            </w:r>
          </w:p>
        </w:tc>
        <w:tc>
          <w:tcPr>
            <w:tcW w:w="0" w:type="dxa"/>
            <w:vAlign w:val="bottom"/>
          </w:tcPr>
          <w:p>
            <w:pPr>
              <w:spacing w:after="0"/>
              <w:rPr>
                <w:sz w:val="1"/>
                <w:szCs w:val="1"/>
                <w:color w:val="auto"/>
              </w:rPr>
            </w:pPr>
          </w:p>
        </w:tc>
      </w:tr>
      <w:tr>
        <w:trPr>
          <w:trHeight w:val="25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SampleMD 2.0 web-based technology</w:t>
            </w: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440,477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148,060</w:t>
            </w: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Subtotal, web-based technology</w:t>
            </w:r>
          </w:p>
        </w:tc>
        <w:tc>
          <w:tcPr>
            <w:tcW w:w="3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1,197,127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904,710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(633,401)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(440,641)</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Impairment</w:t>
            </w:r>
          </w:p>
        </w:tc>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(59,083)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(59,083)</w:t>
            </w:r>
          </w:p>
        </w:tc>
        <w:tc>
          <w:tcPr>
            <w:tcW w:w="0" w:type="dxa"/>
            <w:vAlign w:val="bottom"/>
          </w:tcPr>
          <w:p>
            <w:pPr>
              <w:spacing w:after="0"/>
              <w:rPr>
                <w:sz w:val="1"/>
                <w:szCs w:val="1"/>
                <w:color w:val="auto"/>
              </w:rPr>
            </w:pPr>
          </w:p>
        </w:tc>
      </w:tr>
      <w:tr>
        <w:trPr>
          <w:trHeight w:val="27"/>
        </w:trPr>
        <w:tc>
          <w:tcPr>
            <w:tcW w:w="58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Web-based technology, net</w:t>
            </w:r>
          </w:p>
        </w:tc>
        <w:tc>
          <w:tcPr>
            <w:tcW w:w="3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vMerge w:val="continue"/>
            <w:shd w:val="clear" w:color="auto" w:fill="CCEEFF"/>
          </w:tcPr>
          <w:p>
            <w:pPr>
              <w:spacing w:after="0"/>
              <w:rPr>
                <w:sz w:val="21"/>
                <w:szCs w:val="21"/>
                <w:color w:val="auto"/>
              </w:rPr>
            </w:pPr>
          </w:p>
        </w:tc>
        <w:tc>
          <w:tcPr>
            <w:tcW w:w="3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504,643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404,986</w:t>
            </w:r>
          </w:p>
        </w:tc>
        <w:tc>
          <w:tcPr>
            <w:tcW w:w="0" w:type="dxa"/>
            <w:vAlign w:val="bottom"/>
          </w:tcPr>
          <w:p>
            <w:pPr>
              <w:spacing w:after="0"/>
              <w:rPr>
                <w:sz w:val="1"/>
                <w:szCs w:val="1"/>
                <w:color w:val="auto"/>
              </w:rPr>
            </w:pPr>
          </w:p>
        </w:tc>
      </w:tr>
      <w:tr>
        <w:trPr>
          <w:trHeight w:val="21"/>
        </w:trPr>
        <w:tc>
          <w:tcPr>
            <w:tcW w:w="58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12090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is recorded using the straight-line method over a period of up to five years. During 2014, the Company launched its SampleMD 2.0 web-based technology. The OptimizeRx web-based technology was fully impaired in 2010 and has no remaining carrying value. Amortization expense for the web-based technology costs was $192,760 and $130,289 for the years ended December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26, 2010, the Company acquired the technical contributions and assignment of all exclusive rights to and for the SampleMD patent from an officer and shareholder in exchange for 300,000 shares of common stock to be granted at the discretion of the seller in addition to 200,000 stock options, which expire in April 2015, that were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and defending the SampleMD patent, which consisted of the following as of December 31, 2014 and 2013: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Patent rights and intangible assets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Patent defense costs</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170,937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87,993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New patents and trademarks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62,595</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(260,285)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(194,638)</w:t>
            </w:r>
          </w:p>
        </w:tc>
        <w:tc>
          <w:tcPr>
            <w:tcW w:w="0" w:type="dxa"/>
            <w:vAlign w:val="bottom"/>
          </w:tcPr>
          <w:p>
            <w:pPr>
              <w:spacing w:after="0"/>
              <w:rPr>
                <w:sz w:val="1"/>
                <w:szCs w:val="1"/>
                <w:color w:val="auto"/>
              </w:rPr>
            </w:pPr>
          </w:p>
        </w:tc>
      </w:tr>
      <w:tr>
        <w:trPr>
          <w:trHeight w:val="27"/>
        </w:trPr>
        <w:tc>
          <w:tcPr>
            <w:tcW w:w="58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Patent rights and intangible assets, net</w:t>
            </w:r>
          </w:p>
        </w:tc>
        <w:tc>
          <w:tcPr>
            <w:tcW w:w="2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vMerge w:val="continue"/>
            <w:shd w:val="clear" w:color="auto" w:fill="CCEEFF"/>
          </w:tcPr>
          <w:p>
            <w:pPr>
              <w:spacing w:after="0"/>
              <w:rPr>
                <w:sz w:val="21"/>
                <w:szCs w:val="21"/>
                <w:color w:val="auto"/>
              </w:rPr>
            </w:pPr>
          </w:p>
        </w:tc>
        <w:tc>
          <w:tcPr>
            <w:tcW w:w="31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930,854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885,950</w:t>
            </w:r>
          </w:p>
        </w:tc>
        <w:tc>
          <w:tcPr>
            <w:tcW w:w="0" w:type="dxa"/>
            <w:vAlign w:val="bottom"/>
          </w:tcPr>
          <w:p>
            <w:pPr>
              <w:spacing w:after="0"/>
              <w:rPr>
                <w:sz w:val="1"/>
                <w:szCs w:val="1"/>
                <w:color w:val="auto"/>
              </w:rPr>
            </w:pPr>
          </w:p>
        </w:tc>
      </w:tr>
      <w:tr>
        <w:trPr>
          <w:trHeight w:val="21"/>
        </w:trPr>
        <w:tc>
          <w:tcPr>
            <w:tcW w:w="58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-934085</wp:posOffset>
            </wp:positionV>
            <wp:extent cx="7246620" cy="909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$65,647 and $57,874 for the years ended December 31, 2014 and 2013,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DEFERRED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several signed contracts with customers for the distribution or redemption of coupons, or other services, which include payment in advance. The payments are not recorded as revenue until the revenue is earned under its revenue recognition policy discussed in Note 1. Deferred revenue was $120,130 and $226,272 as of December 31, 2014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the technical contributions and assignment of all exclusive rights to and for the SampleMD patent in process at the time from an officer and shareholder in exchange for 300,000 shares of common stock to be granted at the discretion of the seller in addition to 200,000 stock options, which expire in April 2015, that were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December 31, 2014. There were 22,867,319 and 14,817,496 common shares issued and outstanding at December 31, 2014 and 2013, respectively.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closing price as of the date of the contract, which was $1.945/share; and the second 20,000 shares were valued at the Company’s common stock closing price of $1.50/share on the date of issuance, and have been expensed. An additional 10,000 shares were issued in 2014 before the agreement was terminated by the Company. The 2014 shares were valued at $1.85, the closing price of the Company’s common stock on the date of issuance.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10, 2013, the Company entered into a capital markets advisory agreement with Taglich Brothers, Inc. for various services. The agreement covered a one year period and the Company agreed to issue 44,000 shares of common stock to Taglich over the term of the agreement. The shares were valued at $1.66, the closing price of the stock on the date of the agreement and were written off over the term of the agreement. The shares were issued in June 2014 upon expiration of the contract.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20, 2013, the Company entered into a separation agreement that included post-employment consulting services with the former CEO of the Company. The Company agreed to issue 500,000 shares of common stock, 250,000 shares immediately and 250,000 by January 1, 2014. The shares have been issued and the Company recognized the entire issuance in the December 31, 2013 shares outstanding. The shares were valued at $505,000 and $174,808 of that amount remained as deferred stock compensation as of December 31, 2013, but has been fully amortized to expenses as of December 31, 2014.</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the Company entered into a securities purchase agreement, pursuant to which the Company sold 8,333,333 shares of the Company’s common stock for $1.20 per share, or gross proceeds of $10,000,000.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 (CONTINUED)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warrants were valued at $1,110,211, have been recorded as equity issuance costs, and were registered on a registration statement dated May 28, 2014. In addition to the warrants to placement agents, the Company also paid cash bonuses of $240,000 to three executive officers, agreed to issue 200,000 shares to three executive officers, and issued 150,000 shares to a consultant, in connection with the equity raise. The stock was valued based on the fair market value on the grant date, which was $630,000 in total. These amounts have been recorded as equity issuance costs, resulting in total equity issuance costs of $2.95 million. The 200,000 shares for the three executive officers have not been issued, but are recorded as stock payable and can be requested by the respective officers at any time.</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the net proceeds of the offering to exercise the securities redemption option agreement, as amended, with Vicis Capital Master Fund that provided the Company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was used for working capital purposes.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2014, an executive officer exercised 500,000 stock warrants using the cashless exercise feature included in the warrants. In exchange for the 500,000 warrants, 410,348 shares of common stock were issued. In October 2014, a consultant exercised 50,000 stock warrants using the cashless exercise feature included in the warrants. In exchange for the 50,000 warrants, 35,417 shares of common stock were issued.</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the Company agreed to grant 337,500 shares of common stock, half of which vested immediately and half of which vested in August 2014, to two executive officers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2014, the Company adopted a Director Compensation plan for outside Directors. In connection with this plan, 19,565 shares were granted with a total value of $23,166. A total of 7,065 shares were issued in 2014 and 12,500 shares were included in stock payable at December 31, 2014 and issued in January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could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and undeclared dividends of $350,000 that were due in February and September 2013 for a total undeclared amount of $700,000 as of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10, all of the Series A Preferred shares were redeemed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1,000,000 shares of common stock and bear a 10% cumulative dividend. In addition, there was a warrant issued to purchase 3,000,000 shares of common stock at an exercise price of $3 for a period of seven years.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 could cause this conversion at the time the shares are eligible for resale by the holder. The conversion price is subject to adjustment as hereinafter provided, at any time, or from time to time upon the terms and in the manner hereinafter set forth in the shareholder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and undeclared dividends of $150,000 that were due in February and September 2013 for a total undeclared amount of $300,000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9, all of the Series B Preferred shares were redeemed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 AND WARRANTS</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sponsors a stock-based incentive compensation plan known as the 2013 Equity Compensation Plan (the “Plan”), which was established by the Board of Directors of the Company and approved by the shareholders of the Company in June 2013. A total of 1,500,000 shares were initially reserved for issuance under the plan, of which 552,500 options have been granted, 537,500 shares have been granted, and 410,000 remain available for grant.</w:t>
      </w:r>
    </w:p>
    <w:p>
      <w:pPr>
        <w:spacing w:after="0" w:line="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plan allows the Company to grant incentive stock options, non-qualified stock options, stock appreciation right,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are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Prior to establishment of the plan, the Board granted options under terms similar to those described in the preceding paragraphs.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cost that has been charged against income related to options for the years ended December 31, 2014 and 2013, was $272,804 and $94,998, respectively. No income tax benefit was recognized in the income statement and no compensation was capitalized in any of the years presented.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NOTE 11 – STOCK OPTIONS AND WARRANTS (continued)</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The Company had the following option activity during the years ended December 31, 2014 and 2013:</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6"/>
        </w:trPr>
        <w:tc>
          <w:tcPr>
            <w:tcW w:w="8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1,484,100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Granted - 2013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2,175,000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Exercised - 2013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Expired – 2013</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(2,479,100)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Granted – 2014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387,500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Exercised – 2014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Expired – 2014</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88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Balance, December 31, 2014</w:t>
            </w: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vMerge w:val="continue"/>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1,307,500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
        </w:trPr>
        <w:tc>
          <w:tcPr>
            <w:tcW w:w="8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-1774825</wp:posOffset>
            </wp:positionV>
            <wp:extent cx="7246620" cy="17494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4942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12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issued warrants, primarily in connection with capital raising activities. As also discussed in Note 9, in 2014 we issued 804,139 warrants, with an exercise price of $1.20 per share, in connection with a $10 million equity raise, the proceeds of which were used to retire common stock, preferred, stock, and previously existing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outstanding as of December 31, 2014: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80" w:type="dxa"/>
            <w:vAlign w:val="bottom"/>
            <w:gridSpan w:val="2"/>
          </w:tcPr>
          <w:p>
            <w:pPr>
              <w:jc w:val="right"/>
              <w:ind w:right="1200"/>
              <w:spacing w:after="0"/>
              <w:rPr>
                <w:sz w:val="20"/>
                <w:szCs w:val="20"/>
                <w:color w:val="auto"/>
              </w:rPr>
            </w:pPr>
            <w:r>
              <w:rPr>
                <w:rFonts w:ascii="Arial" w:cs="Arial" w:eastAsia="Arial" w:hAnsi="Arial"/>
                <w:sz w:val="18"/>
                <w:szCs w:val="18"/>
                <w:color w:val="auto"/>
              </w:rPr>
              <w:t>Number of Warrants</w:t>
            </w:r>
          </w:p>
        </w:tc>
        <w:tc>
          <w:tcPr>
            <w:tcW w:w="140" w:type="dxa"/>
            <w:vAlign w:val="bottom"/>
          </w:tcPr>
          <w:p>
            <w:pPr>
              <w:spacing w:after="0"/>
              <w:rPr>
                <w:sz w:val="20"/>
                <w:szCs w:val="20"/>
                <w:color w:val="auto"/>
              </w:rPr>
            </w:pPr>
          </w:p>
        </w:tc>
        <w:tc>
          <w:tcPr>
            <w:tcW w:w="2820" w:type="dxa"/>
            <w:vAlign w:val="bottom"/>
          </w:tcPr>
          <w:p>
            <w:pPr>
              <w:jc w:val="right"/>
              <w:ind w:right="390"/>
              <w:spacing w:after="0"/>
              <w:rPr>
                <w:sz w:val="20"/>
                <w:szCs w:val="20"/>
                <w:color w:val="auto"/>
              </w:rPr>
            </w:pPr>
            <w:r>
              <w:rPr>
                <w:rFonts w:ascii="Arial" w:cs="Arial" w:eastAsia="Arial" w:hAnsi="Arial"/>
                <w:sz w:val="18"/>
                <w:szCs w:val="18"/>
                <w:color w:val="auto"/>
              </w:rPr>
              <w:t>Exercise Price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170"/>
              <w:spacing w:after="0"/>
              <w:rPr>
                <w:sz w:val="20"/>
                <w:szCs w:val="20"/>
                <w:color w:val="auto"/>
              </w:rPr>
            </w:pPr>
            <w:r>
              <w:rPr>
                <w:rFonts w:ascii="Arial" w:cs="Arial" w:eastAsia="Arial" w:hAnsi="Arial"/>
                <w:sz w:val="18"/>
                <w:szCs w:val="18"/>
                <w:color w:val="auto"/>
              </w:rPr>
              <w:t>Expiration Date</w:t>
            </w:r>
          </w:p>
        </w:tc>
      </w:tr>
      <w:tr>
        <w:trPr>
          <w:trHeight w:val="216"/>
        </w:trPr>
        <w:tc>
          <w:tcPr>
            <w:tcW w:w="3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r>
      <w:tr>
        <w:trPr>
          <w:trHeight w:val="216"/>
        </w:trPr>
        <w:tc>
          <w:tcPr>
            <w:tcW w:w="3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w:t>
            </w:r>
          </w:p>
        </w:tc>
        <w:tc>
          <w:tcPr>
            <w:tcW w:w="2960" w:type="dxa"/>
            <w:vAlign w:val="bottom"/>
            <w:gridSpan w:val="2"/>
            <w:shd w:val="clear" w:color="auto" w:fill="CCEEFF"/>
          </w:tcPr>
          <w:p>
            <w:pPr>
              <w:jc w:val="right"/>
              <w:ind w:right="26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36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10/5/2017</w:t>
            </w:r>
          </w:p>
        </w:tc>
      </w:tr>
      <w:tr>
        <w:trPr>
          <w:trHeight w:val="216"/>
        </w:trPr>
        <w:tc>
          <w:tcPr>
            <w:tcW w:w="378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2960" w:type="dxa"/>
            <w:vAlign w:val="bottom"/>
            <w:gridSpan w:val="2"/>
          </w:tcPr>
          <w:p>
            <w:pPr>
              <w:jc w:val="right"/>
              <w:ind w:right="26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0.89</w:t>
            </w:r>
          </w:p>
        </w:tc>
        <w:tc>
          <w:tcPr>
            <w:tcW w:w="3640" w:type="dxa"/>
            <w:vAlign w:val="bottom"/>
          </w:tcPr>
          <w:p>
            <w:pPr>
              <w:jc w:val="right"/>
              <w:ind w:right="1310"/>
              <w:spacing w:after="0"/>
              <w:rPr>
                <w:sz w:val="20"/>
                <w:szCs w:val="20"/>
                <w:color w:val="auto"/>
              </w:rPr>
            </w:pPr>
            <w:r>
              <w:rPr>
                <w:rFonts w:ascii="Arial" w:cs="Arial" w:eastAsia="Arial" w:hAnsi="Arial"/>
                <w:sz w:val="18"/>
                <w:szCs w:val="18"/>
                <w:color w:val="auto"/>
              </w:rPr>
              <w:t>2/17/2016</w:t>
            </w:r>
          </w:p>
        </w:tc>
      </w:tr>
      <w:tr>
        <w:trPr>
          <w:trHeight w:val="216"/>
        </w:trPr>
        <w:tc>
          <w:tcPr>
            <w:tcW w:w="3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804,139</w:t>
            </w:r>
          </w:p>
        </w:tc>
        <w:tc>
          <w:tcPr>
            <w:tcW w:w="2960" w:type="dxa"/>
            <w:vAlign w:val="bottom"/>
            <w:gridSpan w:val="2"/>
            <w:shd w:val="clear" w:color="auto" w:fill="CCEEFF"/>
          </w:tcPr>
          <w:p>
            <w:pPr>
              <w:jc w:val="right"/>
              <w:ind w:right="26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36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3/17/2019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557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 activity during the years ended December 31, 2014 and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20"/>
                <w:szCs w:val="20"/>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Outstanding, January 1, 2013</w:t>
            </w:r>
          </w:p>
        </w:tc>
        <w:tc>
          <w:tcPr>
            <w:tcW w:w="49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12,277,000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Granted - 2013</w:t>
            </w:r>
          </w:p>
        </w:tc>
        <w:tc>
          <w:tcPr>
            <w:tcW w:w="620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Exercised - 2013</w:t>
            </w:r>
          </w:p>
        </w:tc>
        <w:tc>
          <w:tcPr>
            <w:tcW w:w="620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900" w:type="dxa"/>
            <w:vAlign w:val="bottom"/>
          </w:tcPr>
          <w:p>
            <w:pPr>
              <w:spacing w:after="0"/>
              <w:rPr>
                <w:sz w:val="20"/>
                <w:szCs w:val="20"/>
                <w:color w:val="auto"/>
              </w:rPr>
            </w:pPr>
            <w:r>
              <w:rPr>
                <w:rFonts w:ascii="Arial" w:cs="Arial" w:eastAsia="Arial" w:hAnsi="Arial"/>
                <w:sz w:val="18"/>
                <w:szCs w:val="18"/>
                <w:color w:val="auto"/>
              </w:rPr>
              <w:t>Expired – 2013</w:t>
            </w:r>
          </w:p>
        </w:tc>
        <w:tc>
          <w:tcPr>
            <w:tcW w:w="6200" w:type="dxa"/>
            <w:vAlign w:val="bottom"/>
            <w:gridSpan w:val="3"/>
          </w:tcPr>
          <w:p>
            <w:pPr>
              <w:jc w:val="right"/>
              <w:ind w:right="80"/>
              <w:spacing w:after="0"/>
              <w:rPr>
                <w:sz w:val="20"/>
                <w:szCs w:val="20"/>
                <w:color w:val="auto"/>
              </w:rPr>
            </w:pPr>
            <w:r>
              <w:rPr>
                <w:rFonts w:ascii="Arial" w:cs="Arial" w:eastAsia="Arial" w:hAnsi="Arial"/>
                <w:sz w:val="18"/>
                <w:szCs w:val="18"/>
                <w:color w:val="auto"/>
              </w:rPr>
              <w:t>(527,000)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2"/>
        </w:trPr>
        <w:tc>
          <w:tcPr>
            <w:tcW w:w="3900" w:type="dxa"/>
            <w:vAlign w:val="bottom"/>
          </w:tcPr>
          <w:p>
            <w:pPr>
              <w:ind w:left="180"/>
              <w:spacing w:after="0" w:line="201" w:lineRule="exact"/>
              <w:rPr>
                <w:sz w:val="20"/>
                <w:szCs w:val="20"/>
                <w:color w:val="auto"/>
              </w:rPr>
            </w:pPr>
            <w:r>
              <w:rPr>
                <w:rFonts w:ascii="Arial" w:cs="Arial" w:eastAsia="Arial" w:hAnsi="Arial"/>
                <w:sz w:val="18"/>
                <w:szCs w:val="18"/>
                <w:color w:val="auto"/>
              </w:rPr>
              <w:t>Balance, December 31, 2013</w:t>
            </w:r>
          </w:p>
        </w:tc>
        <w:tc>
          <w:tcPr>
            <w:tcW w:w="49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11,750,000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Granted – 2014</w:t>
            </w:r>
          </w:p>
        </w:tc>
        <w:tc>
          <w:tcPr>
            <w:tcW w:w="6200" w:type="dxa"/>
            <w:vAlign w:val="bottom"/>
            <w:gridSpan w:val="3"/>
          </w:tcPr>
          <w:p>
            <w:pPr>
              <w:jc w:val="right"/>
              <w:ind w:right="140"/>
              <w:spacing w:after="0"/>
              <w:rPr>
                <w:sz w:val="20"/>
                <w:szCs w:val="20"/>
                <w:color w:val="auto"/>
              </w:rPr>
            </w:pPr>
            <w:r>
              <w:rPr>
                <w:rFonts w:ascii="Arial" w:cs="Arial" w:eastAsia="Arial" w:hAnsi="Arial"/>
                <w:sz w:val="18"/>
                <w:szCs w:val="18"/>
                <w:color w:val="auto"/>
              </w:rPr>
              <w:t>804,139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Exercised – 2014</w:t>
            </w:r>
          </w:p>
        </w:tc>
        <w:tc>
          <w:tcPr>
            <w:tcW w:w="6200" w:type="dxa"/>
            <w:vAlign w:val="bottom"/>
            <w:gridSpan w:val="3"/>
          </w:tcPr>
          <w:p>
            <w:pPr>
              <w:jc w:val="right"/>
              <w:ind w:right="80"/>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Cancelled - 2014</w:t>
            </w:r>
          </w:p>
        </w:tc>
        <w:tc>
          <w:tcPr>
            <w:tcW w:w="6200" w:type="dxa"/>
            <w:vAlign w:val="bottom"/>
            <w:gridSpan w:val="3"/>
          </w:tcPr>
          <w:p>
            <w:pPr>
              <w:jc w:val="right"/>
              <w:ind w:right="80"/>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0"/>
                <w:szCs w:val="20"/>
                <w:color w:val="auto"/>
              </w:rPr>
            </w:pPr>
            <w:r>
              <w:rPr>
                <w:rFonts w:ascii="Arial" w:cs="Arial" w:eastAsia="Arial" w:hAnsi="Arial"/>
                <w:sz w:val="18"/>
                <w:szCs w:val="18"/>
                <w:color w:val="auto"/>
              </w:rPr>
              <w:t>Expired – 2014</w:t>
            </w:r>
          </w:p>
        </w:tc>
        <w:tc>
          <w:tcPr>
            <w:tcW w:w="49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Balance, December 31, 2014</w:t>
            </w:r>
          </w:p>
        </w:tc>
        <w:tc>
          <w:tcPr>
            <w:tcW w:w="49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vMerge w:val="continue"/>
          </w:tcPr>
          <w:p>
            <w:pPr>
              <w:spacing w:after="0"/>
              <w:rPr>
                <w:sz w:val="21"/>
                <w:szCs w:val="21"/>
                <w:color w:val="auto"/>
              </w:rPr>
            </w:pPr>
          </w:p>
        </w:tc>
        <w:tc>
          <w:tcPr>
            <w:tcW w:w="492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1,854,139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0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3"/>
          </w:tcPr>
          <w:p>
            <w:pPr>
              <w:jc w:val="right"/>
              <w:ind w:right="4220"/>
              <w:spacing w:after="0"/>
              <w:rPr>
                <w:sz w:val="20"/>
                <w:szCs w:val="20"/>
                <w:color w:val="auto"/>
              </w:rPr>
            </w:pPr>
            <w:r>
              <w:rPr>
                <w:rFonts w:ascii="Arial" w:cs="Arial" w:eastAsia="Arial" w:hAnsi="Arial"/>
                <w:sz w:val="18"/>
                <w:szCs w:val="18"/>
                <w:color w:val="auto"/>
              </w:rPr>
              <w:t>F-18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the lease for its current office space located in Rochester Michigan on December 1, 2011 at an approximate rent of $5,000 per month. The initial lease term was for three years with an option to renew for an additional two years at approximately $5,200 per month. The lease was renewed and now expires on November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Minimum annual rent payments are as follows for the remainder term of the lease: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tcPr>
          <w:p>
            <w:pPr>
              <w:ind w:left="40"/>
              <w:spacing w:after="0"/>
              <w:rPr>
                <w:sz w:val="20"/>
                <w:szCs w:val="20"/>
                <w:color w:val="auto"/>
              </w:rPr>
            </w:pPr>
            <w:r>
              <w:rPr>
                <w:rFonts w:ascii="Arial" w:cs="Arial" w:eastAsia="Arial" w:hAnsi="Arial"/>
                <w:sz w:val="18"/>
                <w:szCs w:val="18"/>
                <w:color w:val="auto"/>
              </w:rPr>
              <w:t>Year ended December 31, 2015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62,418</w:t>
            </w:r>
          </w:p>
        </w:tc>
      </w:tr>
      <w:tr>
        <w:trPr>
          <w:trHeight w:val="251"/>
        </w:trPr>
        <w:tc>
          <w:tcPr>
            <w:tcW w:w="1018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57,217</w:t>
            </w:r>
          </w:p>
        </w:tc>
      </w:tr>
      <w:tr>
        <w:trPr>
          <w:trHeight w:val="250"/>
        </w:trPr>
        <w:tc>
          <w:tcPr>
            <w:tcW w:w="10180" w:type="dxa"/>
            <w:vAlign w:val="bottom"/>
          </w:tcPr>
          <w:p>
            <w:pPr>
              <w:spacing w:after="0" w:line="203" w:lineRule="exact"/>
              <w:rPr>
                <w:sz w:val="20"/>
                <w:szCs w:val="20"/>
                <w:color w:val="auto"/>
              </w:rPr>
            </w:pPr>
            <w:r>
              <w:rPr>
                <w:rFonts w:ascii="Arial" w:cs="Arial" w:eastAsia="Arial" w:hAnsi="Arial"/>
                <w:sz w:val="18"/>
                <w:szCs w:val="18"/>
                <w:color w:val="auto"/>
              </w:rPr>
              <w:t>Total lease commitment</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119,635</w:t>
            </w:r>
          </w:p>
        </w:tc>
      </w:tr>
      <w:tr>
        <w:trPr>
          <w:trHeight w:val="21"/>
        </w:trPr>
        <w:tc>
          <w:tcPr>
            <w:tcW w:w="10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NOTE 14 – MAJOR CUSTOMERS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40" w:type="dxa"/>
            <w:vAlign w:val="bottom"/>
            <w:gridSpan w:val="13"/>
          </w:tcPr>
          <w:p>
            <w:pPr>
              <w:spacing w:after="0"/>
              <w:rPr>
                <w:sz w:val="20"/>
                <w:szCs w:val="20"/>
                <w:color w:val="auto"/>
              </w:rPr>
            </w:pPr>
            <w:r>
              <w:rPr>
                <w:rFonts w:ascii="Arial" w:cs="Arial" w:eastAsia="Arial" w:hAnsi="Arial"/>
                <w:sz w:val="18"/>
                <w:szCs w:val="18"/>
                <w:color w:val="auto"/>
                <w:w w:val="92"/>
              </w:rPr>
              <w:t>The Company had the following major customers that individually accounted for 10% or more of revenue in any one of the years presented</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2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Percentage</w:t>
            </w:r>
          </w:p>
        </w:tc>
        <w:tc>
          <w:tcPr>
            <w:tcW w:w="2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A</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1,776,824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Company B</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797,972</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1,053,321</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C</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772,320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305,980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Company D</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644,702</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278,499</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628,741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71,030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All other customers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2,389,163</w:t>
            </w: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1,193,587</w:t>
            </w: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6,502,962</w:t>
            </w:r>
          </w:p>
        </w:tc>
        <w:tc>
          <w:tcPr>
            <w:tcW w:w="120" w:type="dxa"/>
            <w:vAlign w:val="bottom"/>
          </w:tcPr>
          <w:p>
            <w:pPr>
              <w:spacing w:after="0"/>
              <w:rPr>
                <w:sz w:val="22"/>
                <w:szCs w:val="22"/>
                <w:color w:val="auto"/>
              </w:rPr>
            </w:pPr>
          </w:p>
        </w:tc>
        <w:tc>
          <w:tcPr>
            <w:tcW w:w="1300" w:type="dxa"/>
            <w:vAlign w:val="bottom"/>
            <w:gridSpan w:val="2"/>
          </w:tcPr>
          <w:p>
            <w:pPr>
              <w:jc w:val="right"/>
              <w:ind w:right="1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4,679,741</w:t>
            </w:r>
          </w:p>
        </w:tc>
        <w:tc>
          <w:tcPr>
            <w:tcW w:w="120" w:type="dxa"/>
            <w:vAlign w:val="bottom"/>
          </w:tcPr>
          <w:p>
            <w:pPr>
              <w:spacing w:after="0"/>
              <w:rPr>
                <w:sz w:val="22"/>
                <w:szCs w:val="22"/>
                <w:color w:val="auto"/>
              </w:rPr>
            </w:pPr>
          </w:p>
        </w:tc>
        <w:tc>
          <w:tcPr>
            <w:tcW w:w="1180" w:type="dxa"/>
            <w:vAlign w:val="bottom"/>
            <w:gridSpan w:val="2"/>
          </w:tcPr>
          <w:p>
            <w:pPr>
              <w:jc w:val="right"/>
              <w:ind w:right="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NOTE 15 – INCOME TAXES</w:t>
            </w:r>
          </w:p>
        </w:tc>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30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-1628775</wp:posOffset>
            </wp:positionV>
            <wp:extent cx="7246620" cy="13290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29055"/>
                    </a:xfrm>
                    <a:prstGeom prst="rect">
                      <a:avLst/>
                    </a:prstGeom>
                    <a:noFill/>
                  </pic:spPr>
                </pic:pic>
              </a:graphicData>
            </a:graphic>
          </wp:anchor>
        </w:drawing>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2014, the Company had net operating loss carry forwards of approximately $8.8 million that expire from 2027 through 2034 that are available to offset future taxable income. The Company was formed in 2006 as a limited liability company and incorporated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years ended December 31, 2014 and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20" w:type="dxa"/>
            <w:vAlign w:val="bottom"/>
          </w:tcPr>
          <w:p>
            <w:pPr>
              <w:spacing w:after="0" w:line="201" w:lineRule="exact"/>
              <w:rPr>
                <w:sz w:val="20"/>
                <w:szCs w:val="20"/>
                <w:color w:val="auto"/>
              </w:rPr>
            </w:pPr>
            <w:r>
              <w:rPr>
                <w:rFonts w:ascii="Arial" w:cs="Arial" w:eastAsia="Arial" w:hAnsi="Arial"/>
                <w:sz w:val="18"/>
                <w:szCs w:val="18"/>
                <w:color w:val="auto"/>
              </w:rPr>
              <w:t>Federal income tax benefit attributable to:</w:t>
            </w:r>
          </w:p>
        </w:tc>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Current operations</w:t>
            </w:r>
          </w:p>
        </w:tc>
        <w:tc>
          <w:tcPr>
            <w:tcW w:w="4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349,000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Permanent and Timing Differences (net)</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(294,000)</w:t>
            </w:r>
          </w:p>
        </w:tc>
        <w:tc>
          <w:tcPr>
            <w:tcW w:w="0" w:type="dxa"/>
            <w:vAlign w:val="bottom"/>
          </w:tcPr>
          <w:p>
            <w:pPr>
              <w:spacing w:after="0"/>
              <w:rPr>
                <w:sz w:val="1"/>
                <w:szCs w:val="1"/>
                <w:color w:val="auto"/>
              </w:rPr>
            </w:pPr>
          </w:p>
        </w:tc>
      </w:tr>
      <w:tr>
        <w:trPr>
          <w:trHeight w:val="244"/>
        </w:trPr>
        <w:tc>
          <w:tcPr>
            <w:tcW w:w="43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(189,000)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vMerge w:val="restart"/>
          </w:tcPr>
          <w:p>
            <w:pPr>
              <w:ind w:left="360"/>
              <w:spacing w:after="0"/>
              <w:rPr>
                <w:sz w:val="20"/>
                <w:szCs w:val="20"/>
                <w:color w:val="auto"/>
              </w:rPr>
            </w:pPr>
            <w:r>
              <w:rPr>
                <w:rFonts w:ascii="Arial" w:cs="Arial" w:eastAsia="Arial" w:hAnsi="Arial"/>
                <w:sz w:val="18"/>
                <w:szCs w:val="18"/>
                <w:color w:val="auto"/>
              </w:rPr>
              <w:t>Net provision for federal income tax</w:t>
            </w:r>
          </w:p>
        </w:tc>
        <w:tc>
          <w:tcPr>
            <w:tcW w:w="4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vMerge w:val="continue"/>
          </w:tcPr>
          <w:p>
            <w:pPr>
              <w:spacing w:after="0"/>
              <w:rPr>
                <w:sz w:val="21"/>
                <w:szCs w:val="21"/>
                <w:color w:val="auto"/>
              </w:rPr>
            </w:pPr>
          </w:p>
        </w:tc>
        <w:tc>
          <w:tcPr>
            <w:tcW w:w="4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right"/>
              <w:ind w:right="3180"/>
              <w:spacing w:after="0"/>
              <w:rPr>
                <w:sz w:val="20"/>
                <w:szCs w:val="20"/>
                <w:color w:val="auto"/>
              </w:rPr>
            </w:pPr>
            <w:r>
              <w:rPr>
                <w:rFonts w:ascii="Arial" w:cs="Arial" w:eastAsia="Arial" w:hAnsi="Arial"/>
                <w:sz w:val="18"/>
                <w:szCs w:val="18"/>
                <w:color w:val="auto"/>
              </w:rPr>
              <w:t>F-19</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 as of December 31, 2013 and 2012: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Deferred tax asset attributable to:</w:t>
            </w:r>
          </w:p>
        </w:tc>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Net operating loss carryover</w:t>
            </w: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2,982,000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(2,982,000)</w:t>
            </w:r>
          </w:p>
        </w:tc>
        <w:tc>
          <w:tcPr>
            <w:tcW w:w="2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(2,793,000)</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360"/>
              <w:spacing w:after="0"/>
              <w:rPr>
                <w:sz w:val="20"/>
                <w:szCs w:val="20"/>
                <w:color w:val="auto"/>
              </w:rPr>
            </w:pPr>
            <w:r>
              <w:rPr>
                <w:rFonts w:ascii="Arial" w:cs="Arial" w:eastAsia="Arial" w:hAnsi="Arial"/>
                <w:sz w:val="18"/>
                <w:szCs w:val="18"/>
                <w:color w:val="auto"/>
              </w:rPr>
              <w:t>Net deferred tax asset</w:t>
            </w:r>
          </w:p>
        </w:tc>
        <w:tc>
          <w:tcPr>
            <w:tcW w:w="3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vMerge w:val="continue"/>
          </w:tcPr>
          <w:p>
            <w:pPr>
              <w:spacing w:after="0"/>
              <w:rPr>
                <w:sz w:val="21"/>
                <w:szCs w:val="21"/>
                <w:color w:val="auto"/>
              </w:rPr>
            </w:pP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2014, we initial litigation against Shadron Stastney, the Company’s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2015, we initiated litigation against LDM Group, LLC and PDR Network, LLC in the United States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the Company to distribute its eCoupon programs in the LDM network, not allowing the Company to distribute the LDM patient education programs, and not providing other information required under the settlement agreement. The Company is seeking enforcement of the settlement agreement and is seeking damages in an amount at least equal to the amounts paid to date to LDM under the settlement agreement, which approximates $900,000, as well as damages for lost income and business value as a result of LDM’s breach of the agreement.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United States District Court in the District of New Jersey as a result of PDR’s breach of the Master Services Agreement between the parties requiring PDR to exclusively use the Company’s eCoupon solution. The Company asserts that PDR’s acquisition of LDM and the use of the LDM network to distribute coupons by PDR violates the agreement between the parties and is seeking damages in an amount at least equal the amounts paid to date by the Company to LDM under the settlement agreement, which approximates $900,000, as well as damages for lost income and business value as a result of PDR’s 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LIABILITIES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early 2014 the Company learned that Mr. Milton Wilpon (“Mr. Wilpon”) of New Jersey claimed to have obtained a default judgment for approximately $929,000 in the New Jersey Superior Court, Essex County (the “Judgment”) against a predecessor of the Company and was seeking to amend the Judgment to add the Company as a judgment debtor. The Judgment was entered in 2006 when the predecessor of the Company was a dormant shell company and the Judgment allegedly related to a settlement agreement that was breached in 2001 (the “Settlement Agreement”). The Company appeared in the action and filed a motion to vacate the Judgment on several grounds, including that it appeared that the Summons and Complaint were never properly served and that plaintiff had never filed an arbitration as was required by the Settlement Agreement. In September 2014, the Court granted the Company’s motion and vacated the Judgment in its entirety and dismissed the action.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2014, the Company was served with a copy of a Demand for Arbitration filed by Mr. Wilpon relating to his claims under the Settlement Agreement. On February 24, 2015, the Company filed an appearance with the AAA objecting to the arbitration on several grounds, including (1) that claims arose in 2001 and are barred by the applicable statute of limitations; (2) plaintiff did not properly serve and file the demand for arbitration and (3) plaintiff has not followed the proper procedure for the appointment of an arbitrator as provided by the Settlement Agreement. The Company intends vigorously to oppose Mr. Wilpon’s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RESTATEMENT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discovered and recorded items requiring it to restate its 2013 financial results, as well as its 2014 quarterly results, to correct the accounting for certain transactions contained therein. The restatement relates to unrecorded stock compensation related to investor relations and consulting services, unrecorded revenue share payables, and changes in revenue recognition, all occurring during the year ended December 31, 2013. The revenue recognition relates to promotional programs started in 2013 that were expected to be completed in 2013, but actually carried over into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were restated in the 2013 Annual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Balance Sheet</w:t>
            </w:r>
          </w:p>
        </w:tc>
        <w:tc>
          <w:tcPr>
            <w:tcW w:w="1360" w:type="dxa"/>
            <w:vAlign w:val="bottom"/>
            <w:gridSpan w:val="3"/>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w w:val="87"/>
              </w:rPr>
              <w:t>Previously stated</w:t>
            </w:r>
          </w:p>
        </w:tc>
        <w:tc>
          <w:tcPr>
            <w:tcW w:w="280" w:type="dxa"/>
            <w:vAlign w:val="bottom"/>
          </w:tcPr>
          <w:p>
            <w:pPr>
              <w:spacing w:after="0"/>
              <w:rPr>
                <w:sz w:val="21"/>
                <w:szCs w:val="21"/>
                <w:color w:val="auto"/>
              </w:rPr>
            </w:pPr>
          </w:p>
        </w:tc>
        <w:tc>
          <w:tcPr>
            <w:tcW w:w="1760" w:type="dxa"/>
            <w:vAlign w:val="bottom"/>
            <w:gridSpan w:val="3"/>
          </w:tcPr>
          <w:p>
            <w:pPr>
              <w:jc w:val="right"/>
              <w:ind w:right="840"/>
              <w:spacing w:after="0"/>
              <w:rPr>
                <w:sz w:val="20"/>
                <w:szCs w:val="20"/>
                <w:color w:val="auto"/>
              </w:rPr>
            </w:pPr>
            <w:r>
              <w:rPr>
                <w:rFonts w:ascii="Arial" w:cs="Arial" w:eastAsia="Arial" w:hAnsi="Arial"/>
                <w:sz w:val="18"/>
                <w:szCs w:val="18"/>
                <w:color w:val="auto"/>
                <w:w w:val="90"/>
              </w:rPr>
              <w:t>Adjustments</w:t>
            </w:r>
          </w:p>
        </w:tc>
        <w:tc>
          <w:tcPr>
            <w:tcW w:w="260" w:type="dxa"/>
            <w:vAlign w:val="bottom"/>
          </w:tcPr>
          <w:p>
            <w:pPr>
              <w:spacing w:after="0"/>
              <w:rPr>
                <w:sz w:val="21"/>
                <w:szCs w:val="21"/>
                <w:color w:val="auto"/>
              </w:rPr>
            </w:pP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Restated</w:t>
            </w:r>
          </w:p>
        </w:tc>
        <w:tc>
          <w:tcPr>
            <w:tcW w:w="0" w:type="dxa"/>
            <w:vAlign w:val="bottom"/>
          </w:tcPr>
          <w:p>
            <w:pPr>
              <w:spacing w:after="0"/>
              <w:rPr>
                <w:sz w:val="1"/>
                <w:szCs w:val="1"/>
                <w:color w:val="auto"/>
              </w:rPr>
            </w:pPr>
          </w:p>
        </w:tc>
      </w:tr>
      <w:tr>
        <w:trPr>
          <w:trHeight w:val="20"/>
        </w:trPr>
        <w:tc>
          <w:tcPr>
            <w:tcW w:w="4560" w:type="dxa"/>
            <w:vAlign w:val="bottom"/>
            <w:gridSpan w:val="7"/>
            <w:vMerge w:val="restart"/>
          </w:tcPr>
          <w:p>
            <w:pPr>
              <w:ind w:left="100"/>
              <w:spacing w:after="0"/>
              <w:rPr>
                <w:sz w:val="20"/>
                <w:szCs w:val="20"/>
                <w:color w:val="auto"/>
              </w:rPr>
            </w:pPr>
            <w:r>
              <w:rPr>
                <w:rFonts w:ascii="Arial" w:cs="Arial" w:eastAsia="Arial" w:hAnsi="Arial"/>
                <w:sz w:val="18"/>
                <w:szCs w:val="18"/>
                <w:color w:val="auto"/>
              </w:rPr>
              <w:t>Accounts receivable</w:t>
            </w:r>
          </w:p>
        </w:tc>
        <w:tc>
          <w:tcPr>
            <w:tcW w:w="1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60" w:type="dxa"/>
            <w:vAlign w:val="bottom"/>
            <w:gridSpan w:val="7"/>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1,566,964</w:t>
            </w:r>
          </w:p>
        </w:tc>
        <w:tc>
          <w:tcPr>
            <w:tcW w:w="700" w:type="dxa"/>
            <w:vAlign w:val="bottom"/>
            <w:vMerge w:val="continue"/>
          </w:tcPr>
          <w:p>
            <w:pPr>
              <w:spacing w:after="0"/>
              <w:rPr>
                <w:sz w:val="16"/>
                <w:szCs w:val="16"/>
                <w:color w:val="auto"/>
              </w:rPr>
            </w:pPr>
          </w:p>
        </w:tc>
        <w:tc>
          <w:tcPr>
            <w:tcW w:w="280" w:type="dxa"/>
            <w:vAlign w:val="bottom"/>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(55,255)</w:t>
            </w:r>
          </w:p>
        </w:tc>
        <w:tc>
          <w:tcPr>
            <w:tcW w:w="680" w:type="dxa"/>
            <w:vAlign w:val="bottom"/>
            <w:vMerge w:val="continue"/>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1,511,709</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Revenue share payable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1,193,661</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93,891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1,287,552</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Deferred 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4,252</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222,020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226,272</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Additional paid in capital</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8,726,708</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148,477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8,875,155</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Deferred stock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(233,942)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(36,520)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(270,462)</w:t>
            </w:r>
          </w:p>
        </w:tc>
        <w:tc>
          <w:tcPr>
            <w:tcW w:w="0" w:type="dxa"/>
            <w:vAlign w:val="bottom"/>
          </w:tcPr>
          <w:p>
            <w:pPr>
              <w:spacing w:after="0"/>
              <w:rPr>
                <w:sz w:val="1"/>
                <w:szCs w:val="1"/>
                <w:color w:val="auto"/>
              </w:rPr>
            </w:pPr>
          </w:p>
        </w:tc>
      </w:tr>
      <w:tr>
        <w:trPr>
          <w:trHeight w:val="230"/>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Accumulated deficit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(24,616,220)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(483,137)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(25,099,357)</w:t>
            </w:r>
          </w:p>
        </w:tc>
        <w:tc>
          <w:tcPr>
            <w:tcW w:w="0" w:type="dxa"/>
            <w:vAlign w:val="bottom"/>
          </w:tcPr>
          <w:p>
            <w:pPr>
              <w:spacing w:after="0"/>
              <w:rPr>
                <w:sz w:val="1"/>
                <w:szCs w:val="1"/>
                <w:color w:val="auto"/>
              </w:rPr>
            </w:pPr>
          </w:p>
        </w:tc>
      </w:tr>
      <w:tr>
        <w:trPr>
          <w:trHeight w:val="392"/>
        </w:trPr>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Statement of Operations</w:t>
            </w:r>
          </w:p>
        </w:tc>
        <w:tc>
          <w:tcPr>
            <w:tcW w:w="100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4,957,016</w:t>
            </w:r>
          </w:p>
        </w:tc>
        <w:tc>
          <w:tcPr>
            <w:tcW w:w="7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(277,275)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4,679,741</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Revenue share expense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1,767,425</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93,891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1,861,316</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Operating expenses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2,973,990</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111,701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3,085,691</w:t>
            </w:r>
          </w:p>
        </w:tc>
        <w:tc>
          <w:tcPr>
            <w:tcW w:w="0" w:type="dxa"/>
            <w:vAlign w:val="bottom"/>
          </w:tcPr>
          <w:p>
            <w:pPr>
              <w:spacing w:after="0"/>
              <w:rPr>
                <w:sz w:val="1"/>
                <w:szCs w:val="1"/>
                <w:color w:val="auto"/>
              </w:rPr>
            </w:pPr>
          </w:p>
        </w:tc>
      </w:tr>
      <w:tr>
        <w:trPr>
          <w:trHeight w:val="230"/>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Net income (loss)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215,847</w:t>
            </w:r>
          </w:p>
        </w:tc>
        <w:tc>
          <w:tcPr>
            <w:tcW w:w="7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(483,137)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392"/>
        </w:trPr>
        <w:tc>
          <w:tcPr>
            <w:tcW w:w="1780" w:type="dxa"/>
            <w:vAlign w:val="bottom"/>
          </w:tcPr>
          <w:p>
            <w:pPr>
              <w:spacing w:after="0"/>
              <w:rPr>
                <w:sz w:val="24"/>
                <w:szCs w:val="24"/>
                <w:color w:val="auto"/>
              </w:rPr>
            </w:pPr>
          </w:p>
        </w:tc>
        <w:tc>
          <w:tcPr>
            <w:tcW w:w="2780" w:type="dxa"/>
            <w:vAlign w:val="bottom"/>
            <w:gridSpan w:val="6"/>
          </w:tcPr>
          <w:p>
            <w:pPr>
              <w:jc w:val="center"/>
              <w:ind w:right="980"/>
              <w:spacing w:after="0"/>
              <w:rPr>
                <w:sz w:val="20"/>
                <w:szCs w:val="20"/>
                <w:color w:val="auto"/>
              </w:rPr>
            </w:pPr>
            <w:r>
              <w:rPr>
                <w:rFonts w:ascii="Arial" w:cs="Arial" w:eastAsia="Arial" w:hAnsi="Arial"/>
                <w:sz w:val="18"/>
                <w:szCs w:val="18"/>
                <w:color w:val="auto"/>
                <w:w w:val="89"/>
              </w:rPr>
              <w:t>Statement of Cash Flows</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8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5"/>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215,847</w:t>
            </w:r>
          </w:p>
        </w:tc>
        <w:tc>
          <w:tcPr>
            <w:tcW w:w="7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(483,137)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Stock options issued for services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19,547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75,451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94,998</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399,092</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36,520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435,612</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Changes in accounts receivable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(950,166)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55,255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(894,911)</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Changes in revenue share payable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1,103,084</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93,891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1,196,975</w:t>
            </w:r>
          </w:p>
        </w:tc>
        <w:tc>
          <w:tcPr>
            <w:tcW w:w="0" w:type="dxa"/>
            <w:vAlign w:val="bottom"/>
          </w:tcPr>
          <w:p>
            <w:pPr>
              <w:spacing w:after="0"/>
              <w:rPr>
                <w:sz w:val="1"/>
                <w:szCs w:val="1"/>
                <w:color w:val="auto"/>
              </w:rPr>
            </w:pPr>
          </w:p>
        </w:tc>
      </w:tr>
      <w:tr>
        <w:trPr>
          <w:trHeight w:val="230"/>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Changes in deferred 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(45,000)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222,020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177,020</w:t>
            </w:r>
          </w:p>
        </w:tc>
        <w:tc>
          <w:tcPr>
            <w:tcW w:w="0" w:type="dxa"/>
            <w:vAlign w:val="bottom"/>
          </w:tcPr>
          <w:p>
            <w:pPr>
              <w:spacing w:after="0"/>
              <w:rPr>
                <w:sz w:val="1"/>
                <w:szCs w:val="1"/>
                <w:color w:val="auto"/>
              </w:rPr>
            </w:pPr>
          </w:p>
        </w:tc>
      </w:tr>
      <w:tr>
        <w:trPr>
          <w:trHeight w:val="669"/>
        </w:trPr>
        <w:tc>
          <w:tcPr>
            <w:tcW w:w="1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F-22</w:t>
            </w: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following tables show the effect of the restatement on the unaudited quarterly information previously filed.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Period Ended September 30, 2013 (unaudited):</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gridSpan w:val="9"/>
          </w:tcPr>
          <w:p>
            <w:pPr>
              <w:jc w:val="center"/>
              <w:ind w:right="840"/>
              <w:spacing w:after="0" w:line="203" w:lineRule="exact"/>
              <w:rPr>
                <w:sz w:val="20"/>
                <w:szCs w:val="20"/>
                <w:color w:val="auto"/>
              </w:rPr>
            </w:pPr>
            <w:r>
              <w:rPr>
                <w:rFonts w:ascii="Arial" w:cs="Arial" w:eastAsia="Arial" w:hAnsi="Arial"/>
                <w:sz w:val="18"/>
                <w:szCs w:val="18"/>
                <w:color w:val="auto"/>
                <w:w w:val="88"/>
              </w:rPr>
              <w:t>Balance Sheet</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600"/>
              <w:spacing w:after="0" w:line="203" w:lineRule="exact"/>
              <w:rPr>
                <w:sz w:val="20"/>
                <w:szCs w:val="20"/>
                <w:color w:val="auto"/>
              </w:rPr>
            </w:pPr>
            <w:r>
              <w:rPr>
                <w:rFonts w:ascii="Arial" w:cs="Arial" w:eastAsia="Arial" w:hAnsi="Arial"/>
                <w:sz w:val="18"/>
                <w:szCs w:val="18"/>
                <w:color w:val="auto"/>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payable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782,902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811,278</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13,272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161,132</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Additional paid in capital</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8,449,271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148,477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8,597,748</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stock compensation</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(233,077)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(54,780)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(287,857)</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Accumulated deficit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(24,870,854)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(25,141,061)</w:t>
            </w:r>
          </w:p>
        </w:tc>
      </w:tr>
      <w:tr>
        <w:trPr>
          <w:trHeight w:val="392"/>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Statement of Operations</w:t>
            </w:r>
          </w:p>
        </w:tc>
        <w:tc>
          <w:tcPr>
            <w:tcW w:w="780" w:type="dxa"/>
            <w:vAlign w:val="bottom"/>
            <w:gridSpan w:val="4"/>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5380" w:type="dxa"/>
            <w:vAlign w:val="bottom"/>
            <w:gridSpan w:val="13"/>
          </w:tcPr>
          <w:p>
            <w:pPr>
              <w:jc w:val="center"/>
              <w:ind w:left="1990"/>
              <w:spacing w:after="0"/>
              <w:rPr>
                <w:sz w:val="20"/>
                <w:szCs w:val="20"/>
                <w:color w:val="auto"/>
              </w:rPr>
            </w:pPr>
            <w:r>
              <w:rPr>
                <w:rFonts w:ascii="Arial" w:cs="Arial" w:eastAsia="Arial" w:hAnsi="Arial"/>
                <w:sz w:val="18"/>
                <w:szCs w:val="18"/>
                <w:color w:val="auto"/>
                <w:w w:val="89"/>
              </w:rPr>
              <w:t>Three Months ended September 30, 2013</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1,373,029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1,225,169</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expense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529,134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557,510</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982,504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93,971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1,076,475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Net income (loss)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(141,527)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(411,734)</w:t>
            </w:r>
          </w:p>
        </w:tc>
      </w:tr>
      <w:tr>
        <w:trPr>
          <w:trHeight w:val="216"/>
        </w:trPr>
        <w:tc>
          <w:tcPr>
            <w:tcW w:w="5380" w:type="dxa"/>
            <w:vAlign w:val="bottom"/>
            <w:gridSpan w:val="13"/>
          </w:tcPr>
          <w:p>
            <w:pPr>
              <w:jc w:val="center"/>
              <w:ind w:left="1970"/>
              <w:spacing w:after="0"/>
              <w:rPr>
                <w:sz w:val="20"/>
                <w:szCs w:val="20"/>
                <w:color w:val="auto"/>
              </w:rPr>
            </w:pPr>
            <w:r>
              <w:rPr>
                <w:rFonts w:ascii="Arial" w:cs="Arial" w:eastAsia="Arial" w:hAnsi="Arial"/>
                <w:sz w:val="18"/>
                <w:szCs w:val="18"/>
                <w:color w:val="auto"/>
                <w:w w:val="90"/>
              </w:rPr>
              <w:t>Nine Months ended September 30, 2013</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3,146,406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2,998,546</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expense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1,264,059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1,292,435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2,272,239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93,971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2,366,210</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Net income (loss)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(389,716)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(659,923)</w:t>
            </w:r>
          </w:p>
        </w:tc>
      </w:tr>
      <w:tr>
        <w:trPr>
          <w:trHeight w:val="392"/>
        </w:trPr>
        <w:tc>
          <w:tcPr>
            <w:tcW w:w="5380" w:type="dxa"/>
            <w:vAlign w:val="bottom"/>
            <w:gridSpan w:val="13"/>
          </w:tcPr>
          <w:p>
            <w:pPr>
              <w:jc w:val="center"/>
              <w:ind w:left="1970"/>
              <w:spacing w:after="0"/>
              <w:rPr>
                <w:sz w:val="20"/>
                <w:szCs w:val="20"/>
                <w:color w:val="auto"/>
              </w:rPr>
            </w:pPr>
            <w:r>
              <w:rPr>
                <w:rFonts w:ascii="Arial" w:cs="Arial" w:eastAsia="Arial" w:hAnsi="Arial"/>
                <w:sz w:val="18"/>
                <w:szCs w:val="18"/>
                <w:color w:val="auto"/>
                <w:w w:val="89"/>
              </w:rPr>
              <w:t>Statement of Cash Flows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9"/>
          </w:tcPr>
          <w:p>
            <w:pPr>
              <w:spacing w:after="0"/>
              <w:rPr>
                <w:sz w:val="19"/>
                <w:szCs w:val="19"/>
                <w:color w:val="auto"/>
              </w:rPr>
            </w:pPr>
          </w:p>
        </w:tc>
        <w:tc>
          <w:tcPr>
            <w:tcW w:w="760" w:type="dxa"/>
            <w:vAlign w:val="bottom"/>
            <w:gridSpan w:val="3"/>
          </w:tcPr>
          <w:p>
            <w:pPr>
              <w:spacing w:after="0"/>
              <w:rPr>
                <w:sz w:val="19"/>
                <w:szCs w:val="19"/>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(389,716)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(659,923)</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Stock-based compensation</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310,823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93,971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404,794</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revenue share payable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649,825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678,201</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deferred 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(35,980)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111,880</w:t>
            </w:r>
          </w:p>
        </w:tc>
      </w:tr>
      <w:tr>
        <w:trPr>
          <w:trHeight w:val="432"/>
        </w:trPr>
        <w:tc>
          <w:tcPr>
            <w:tcW w:w="5380" w:type="dxa"/>
            <w:vAlign w:val="bottom"/>
            <w:gridSpan w:val="13"/>
          </w:tcPr>
          <w:p>
            <w:pPr>
              <w:spacing w:after="0"/>
              <w:rPr>
                <w:sz w:val="20"/>
                <w:szCs w:val="20"/>
                <w:color w:val="auto"/>
              </w:rPr>
            </w:pPr>
            <w:r>
              <w:rPr>
                <w:rFonts w:ascii="Arial" w:cs="Arial" w:eastAsia="Arial" w:hAnsi="Arial"/>
                <w:sz w:val="18"/>
                <w:szCs w:val="18"/>
                <w:color w:val="auto"/>
              </w:rPr>
              <w:t>Period Ended March 31, 2014 (unaudited):</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gridSpan w:val="8"/>
          </w:tcPr>
          <w:p>
            <w:pPr>
              <w:jc w:val="center"/>
              <w:ind w:right="1040"/>
              <w:spacing w:after="0" w:line="203" w:lineRule="exact"/>
              <w:rPr>
                <w:sz w:val="20"/>
                <w:szCs w:val="20"/>
                <w:color w:val="auto"/>
              </w:rPr>
            </w:pPr>
            <w:r>
              <w:rPr>
                <w:rFonts w:ascii="Arial" w:cs="Arial" w:eastAsia="Arial" w:hAnsi="Arial"/>
                <w:sz w:val="18"/>
                <w:szCs w:val="18"/>
                <w:color w:val="auto"/>
                <w:w w:val="87"/>
              </w:rPr>
              <w:t>Balance Sheet</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540"/>
              <w:spacing w:after="0" w:line="203" w:lineRule="exact"/>
              <w:rPr>
                <w:sz w:val="20"/>
                <w:szCs w:val="20"/>
                <w:color w:val="auto"/>
              </w:rPr>
            </w:pPr>
            <w:r>
              <w:rPr>
                <w:rFonts w:ascii="Arial" w:cs="Arial" w:eastAsia="Arial" w:hAnsi="Arial"/>
                <w:sz w:val="18"/>
                <w:szCs w:val="18"/>
                <w:color w:val="auto"/>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payable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797,725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167,880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965,605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revenue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168,714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268,807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437,521</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Additional paid in capital</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27,155,730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148,477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27,304,207</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stock compensation</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(454,409)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(18,260)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(472,669)</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Accumulated deficit</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(25,269,535)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(591,917)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(25,861,452)</w:t>
            </w:r>
          </w:p>
        </w:tc>
      </w:tr>
      <w:tr>
        <w:trPr>
          <w:trHeight w:val="392"/>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Statement of Operations</w:t>
            </w:r>
          </w:p>
        </w:tc>
        <w:tc>
          <w:tcPr>
            <w:tcW w:w="720" w:type="dxa"/>
            <w:vAlign w:val="bottom"/>
            <w:gridSpan w:val="2"/>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5380" w:type="dxa"/>
            <w:vAlign w:val="bottom"/>
            <w:gridSpan w:val="13"/>
          </w:tcPr>
          <w:p>
            <w:pPr>
              <w:jc w:val="center"/>
              <w:ind w:left="2090"/>
              <w:spacing w:after="0"/>
              <w:rPr>
                <w:sz w:val="20"/>
                <w:szCs w:val="20"/>
                <w:color w:val="auto"/>
              </w:rPr>
            </w:pPr>
            <w:r>
              <w:rPr>
                <w:rFonts w:ascii="Arial" w:cs="Arial" w:eastAsia="Arial" w:hAnsi="Arial"/>
                <w:sz w:val="18"/>
                <w:szCs w:val="18"/>
                <w:color w:val="auto"/>
                <w:w w:val="90"/>
              </w:rPr>
              <w:t>Three Months ended March 31, 2014</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1,317,347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(27,919)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1,289,428</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expense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498,810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62,601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561,411</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Operating expenses</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1,471,598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1,489,858</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Net income (loss)</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(653,315)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(108,780)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(762,095)</w:t>
            </w:r>
          </w:p>
        </w:tc>
      </w:tr>
      <w:tr>
        <w:trPr>
          <w:trHeight w:val="392"/>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ind w:right="660"/>
              <w:spacing w:after="0"/>
              <w:rPr>
                <w:sz w:val="20"/>
                <w:szCs w:val="20"/>
                <w:color w:val="auto"/>
              </w:rPr>
            </w:pPr>
            <w:r>
              <w:rPr>
                <w:rFonts w:ascii="Arial" w:cs="Arial" w:eastAsia="Arial" w:hAnsi="Arial"/>
                <w:sz w:val="18"/>
                <w:szCs w:val="18"/>
                <w:color w:val="auto"/>
                <w:w w:val="89"/>
              </w:rPr>
              <w:t>Statement of Cash Flows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88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9"/>
          </w:tcPr>
          <w:p>
            <w:pPr>
              <w:spacing w:after="0"/>
              <w:rPr>
                <w:sz w:val="19"/>
                <w:szCs w:val="19"/>
                <w:color w:val="auto"/>
              </w:rPr>
            </w:pPr>
          </w:p>
        </w:tc>
        <w:tc>
          <w:tcPr>
            <w:tcW w:w="700" w:type="dxa"/>
            <w:vAlign w:val="bottom"/>
          </w:tcPr>
          <w:p>
            <w:pPr>
              <w:spacing w:after="0"/>
              <w:rPr>
                <w:sz w:val="19"/>
                <w:szCs w:val="19"/>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(653,315)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(108,780)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(762,095)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Stock-based compensation</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361,957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380,217</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revenue share payable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(395,935)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62,601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(333,334)</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deferred revenue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164,462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27,919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192,381</w:t>
            </w:r>
          </w:p>
        </w:tc>
      </w:tr>
      <w:tr>
        <w:trPr>
          <w:trHeight w:val="669"/>
        </w:trPr>
        <w:tc>
          <w:tcPr>
            <w:tcW w:w="2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1810"/>
              <w:spacing w:after="0"/>
              <w:rPr>
                <w:sz w:val="20"/>
                <w:szCs w:val="20"/>
                <w:color w:val="auto"/>
              </w:rPr>
            </w:pPr>
            <w:r>
              <w:rPr>
                <w:rFonts w:ascii="Arial" w:cs="Arial" w:eastAsia="Arial" w:hAnsi="Arial"/>
                <w:sz w:val="18"/>
                <w:szCs w:val="18"/>
                <w:color w:val="auto"/>
              </w:rPr>
              <w:t>F-23</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7"/>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8"/>
                <w:szCs w:val="18"/>
                <w:color w:val="auto"/>
              </w:rPr>
              <w:t>eriod Ended June 30, 2014 (unaudited):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5"/>
          </w:tcPr>
          <w:p>
            <w:pPr>
              <w:jc w:val="center"/>
              <w:ind w:right="3020"/>
              <w:spacing w:after="0" w:line="203" w:lineRule="exact"/>
              <w:rPr>
                <w:sz w:val="20"/>
                <w:szCs w:val="20"/>
                <w:color w:val="auto"/>
              </w:rPr>
            </w:pPr>
            <w:r>
              <w:rPr>
                <w:rFonts w:ascii="Arial" w:cs="Arial" w:eastAsia="Arial" w:hAnsi="Arial"/>
                <w:sz w:val="18"/>
                <w:szCs w:val="18"/>
                <w:color w:val="auto"/>
                <w:w w:val="87"/>
              </w:rPr>
              <w:t>Balance Sheet</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line="203" w:lineRule="exact"/>
              <w:rPr>
                <w:sz w:val="20"/>
                <w:szCs w:val="20"/>
                <w:color w:val="auto"/>
              </w:rPr>
            </w:pPr>
            <w:r>
              <w:rPr>
                <w:rFonts w:ascii="Arial" w:cs="Arial" w:eastAsia="Arial" w:hAnsi="Arial"/>
                <w:sz w:val="18"/>
                <w:szCs w:val="18"/>
                <w:color w:val="auto"/>
                <w:w w:val="85"/>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506,901</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366,088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872,989</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42,908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258,270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301,178</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27,304,112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84,677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27,388,789</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(25,322,216)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(738,674)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7"/>
              </w:rPr>
              <w:t>26,060,890)</w:t>
            </w:r>
          </w:p>
        </w:tc>
      </w:tr>
      <w:tr>
        <w:trPr>
          <w:trHeight w:val="392"/>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Statement of Operations</w:t>
            </w:r>
          </w:p>
        </w:tc>
        <w:tc>
          <w:tcPr>
            <w:tcW w:w="3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7660" w:type="dxa"/>
            <w:vAlign w:val="bottom"/>
            <w:gridSpan w:val="7"/>
          </w:tcPr>
          <w:p>
            <w:pPr>
              <w:jc w:val="center"/>
              <w:ind w:right="120"/>
              <w:spacing w:after="0"/>
              <w:rPr>
                <w:sz w:val="20"/>
                <w:szCs w:val="20"/>
                <w:color w:val="auto"/>
              </w:rPr>
            </w:pPr>
            <w:r>
              <w:rPr>
                <w:rFonts w:ascii="Arial" w:cs="Arial" w:eastAsia="Arial" w:hAnsi="Arial"/>
                <w:sz w:val="18"/>
                <w:szCs w:val="18"/>
                <w:color w:val="auto"/>
                <w:w w:val="89"/>
              </w:rPr>
              <w:t>Three Months ended June 30, 2014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1,454,214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(27,206)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1,427,008</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540,048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190,092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730,140</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967,070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(70,541)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896,529</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(52,681)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(146,757)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(199,438)</w:t>
            </w:r>
          </w:p>
        </w:tc>
      </w:tr>
      <w:tr>
        <w:trPr>
          <w:trHeight w:val="418"/>
        </w:trPr>
        <w:tc>
          <w:tcPr>
            <w:tcW w:w="766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Six Months ended June 30, 2014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2,771,560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(55,124)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2,716,436</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1,038,858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252,693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1,291,551</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2,439,028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2,386,747</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(705,996)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(255,537)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(961,533)</w:t>
            </w:r>
          </w:p>
        </w:tc>
      </w:tr>
      <w:tr>
        <w:trPr>
          <w:trHeight w:val="392"/>
        </w:trPr>
        <w:tc>
          <w:tcPr>
            <w:tcW w:w="766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Statement of Cash Flows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5"/>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(705,996)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(255,537)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(961,533)</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654,634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602,353</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Changes in 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(686,760)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252,693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(434,067)</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Changes in 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38,656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55,124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93,780</w:t>
            </w:r>
          </w:p>
        </w:tc>
      </w:tr>
      <w:tr>
        <w:trPr>
          <w:trHeight w:val="432"/>
        </w:trPr>
        <w:tc>
          <w:tcPr>
            <w:tcW w:w="7660" w:type="dxa"/>
            <w:vAlign w:val="bottom"/>
            <w:gridSpan w:val="7"/>
          </w:tcPr>
          <w:p>
            <w:pPr>
              <w:spacing w:after="0"/>
              <w:rPr>
                <w:sz w:val="20"/>
                <w:szCs w:val="20"/>
                <w:color w:val="auto"/>
              </w:rPr>
            </w:pPr>
            <w:r>
              <w:rPr>
                <w:rFonts w:ascii="Arial" w:cs="Arial" w:eastAsia="Arial" w:hAnsi="Arial"/>
                <w:sz w:val="18"/>
                <w:szCs w:val="18"/>
                <w:color w:val="auto"/>
              </w:rPr>
              <w:t>Period Ended September 30, 2014(unaudited):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5"/>
          </w:tcPr>
          <w:p>
            <w:pPr>
              <w:jc w:val="center"/>
              <w:ind w:right="3020"/>
              <w:spacing w:after="0" w:line="203" w:lineRule="exact"/>
              <w:rPr>
                <w:sz w:val="20"/>
                <w:szCs w:val="20"/>
                <w:color w:val="auto"/>
              </w:rPr>
            </w:pPr>
            <w:r>
              <w:rPr>
                <w:rFonts w:ascii="Arial" w:cs="Arial" w:eastAsia="Arial" w:hAnsi="Arial"/>
                <w:sz w:val="18"/>
                <w:szCs w:val="18"/>
                <w:color w:val="auto"/>
                <w:w w:val="87"/>
              </w:rPr>
              <w:t>Balance Sheet</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line="203" w:lineRule="exact"/>
              <w:rPr>
                <w:sz w:val="20"/>
                <w:szCs w:val="20"/>
                <w:color w:val="auto"/>
              </w:rPr>
            </w:pPr>
            <w:r>
              <w:rPr>
                <w:rFonts w:ascii="Arial" w:cs="Arial" w:eastAsia="Arial" w:hAnsi="Arial"/>
                <w:sz w:val="18"/>
                <w:szCs w:val="18"/>
                <w:color w:val="auto"/>
                <w:w w:val="85"/>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853,410</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421,019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1,274,429</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118,949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118,949</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28,398,825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84,677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28,483,502</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(25,716,530)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(638,903)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2"/>
              </w:rPr>
              <w:t>(26,355,433)</w:t>
            </w:r>
          </w:p>
        </w:tc>
      </w:tr>
      <w:tr>
        <w:trPr>
          <w:trHeight w:val="608"/>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Statement of Operations</w:t>
            </w:r>
          </w:p>
        </w:tc>
        <w:tc>
          <w:tcPr>
            <w:tcW w:w="3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7660" w:type="dxa"/>
            <w:vAlign w:val="bottom"/>
            <w:gridSpan w:val="7"/>
          </w:tcPr>
          <w:p>
            <w:pPr>
              <w:jc w:val="center"/>
              <w:ind w:right="120"/>
              <w:spacing w:after="0"/>
              <w:rPr>
                <w:sz w:val="20"/>
                <w:szCs w:val="20"/>
                <w:color w:val="auto"/>
              </w:rPr>
            </w:pPr>
            <w:r>
              <w:rPr>
                <w:rFonts w:ascii="Arial" w:cs="Arial" w:eastAsia="Arial" w:hAnsi="Arial"/>
                <w:sz w:val="18"/>
                <w:szCs w:val="18"/>
                <w:color w:val="auto"/>
                <w:w w:val="89"/>
              </w:rPr>
              <w:t>Three Months ended September 30, 2014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1,620,215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199,206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1,819,421</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858,898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99,435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958,,333</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1,155,933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1,155,933</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(394,314)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99,771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(294,543)</w:t>
            </w:r>
          </w:p>
        </w:tc>
      </w:tr>
      <w:tr>
        <w:trPr>
          <w:trHeight w:val="418"/>
        </w:trPr>
        <w:tc>
          <w:tcPr>
            <w:tcW w:w="7660" w:type="dxa"/>
            <w:vAlign w:val="bottom"/>
            <w:gridSpan w:val="7"/>
          </w:tcPr>
          <w:p>
            <w:pPr>
              <w:jc w:val="center"/>
              <w:ind w:right="100"/>
              <w:spacing w:after="0"/>
              <w:rPr>
                <w:sz w:val="20"/>
                <w:szCs w:val="20"/>
                <w:color w:val="auto"/>
              </w:rPr>
            </w:pPr>
            <w:r>
              <w:rPr>
                <w:rFonts w:ascii="Arial" w:cs="Arial" w:eastAsia="Arial" w:hAnsi="Arial"/>
                <w:sz w:val="18"/>
                <w:szCs w:val="18"/>
                <w:color w:val="auto"/>
                <w:w w:val="90"/>
              </w:rPr>
              <w:t>Nine Months ended September 30, 2014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4,391,775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144,082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4,535,857</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1,897,757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352,127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2,249,884</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3,594,961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3,542,681</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(1,100,310)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(155,766)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(1,256,076)</w:t>
            </w:r>
          </w:p>
        </w:tc>
      </w:tr>
      <w:tr>
        <w:trPr>
          <w:trHeight w:val="392"/>
        </w:trPr>
        <w:tc>
          <w:tcPr>
            <w:tcW w:w="766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Statement of Cash Flows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5"/>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(1,100,310)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(155,766)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(1,256,076)</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1,118,952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(1,066,672)</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Changes in 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(340,251)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352,127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11,876</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Changes in 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(144,082)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(148,334)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2015, we issued 12,500 shares of common stock to two outside directors as payment of their quarterly Director Fees.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March 2015, we signed a capital markets advisory agreement whereby we agreed to issue 90,000 shares of common stock in two increments as payment for the advisory services. The first 45,000 shares were issued in March 2015.</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December 31, 2014 through the date these financial statements were issued and has determined that it does not have any material subsequent events to disclose in these financial statements other than the events described above.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437"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25, 2014, Silberstein Ungar, PLLC notified us that its principals joined the accounting firm of KLJ &amp; Associates, LLP. As a result of the transaction, on July 25, 2014, Silberstein Ungar, PLLC resigned as our independent registered public accounting firm and we engaged KLJ &amp; Associates, LLP as our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required by Rule 13a-15 under the Securities Exchange Act of 1934, we have carried out an evaluation of the effectiveness of our disclosure controls and procedures as of the end of the period covered by this annual report, being December 31, 2014. This evaluation was carried out under the supervision of, and with the participation of, our management, including our Chief Executive Officer and Chief Financial Officer.</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Securities Exchange Act of 1934 is accumulated and communicated to management, including our Chief Executive Officer and Chief Financial Officer, to allow timely decisions regarding required disclosure.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upon that evaluation, we have concluded that our disclosure controls and procedures are not sufficient as of the end of the period covered by this annual report. We intend to implement additional procedures to improve disclosure controls.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Securities Exchange Act of 1934). Management has assessed the effectiveness of our internal control over financial reporting as of December 31, 2014 based on criteria established in Internal Control-Integrated Framework issued by the Committee of Sponsoring Organizations of the Treadway Commission. As a result of this assessment, management concluded that, as of December 31, 2014, our internal control over financial reporting was not effective. Our management identified the following material weaknesses in our internal control over financial reporting, which are indicative of many small companies with small staff: (i) inadequate segregation of duties and effective risk assessment; and (ii) inadequate information technology reporting systems to insure that accurate information is provided for accounting and financial reporting with respect to the requirements and application of both US GAAP and SEC guidelines.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taken steps to enhance and improve the design of our internal control over financial reporting. During the period covered by this annual report on Form 10-K, we have not been able to completely remediate the material weaknesses identified above. To remediate such weaknesses, we hope to implement the following changes during our fiscal year ending December 31, 2015. We have developed, and will continue to develop, analytical procedures and reports which help identify potential errors. It was these procedures that were developed that led to identification of the items that required restatement of the 2013 financial results. In addition, we intend to continue to develop improvements to the reporting systems in our information technology systems. On May 12, 2014, we appointed a Chief Financial Officer with 23 years of public company experience. We will continue to establish procedures to mitigate the segregation of duties issues, but it is not possible to completely remediate the issue without hiring additional personnel.</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an exemption for non-accelerated filers set forth in Section 989G of the Dodd-Frank Wall Street Reform and Consumer Protection Act.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8" w:name="page49"/>
    <w:bookmarkEnd w:id="48"/>
    <w:p>
      <w:pPr>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December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2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0"/>
                <w:szCs w:val="20"/>
                <w:color w:val="auto"/>
              </w:rPr>
            </w:pPr>
          </w:p>
        </w:tc>
        <w:tc>
          <w:tcPr>
            <w:tcW w:w="7520" w:type="dxa"/>
            <w:vAlign w:val="bottom"/>
            <w:tcBorders>
              <w:bottom w:val="single" w:sz="8" w:color="auto"/>
            </w:tcBorders>
          </w:tcPr>
          <w:p>
            <w:pPr>
              <w:ind w:left="2740"/>
              <w:spacing w:after="0"/>
              <w:rPr>
                <w:sz w:val="20"/>
                <w:szCs w:val="20"/>
                <w:color w:val="auto"/>
              </w:rPr>
            </w:pPr>
            <w:r>
              <w:rPr>
                <w:rFonts w:ascii="Arial" w:cs="Arial" w:eastAsia="Arial" w:hAnsi="Arial"/>
                <w:sz w:val="18"/>
                <w:szCs w:val="18"/>
                <w:b w:val="1"/>
                <w:bCs w:val="1"/>
                <w:color w:val="auto"/>
              </w:rPr>
              <w:t>Positions and Offices Held</w:t>
            </w: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David A. Harrell</w:t>
            </w:r>
          </w:p>
        </w:tc>
        <w:tc>
          <w:tcPr>
            <w:tcW w:w="14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7"/>
                <w:szCs w:val="17"/>
                <w:color w:val="auto"/>
              </w:rPr>
            </w:pPr>
          </w:p>
        </w:tc>
        <w:tc>
          <w:tcPr>
            <w:tcW w:w="7520" w:type="dxa"/>
            <w:vAlign w:val="bottom"/>
          </w:tcPr>
          <w:p>
            <w:pPr>
              <w:spacing w:after="0" w:line="201" w:lineRule="exact"/>
              <w:rPr>
                <w:sz w:val="20"/>
                <w:szCs w:val="20"/>
                <w:color w:val="auto"/>
              </w:rPr>
            </w:pPr>
            <w:r>
              <w:rPr>
                <w:rFonts w:ascii="Arial" w:cs="Arial" w:eastAsia="Arial" w:hAnsi="Arial"/>
                <w:sz w:val="18"/>
                <w:szCs w:val="18"/>
                <w:color w:val="auto"/>
              </w:rPr>
              <w:t>Chairman, Chief Executive Officer, Chief Strategic Officer and Director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David Lester</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Chief Operating Officer, Secretary, Treasurer and Director (1)</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Terence J. Hamilton</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VP of Sales and Director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Douglas Baker</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Gus D. Halas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right="1560" w:firstLine="332"/>
        <w:spacing w:after="0" w:line="561" w:lineRule="auto"/>
        <w:tabs>
          <w:tab w:leader="none" w:pos="6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Effective February 1, 2015 Mr. Lester moved from the role of Chief Operating Officer to Vice President, Channel Management. Set forth below is a brief description of the background and business experience of each of our current executive officers and directors.</w:t>
      </w: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Mr. Harrell founded the Company in January of 2006. He became a director when the Company changed from a limited liability to a corporation in 2007. He has served as our Chairman since September 20, 2013, our Chief Strategic Officer since August 14, 2013 and our Chief Executive Officer since September 20, 2013.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Harrell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Mr. Harrell is qualified to serve on our Board of Directors because of his sales, marketing and business development experience in the pharmaceutical sector.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David Lester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Lester served as our Secretary since July 28, 2010, and Chief Operating Officer since January 14, 2013 until he transitioned to Vice President, Channel Management in January 2015. 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an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Lester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Mr. Lester is qualified to serve on our Board of Directors because of his sales, marketing and business development experience in the pharmaceutical sector.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and Government Account Manager.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Hamilton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Hamilton is qualified to serve on our Board of Directors because of his sales, marketing and business development experience in the pharmaceutical sector.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 D. Halas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and Hooper Holmes, Inc.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Pinney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2007 to the present, Dr. Pinney has served as Team Physician to the Great Lakes Loons baseball team in the LA Dodgers organization. From 2011 to the present, he has served as Medical Director for WellSport MidMichigan Medical Center. From 1992 to the present, he has served as Assistant Clinical Professor of Family Medicine for the Department of Family Medicine at Michigan State University College of Human Medicine. From 1992 to 2012, he served as Assistant Director for the Midland Family Practice Residency Program at MidMichigan Medical Center.</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Dr. Pinney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Dr. Pinney is qualified to serve on our Board of Directors because of his expertise medicine and prescription practices of physicians.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Baker has served as our CFO since May 19, 2014. Mr. Baker is a Certified Public Account with a Masters Degree in Business Administration. He has extensive business experience including 9 years in public accounting with Plante Moran, 4 years as CFO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is also currently Chairman of the Board of Total Health Care, Inc., a Detroit based Health Maintenance Organization and has been a member of that Board since 1987.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authorize two (2) directors unless changed by the Board of Directors. The board has since changed the number of directors authorized, and we currently have five (5)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past 10 years, none of our current directors, nominees for directors or current executive officers has been involved in any legal proceeding identified in Item 401(f) of Regulation S-K, including:</w:t>
      </w:r>
    </w:p>
    <w:p>
      <w:pPr>
        <w:spacing w:after="0" w:line="170" w:lineRule="exact"/>
        <w:rPr>
          <w:sz w:val="20"/>
          <w:szCs w:val="20"/>
          <w:color w:val="auto"/>
        </w:rPr>
      </w:pPr>
    </w:p>
    <w:p>
      <w:pPr>
        <w:jc w:val="both"/>
        <w:ind w:firstLine="8"/>
        <w:spacing w:after="0" w:line="312" w:lineRule="auto"/>
        <w:tabs>
          <w:tab w:leader="none" w:pos="17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146" w:lineRule="exact"/>
        <w:rPr>
          <w:rFonts w:ascii="Arial" w:cs="Arial" w:eastAsia="Arial" w:hAnsi="Arial"/>
          <w:sz w:val="16"/>
          <w:szCs w:val="16"/>
          <w:color w:val="auto"/>
        </w:rPr>
      </w:pPr>
    </w:p>
    <w:p>
      <w:pPr>
        <w:ind w:left="180" w:hanging="172"/>
        <w:spacing w:after="0"/>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conviction in a criminal proceeding or being named a subject of a pending criminal proceeding (excluding traffic violations and other minor offenses);</w:t>
      </w:r>
    </w:p>
    <w:p>
      <w:pPr>
        <w:spacing w:after="0" w:line="248" w:lineRule="exact"/>
        <w:rPr>
          <w:rFonts w:ascii="Arial" w:cs="Arial" w:eastAsia="Arial" w:hAnsi="Arial"/>
          <w:sz w:val="16"/>
          <w:szCs w:val="16"/>
          <w:color w:val="auto"/>
        </w:rPr>
      </w:pPr>
    </w:p>
    <w:p>
      <w:pPr>
        <w:ind w:right="20" w:firstLine="8"/>
        <w:spacing w:after="0" w:line="277" w:lineRule="auto"/>
        <w:tabs>
          <w:tab w:leader="none" w:pos="1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Being subject to any order, judgment, or decree, not subsequently reversed, suspended or vacated, of any court of competent jurisdiction, permanently or temporarily enjoining him or her from, or otherwise limiting, the following activities: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71"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Engaging in any type of business practice; or</w:t>
      </w:r>
    </w:p>
    <w:p>
      <w:pPr>
        <w:spacing w:after="0" w:line="225" w:lineRule="exact"/>
        <w:rPr>
          <w:rFonts w:ascii="Arial" w:cs="Arial" w:eastAsia="Arial" w:hAnsi="Arial"/>
          <w:sz w:val="18"/>
          <w:szCs w:val="18"/>
          <w:color w:val="auto"/>
        </w:rPr>
      </w:pPr>
    </w:p>
    <w:p>
      <w:pPr>
        <w:ind w:right="20" w:firstLine="8"/>
        <w:spacing w:after="0" w:line="277" w:lineRule="auto"/>
        <w:tabs>
          <w:tab w:leader="none" w:pos="2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Engaging in any activity in connection with the purchase or sale of any security or commodity or in connection with any violation of Federal or State securities laws or Federal commodities laws;</w:t>
      </w:r>
    </w:p>
    <w:p>
      <w:pPr>
        <w:spacing w:after="0" w:line="170" w:lineRule="exact"/>
        <w:rPr>
          <w:sz w:val="20"/>
          <w:szCs w:val="20"/>
          <w:color w:val="auto"/>
        </w:rPr>
      </w:pPr>
    </w:p>
    <w:p>
      <w:pPr>
        <w:jc w:val="both"/>
        <w:ind w:firstLine="8"/>
        <w:spacing w:after="0" w:line="286" w:lineRule="auto"/>
        <w:tabs>
          <w:tab w:leader="none" w:pos="188"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165" w:lineRule="exact"/>
        <w:rPr>
          <w:rFonts w:ascii="Arial" w:cs="Arial" w:eastAsia="Arial" w:hAnsi="Arial"/>
          <w:sz w:val="17"/>
          <w:szCs w:val="17"/>
          <w:color w:val="auto"/>
        </w:rPr>
      </w:pPr>
    </w:p>
    <w:p>
      <w:pPr>
        <w:ind w:firstLine="8"/>
        <w:spacing w:after="0" w:line="277"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spacing w:after="0" w:line="170"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81" w:lineRule="exact"/>
        <w:rPr>
          <w:rFonts w:ascii="Arial" w:cs="Arial" w:eastAsia="Arial" w:hAnsi="Arial"/>
          <w:sz w:val="18"/>
          <w:szCs w:val="18"/>
          <w:color w:val="auto"/>
        </w:rPr>
      </w:pPr>
    </w:p>
    <w:p>
      <w:pPr>
        <w:ind w:firstLine="8"/>
        <w:spacing w:after="0" w:line="277" w:lineRule="auto"/>
        <w:tabs>
          <w:tab w:leader="none" w:pos="1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Being subject to, or a party to, any Federal or State judicial or administrative order, judgment, decree, or finding, not subsequently reversed, suspended or vacated, relating to an alleged violation 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Any Federal or State securities or commodities law or regulation;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2" w:name="page53"/>
    <w:bookmarkEnd w:id="52"/>
    <w:p>
      <w:pPr>
        <w:ind w:firstLine="8"/>
        <w:spacing w:after="0" w:line="308" w:lineRule="auto"/>
        <w:tabs>
          <w:tab w:leader="none" w:pos="18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spacing w:after="0" w:line="146" w:lineRule="exact"/>
        <w:rPr>
          <w:rFonts w:ascii="Arial" w:cs="Arial" w:eastAsia="Arial" w:hAnsi="Arial"/>
          <w:sz w:val="17"/>
          <w:szCs w:val="17"/>
          <w:color w:val="auto"/>
        </w:rPr>
      </w:pPr>
    </w:p>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law or regulation prohibiting mail or wire fraud or fraud in connection with any business entity; or</w:t>
      </w:r>
    </w:p>
    <w:p>
      <w:pPr>
        <w:spacing w:after="0" w:line="225" w:lineRule="exact"/>
        <w:rPr>
          <w:sz w:val="20"/>
          <w:szCs w:val="20"/>
          <w:color w:val="auto"/>
        </w:rPr>
      </w:pPr>
    </w:p>
    <w:p>
      <w:pPr>
        <w:jc w:val="both"/>
        <w:ind w:firstLine="8"/>
        <w:spacing w:after="0" w:line="259" w:lineRule="auto"/>
        <w:tabs>
          <w:tab w:leader="none" w:pos="1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2014, the board of directors: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upon the board of directors’ review and discussion of the matters above, the board of directors authorized inclusion of the audited financial statements for the year ended December 31, 2014 to be included in this Annual Report on Form 10-K and filed with the Securities and Exchange Commission.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the following persons have failed to file, on a timely basis, the identified reports required by Section 16(a) of the Exchange Act during fiscal year ended December 31,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Known failures</w:t>
            </w:r>
          </w:p>
        </w:tc>
      </w:tr>
      <w:tr>
        <w:trPr>
          <w:trHeight w:val="216"/>
        </w:trPr>
        <w:tc>
          <w:tcPr>
            <w:tcW w:w="47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Transactions</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to</w:t>
            </w:r>
          </w:p>
        </w:tc>
      </w:tr>
      <w:tr>
        <w:trPr>
          <w:trHeight w:val="216"/>
        </w:trPr>
        <w:tc>
          <w:tcPr>
            <w:tcW w:w="47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w w:val="99"/>
              </w:rPr>
              <w:t>Number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not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file a required</w:t>
            </w: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Name and principal position</w:t>
            </w: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w w:val="91"/>
              </w:rPr>
              <w:t>late reports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timely reported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form</w:t>
            </w:r>
          </w:p>
        </w:tc>
      </w:tr>
      <w:tr>
        <w:trPr>
          <w:trHeight w:val="202"/>
        </w:trPr>
        <w:tc>
          <w:tcPr>
            <w:tcW w:w="47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David A. Harrell</w:t>
            </w:r>
          </w:p>
        </w:tc>
        <w:tc>
          <w:tcPr>
            <w:tcW w:w="2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CEO, Chairman, Chief Strategic Officer and Director</w:t>
            </w:r>
          </w:p>
        </w:tc>
        <w:tc>
          <w:tcPr>
            <w:tcW w:w="2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02"/>
        </w:trPr>
        <w:tc>
          <w:tcPr>
            <w:tcW w:w="4760" w:type="dxa"/>
            <w:vAlign w:val="bottom"/>
          </w:tcPr>
          <w:p>
            <w:pPr>
              <w:spacing w:after="0" w:line="201" w:lineRule="exact"/>
              <w:rPr>
                <w:sz w:val="20"/>
                <w:szCs w:val="20"/>
                <w:color w:val="auto"/>
              </w:rPr>
            </w:pPr>
            <w:r>
              <w:rPr>
                <w:rFonts w:ascii="Arial" w:cs="Arial" w:eastAsia="Arial" w:hAnsi="Arial"/>
                <w:sz w:val="18"/>
                <w:szCs w:val="18"/>
                <w:color w:val="auto"/>
              </w:rPr>
              <w:t>David Lester</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i w:val="1"/>
                <w:iCs w:val="1"/>
                <w:color w:val="auto"/>
              </w:rPr>
              <w:t>COO, Secretary, Treasurer and Director</w:t>
            </w: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2"/>
        </w:trPr>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Terence J. Hamilton</w:t>
            </w: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VP of Sales and Director</w:t>
            </w:r>
          </w:p>
        </w:tc>
        <w:tc>
          <w:tcPr>
            <w:tcW w:w="2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02"/>
        </w:trPr>
        <w:tc>
          <w:tcPr>
            <w:tcW w:w="4760" w:type="dxa"/>
            <w:vAlign w:val="bottom"/>
          </w:tcPr>
          <w:p>
            <w:pPr>
              <w:spacing w:after="0" w:line="201" w:lineRule="exact"/>
              <w:rPr>
                <w:sz w:val="20"/>
                <w:szCs w:val="20"/>
                <w:color w:val="auto"/>
              </w:rPr>
            </w:pPr>
            <w:r>
              <w:rPr>
                <w:rFonts w:ascii="Arial" w:cs="Arial" w:eastAsia="Arial" w:hAnsi="Arial"/>
                <w:sz w:val="18"/>
                <w:szCs w:val="18"/>
                <w:color w:val="auto"/>
              </w:rPr>
              <w:t>Jack Pinney</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655"/>
        </w:trPr>
        <w:tc>
          <w:tcPr>
            <w:tcW w:w="47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-2091690</wp:posOffset>
            </wp:positionV>
            <wp:extent cx="7246620" cy="1663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66370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December 31, 2014, we had not adopted a Code of Ethics. We felt, until recently, the small number of individuals comprising our board and management did not warrant the adoption of a Code of Ethics. Now that we have expanded our board, we intend to adopt a Code of Ethics in the near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2014 and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Stock</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Name and principal</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Bonus</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Awards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Awards</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Compensation</w:t>
            </w: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Total</w:t>
            </w:r>
          </w:p>
        </w:tc>
      </w:tr>
      <w:tr>
        <w:trPr>
          <w:trHeight w:val="237"/>
        </w:trPr>
        <w:tc>
          <w:tcPr>
            <w:tcW w:w="1960" w:type="dxa"/>
            <w:vAlign w:val="bottom"/>
            <w:gridSpan w:val="2"/>
          </w:tcPr>
          <w:p>
            <w:pPr>
              <w:spacing w:after="0"/>
              <w:rPr>
                <w:sz w:val="20"/>
                <w:szCs w:val="20"/>
                <w:color w:val="auto"/>
              </w:rPr>
            </w:pPr>
            <w:r>
              <w:rPr>
                <w:rFonts w:ascii="Arial" w:cs="Arial" w:eastAsia="Arial" w:hAnsi="Arial"/>
                <w:sz w:val="18"/>
                <w:szCs w:val="18"/>
                <w:color w:val="auto"/>
              </w:rPr>
              <w:t>position</w:t>
            </w: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Year</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Salary ($)</w:t>
            </w:r>
          </w:p>
        </w:tc>
        <w:tc>
          <w:tcPr>
            <w:tcW w:w="116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Shad Stastney</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196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Former Chairman,</w:t>
            </w:r>
          </w:p>
        </w:tc>
        <w:tc>
          <w:tcPr>
            <w:tcW w:w="1260" w:type="dxa"/>
            <w:vAlign w:val="bottom"/>
          </w:tcPr>
          <w:p>
            <w:pPr>
              <w:ind w:left="460"/>
              <w:spacing w:after="0" w:line="201" w:lineRule="exact"/>
              <w:rPr>
                <w:sz w:val="20"/>
                <w:szCs w:val="20"/>
                <w:color w:val="auto"/>
              </w:rPr>
            </w:pPr>
            <w:r>
              <w:rPr>
                <w:rFonts w:ascii="Arial" w:cs="Arial" w:eastAsia="Arial" w:hAnsi="Arial"/>
                <w:sz w:val="18"/>
                <w:szCs w:val="18"/>
                <w:color w:val="auto"/>
              </w:rPr>
              <w:t>2013</w:t>
            </w:r>
          </w:p>
        </w:tc>
        <w:tc>
          <w:tcPr>
            <w:tcW w:w="120" w:type="dxa"/>
            <w:vAlign w:val="bottom"/>
          </w:tcPr>
          <w:p>
            <w:pPr>
              <w:spacing w:after="0"/>
              <w:rPr>
                <w:sz w:val="17"/>
                <w:szCs w:val="17"/>
                <w:color w:val="auto"/>
              </w:rPr>
            </w:pPr>
          </w:p>
        </w:tc>
        <w:tc>
          <w:tcPr>
            <w:tcW w:w="14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126,762</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252,500</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379,262</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President, CEO and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Harrell</w:t>
            </w: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183,750</w:t>
            </w:r>
          </w:p>
        </w:tc>
        <w:tc>
          <w:tcPr>
            <w:tcW w:w="11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6"/>
              </w:rPr>
              <w:t>100,000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394,969</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678,719</w:t>
            </w:r>
          </w:p>
        </w:tc>
      </w:tr>
      <w:tr>
        <w:trPr>
          <w:trHeight w:val="202"/>
        </w:trPr>
        <w:tc>
          <w:tcPr>
            <w:tcW w:w="196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Chairman, Chief</w:t>
            </w:r>
          </w:p>
        </w:tc>
        <w:tc>
          <w:tcPr>
            <w:tcW w:w="1260" w:type="dxa"/>
            <w:vAlign w:val="bottom"/>
          </w:tcPr>
          <w:p>
            <w:pPr>
              <w:ind w:left="460"/>
              <w:spacing w:after="0" w:line="201" w:lineRule="exact"/>
              <w:rPr>
                <w:sz w:val="20"/>
                <w:szCs w:val="20"/>
                <w:color w:val="auto"/>
              </w:rPr>
            </w:pPr>
            <w:r>
              <w:rPr>
                <w:rFonts w:ascii="Arial" w:cs="Arial" w:eastAsia="Arial" w:hAnsi="Arial"/>
                <w:sz w:val="18"/>
                <w:szCs w:val="18"/>
                <w:color w:val="auto"/>
              </w:rPr>
              <w:t>2013</w:t>
            </w:r>
          </w:p>
        </w:tc>
        <w:tc>
          <w:tcPr>
            <w:tcW w:w="120" w:type="dxa"/>
            <w:vAlign w:val="bottom"/>
          </w:tcPr>
          <w:p>
            <w:pPr>
              <w:spacing w:after="0"/>
              <w:rPr>
                <w:sz w:val="17"/>
                <w:szCs w:val="17"/>
                <w:color w:val="auto"/>
              </w:rPr>
            </w:pPr>
          </w:p>
        </w:tc>
        <w:tc>
          <w:tcPr>
            <w:tcW w:w="14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180,104</w:t>
            </w:r>
          </w:p>
        </w:tc>
        <w:tc>
          <w:tcPr>
            <w:tcW w:w="138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19,151</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199,255</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 Chief</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Strategic Officer and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Lester</w:t>
            </w: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163,438</w:t>
            </w: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94,500</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327,938</w:t>
            </w:r>
          </w:p>
        </w:tc>
      </w:tr>
      <w:tr>
        <w:trPr>
          <w:trHeight w:val="202"/>
        </w:trPr>
        <w:tc>
          <w:tcPr>
            <w:tcW w:w="196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COO, Secretary,</w:t>
            </w:r>
          </w:p>
        </w:tc>
        <w:tc>
          <w:tcPr>
            <w:tcW w:w="1260" w:type="dxa"/>
            <w:vAlign w:val="bottom"/>
          </w:tcPr>
          <w:p>
            <w:pPr>
              <w:ind w:left="460"/>
              <w:spacing w:after="0" w:line="201" w:lineRule="exact"/>
              <w:rPr>
                <w:sz w:val="20"/>
                <w:szCs w:val="20"/>
                <w:color w:val="auto"/>
              </w:rPr>
            </w:pPr>
            <w:r>
              <w:rPr>
                <w:rFonts w:ascii="Arial" w:cs="Arial" w:eastAsia="Arial" w:hAnsi="Arial"/>
                <w:sz w:val="18"/>
                <w:szCs w:val="18"/>
                <w:color w:val="auto"/>
              </w:rPr>
              <w:t>2013</w:t>
            </w:r>
          </w:p>
        </w:tc>
        <w:tc>
          <w:tcPr>
            <w:tcW w:w="120" w:type="dxa"/>
            <w:vAlign w:val="bottom"/>
          </w:tcPr>
          <w:p>
            <w:pPr>
              <w:spacing w:after="0"/>
              <w:rPr>
                <w:sz w:val="17"/>
                <w:szCs w:val="17"/>
                <w:color w:val="auto"/>
              </w:rPr>
            </w:pPr>
          </w:p>
        </w:tc>
        <w:tc>
          <w:tcPr>
            <w:tcW w:w="14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157,500</w:t>
            </w:r>
          </w:p>
        </w:tc>
        <w:tc>
          <w:tcPr>
            <w:tcW w:w="138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15,000</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172,500</w:t>
            </w: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Treasurer and Director</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163,438</w:t>
            </w: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458,906</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692,344</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w w:val="98"/>
              </w:rPr>
              <w:t>VP of Sales and Director</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157,500</w:t>
            </w:r>
          </w:p>
        </w:tc>
        <w:tc>
          <w:tcPr>
            <w:tcW w:w="1160" w:type="dxa"/>
            <w:vAlign w:val="bottom"/>
          </w:tcPr>
          <w:p>
            <w:pPr>
              <w:ind w:left="680"/>
              <w:spacing w:after="0"/>
              <w:rPr>
                <w:sz w:val="20"/>
                <w:szCs w:val="20"/>
                <w:color w:val="auto"/>
              </w:rPr>
            </w:pPr>
            <w:r>
              <w:rPr>
                <w:rFonts w:ascii="Arial" w:cs="Arial" w:eastAsia="Arial" w:hAnsi="Arial"/>
                <w:sz w:val="18"/>
                <w:szCs w:val="18"/>
                <w:color w:val="auto"/>
                <w:w w:val="83"/>
              </w:rPr>
              <w:t>11,000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168,500</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Baker</w:t>
            </w: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78,125</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131,110</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209,235</w:t>
            </w: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CFO</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-2632710</wp:posOffset>
            </wp:positionV>
            <wp:extent cx="7246620" cy="26244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244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20, 2013, we entered into a Separation Agreement with Mr. Stastney regarding the terms and conditions of his departure from the Company (the “Agreement”). Pursuant to the provisions of the Agreement, we agreed with Mr. Stastney as follows:</w:t>
      </w:r>
    </w:p>
    <w:p>
      <w:pPr>
        <w:spacing w:after="0" w:line="170"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the date of the Agreement, Mr. Stastney was no longer an officer or director of our company and all prior agreements with Mr. Stastney were terminated in their entirety;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Stastney received 500,000 shares of our common stock, half in September 2013 and the balance in January,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agreed to use our best efforts to register Mr. Stastney’s shares on Form S-8 by March 1, 2014 if such shares were eligible for S-8 registration;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paid Mr. Stastney $126,762 and his reasonable out of pocket expenses incurred on our behalf;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parties agreed to a mutual release of all claims and Mr. Stastney further agreed to certain covenants as provided for in the Agreement;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Stastney was involved with the company as a consultant for one year to assist us on financing activities, strategic and legal initiatives, and to help the transition with several ongoing projects.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jc w:val="both"/>
        <w:spacing w:after="0" w:line="276" w:lineRule="auto"/>
        <w:rPr>
          <w:sz w:val="20"/>
          <w:szCs w:val="20"/>
          <w:color w:val="auto"/>
        </w:rPr>
      </w:pPr>
      <w:r>
        <w:rPr>
          <w:rFonts w:ascii="Arial" w:cs="Arial" w:eastAsia="Arial" w:hAnsi="Arial"/>
          <w:sz w:val="17"/>
          <w:szCs w:val="17"/>
          <w:color w:val="auto"/>
        </w:rPr>
        <w:t>On June 1, 2008, we entered into an employment agreement with Mr. Harrell to serve as our CEO. The agreement was amended on January 14, 2013 to account for his new positions as CSO and Vice Chairman. The terms of his compensation, was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$152,004 annually.</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28, 2010, we amended Mr. Harrell’s employment agreement to include a covenant not to compete covering the term of employment and continuing for a period of two years thereafter. As a result of the same amendment, Mr. Harrell is entitled to severance payments if he is terminated with or without cause. Such payments would be due monthly at his then current salary rate for a period of 24 months following termination. On August 14, 2013, we amended the employment agreement with Mr. Harrell Pursuant to the terms and conditions of the Amendment to Employment Agreement with David Harrell:</w:t>
      </w:r>
    </w:p>
    <w:p>
      <w:pPr>
        <w:spacing w:after="0" w:line="15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Harrell will serve as Vice Chairman of the Board and Chief Strategy Officer of our company;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 of Mr. Harrell’s employment shall be for one year, and shall automatically renew for each year thereafter unless terminated on thirty days’ notice before the end of the term;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Harrell will earn a base salary of $183,750 per year;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Harrell’s contract also contains a provision providing for a 5% annual salary increase, which he waived on various occasions in the past. On August 14, 2013 we granted restricted stock awards under our 2013 Incentive Plan. Mr. David Harrell was awarded 121,875 shares of our common stock. The award vested in 2014 and was valued at $1.69 per share. Mr. Harrell was granted an additional restricted stock award of 100,000 shares under our 2013 Incentive Plan on January 9, 2014. This award was fully vested at the time of grant and was valued at $1.89 per share.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6, 2009, we entered into an employment agreement with Mr. Lester to serve as our Chief Executive Officer. The agreement was amended on January 14, 2013 to account for his new positions as COO, Secretary and Treasurer.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2013, we amended the employment agreement with Mr. Lester. Pursuant to the terms and conditions of the Amendment to Employment Agreement with David Lester:</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Lester will serve as Chief Operating Officer of our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Lester will earn a base salary of $157,500 per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March 16, 2014, Mr. Lester’s salary was increased to a base salary of $165,000, but no formal contract amendment was signed.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Lester was granted a restricted stock award of 50,000 shares under our 2013 Incentive Plan on January 9, 2014. This award was fully vested at the time of grant and was valued at $1.89 per share.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February 1, 2015, Mr. Lester’s employment contract was terminated. On that date, he moved from Chief Operating Officer to the role of Vice President, Channel Management and his new salary is $135,000 per year. He continues to be entitled to vacation, sick days, and the other benefits afforded to all employees.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8"/>
          <w:szCs w:val="18"/>
          <w:color w:val="auto"/>
        </w:rPr>
        <w:t>On July 28, 2010, we amended Mr. Hamilton’s employment agreement to include a covenant not to compete covering the term of employment and continuing for a period of one year thereafter. As a result of the same amendment, Mr. Hamilton is entitled to severance payments if he is terminated with or without cause. Such payments would be due monthly at his then current salary rate for a period of 12 months following termination. On August 14, 2013, we amended the employment agreement with Mr. Hamilton. Pursuant to the terms and conditions of the Amendment to Employment Agreement with Terry Hamilton:</w:t>
      </w:r>
    </w:p>
    <w:p>
      <w:pPr>
        <w:spacing w:after="0" w:line="1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Hamilton will earn a base salary of $157,500 per year.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16, 2014, Mr. Hamilton’s salary was increased to a base salary of $165,000, but no formal contract amendment was signed. His salary remains at that level as of the date of this filing.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14, 2013 we granted restricted stock awards under our 2013 Incentive Plan. Mr. Hamilton was awarded 215,625 shares of our common stock. The award vested in 2014 and was valued at $1.69 per share. Mr. Hamilton was granted an additional restricted stock award of 50,000 shares under our 2013 Incentive Plan on January 9, 2014. This award was fully vested at the time of grant and was valued at $1.89 per share.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12, 2014, we entered into an employment agreement with Mr. Baker, our new Chief Financial Officer. Under the agreement, we agreed to compensate Mr. Baker $125,000 annually and we granted him options to purchase 100,000 shares of our common stock, with 50% vesting after one year and 50% vesting after two years of hire. The options were valued at 1.3111 per share, or a total of $131,110, for financial statement purposes using the Black-Scholes pricing model.</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Mr. Baker is also eligible for additional quarterly and annual bonus compensation, stock options, and stock grants based on performance metrics outlined by our board of directors. He is entitled to vacation and sick days, and other benefits included in the agreement. As of April 1, 2015, Mr. Baker’s base salary will be increased to $150,000, but no formal contract amendment has been signed.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400" w:type="dxa"/>
            <w:vAlign w:val="bottom"/>
            <w:tcBorders>
              <w:top w:val="single" w:sz="8" w:color="auto"/>
              <w:bottom w:val="single" w:sz="8" w:color="auto"/>
            </w:tcBorders>
            <w:gridSpan w:val="5"/>
          </w:tcPr>
          <w:p>
            <w:pPr>
              <w:ind w:left="100"/>
              <w:spacing w:after="0"/>
              <w:rPr>
                <w:sz w:val="20"/>
                <w:szCs w:val="20"/>
                <w:color w:val="auto"/>
              </w:rPr>
            </w:pPr>
            <w:r>
              <w:rPr>
                <w:rFonts w:ascii="Arial" w:cs="Arial" w:eastAsia="Arial" w:hAnsi="Arial"/>
                <w:sz w:val="18"/>
                <w:szCs w:val="18"/>
                <w:color w:val="auto"/>
              </w:rPr>
              <w:t>OPTION AWARDS</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gridSpan w:val="4"/>
          </w:tcPr>
          <w:p>
            <w:pPr>
              <w:ind w:left="220"/>
              <w:spacing w:after="0"/>
              <w:rPr>
                <w:sz w:val="20"/>
                <w:szCs w:val="20"/>
                <w:color w:val="auto"/>
              </w:rPr>
            </w:pPr>
            <w:r>
              <w:rPr>
                <w:rFonts w:ascii="Arial" w:cs="Arial" w:eastAsia="Arial" w:hAnsi="Arial"/>
                <w:sz w:val="18"/>
                <w:szCs w:val="18"/>
                <w:color w:val="auto"/>
              </w:rPr>
              <w:t>STOCK AWARDS</w:t>
            </w: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02"/>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Incentive</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Incentive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Plan</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Awards:</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Awards: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Market or</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Number</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Payout</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Incentive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rPr>
              <w:t>of</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Value of</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Market</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Unearned</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Unearned</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Number</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Value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Shares,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Shares,</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of Shares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Shares or</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Units or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Units or</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Securities</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or Units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Units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Other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Other</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Underlying</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Stock</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Rights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Rights</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Unexercised</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Unexercised</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Unexercised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Option</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Option</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That Have</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That Have</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That Have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That Have</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Options (#)</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Options (#)</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Unearned</w:t>
            </w: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Exercise</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Expiration</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Not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Not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Not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Not</w:t>
            </w:r>
          </w:p>
        </w:tc>
      </w:tr>
      <w:tr>
        <w:trPr>
          <w:trHeight w:val="237"/>
        </w:trPr>
        <w:tc>
          <w:tcPr>
            <w:tcW w:w="1920" w:type="dxa"/>
            <w:vAlign w:val="bottom"/>
            <w:gridSpan w:val="2"/>
          </w:tcPr>
          <w:p>
            <w:pPr>
              <w:spacing w:after="0"/>
              <w:rPr>
                <w:sz w:val="20"/>
                <w:szCs w:val="20"/>
                <w:color w:val="auto"/>
              </w:rPr>
            </w:pPr>
            <w:r>
              <w:rPr>
                <w:rFonts w:ascii="Arial" w:cs="Arial" w:eastAsia="Arial" w:hAnsi="Arial"/>
                <w:sz w:val="18"/>
                <w:szCs w:val="18"/>
                <w:color w:val="auto"/>
              </w:rPr>
              <w:t>Name</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Exercisable</w:t>
            </w:r>
          </w:p>
        </w:tc>
        <w:tc>
          <w:tcPr>
            <w:tcW w:w="14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Unexercisable</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Options (#)</w:t>
            </w:r>
          </w:p>
        </w:tc>
        <w:tc>
          <w:tcPr>
            <w:tcW w:w="100" w:type="dxa"/>
            <w:vAlign w:val="bottom"/>
          </w:tcPr>
          <w:p>
            <w:pPr>
              <w:spacing w:after="0"/>
              <w:rPr>
                <w:sz w:val="20"/>
                <w:szCs w:val="20"/>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Price ($)</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Vested (#)</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 xml:space="preserve">Vested </w:t>
            </w:r>
            <w:r>
              <w:rPr>
                <w:rFonts w:ascii="Arial" w:cs="Arial" w:eastAsia="Arial" w:hAnsi="Arial"/>
                <w:sz w:val="18"/>
                <w:szCs w:val="18"/>
                <w:u w:val="single" w:color="auto"/>
                <w:color w:val="auto"/>
                <w:w w:val="86"/>
              </w:rPr>
              <w:t>($</w:t>
            </w:r>
            <w:r>
              <w:rPr>
                <w:rFonts w:ascii="Arial" w:cs="Arial" w:eastAsia="Arial" w:hAnsi="Arial"/>
                <w:sz w:val="18"/>
                <w:szCs w:val="18"/>
                <w:color w:val="auto"/>
                <w:w w:val="86"/>
              </w:rPr>
              <w: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Vested (#)</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Vested (#)</w:t>
            </w:r>
          </w:p>
        </w:tc>
      </w:tr>
      <w:tr>
        <w:trPr>
          <w:trHeight w:val="216"/>
        </w:trPr>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4/26/15</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Harrell</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46,850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5/31/16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Lester</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49,000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5/31/16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Douglas Baker</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100,000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5/19/19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122,000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5/31/16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655"/>
        </w:trPr>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-3197860</wp:posOffset>
            </wp:positionV>
            <wp:extent cx="7246620" cy="2769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76987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Director Compensation</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480" w:type="dxa"/>
            <w:vAlign w:val="bottom"/>
            <w:gridSpan w:val="7"/>
          </w:tcPr>
          <w:p>
            <w:pPr>
              <w:spacing w:after="0"/>
              <w:rPr>
                <w:sz w:val="20"/>
                <w:szCs w:val="20"/>
                <w:color w:val="auto"/>
              </w:rPr>
            </w:pPr>
            <w:r>
              <w:rPr>
                <w:rFonts w:ascii="Arial" w:cs="Arial" w:eastAsia="Arial" w:hAnsi="Arial"/>
                <w:sz w:val="18"/>
                <w:szCs w:val="18"/>
                <w:color w:val="auto"/>
              </w:rPr>
              <w:t>The table below summarizes all compensation of our directors as of December 31, 2014.</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Fees Earned or</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All Other</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Paid in Cash</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Stock Awards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Option Awards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700" w:type="dxa"/>
            <w:vAlign w:val="bottom"/>
            <w:gridSpan w:val="3"/>
          </w:tcPr>
          <w:p>
            <w:pPr>
              <w:spacing w:after="0"/>
              <w:rPr>
                <w:sz w:val="20"/>
                <w:szCs w:val="20"/>
                <w:color w:val="auto"/>
              </w:rPr>
            </w:pPr>
            <w:r>
              <w:rPr>
                <w:rFonts w:ascii="Arial" w:cs="Arial" w:eastAsia="Arial" w:hAnsi="Arial"/>
                <w:sz w:val="18"/>
                <w:szCs w:val="18"/>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Total ($)</w:t>
            </w:r>
          </w:p>
        </w:tc>
      </w:tr>
      <w:tr>
        <w:trPr>
          <w:trHeight w:val="202"/>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Gus D. Halas</w:t>
            </w:r>
          </w:p>
        </w:tc>
        <w:tc>
          <w:tcPr>
            <w:tcW w:w="120" w:type="dxa"/>
            <w:vAlign w:val="bottom"/>
          </w:tcPr>
          <w:p>
            <w:pPr>
              <w:spacing w:after="0"/>
              <w:rPr>
                <w:sz w:val="17"/>
                <w:szCs w:val="17"/>
                <w:color w:val="auto"/>
              </w:rPr>
            </w:pPr>
          </w:p>
        </w:tc>
        <w:tc>
          <w:tcPr>
            <w:tcW w:w="1160" w:type="dxa"/>
            <w:vAlign w:val="bottom"/>
            <w:tcBorders>
              <w:top w:val="single" w:sz="8" w:color="auto"/>
            </w:tcBorders>
          </w:tcPr>
          <w:p>
            <w:pPr>
              <w:ind w:left="760"/>
              <w:spacing w:after="0" w:line="201" w:lineRule="exact"/>
              <w:rPr>
                <w:sz w:val="20"/>
                <w:szCs w:val="20"/>
                <w:color w:val="auto"/>
              </w:rPr>
            </w:pPr>
            <w:r>
              <w:rPr>
                <w:rFonts w:ascii="Arial" w:cs="Arial" w:eastAsia="Arial" w:hAnsi="Arial"/>
                <w:sz w:val="18"/>
                <w:szCs w:val="18"/>
                <w:color w:val="auto"/>
                <w:w w:val="84"/>
              </w:rPr>
              <w:t>9,986</w:t>
            </w:r>
          </w:p>
        </w:tc>
        <w:tc>
          <w:tcPr>
            <w:tcW w:w="26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11,827</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21,813</w:t>
            </w:r>
          </w:p>
        </w:tc>
        <w:tc>
          <w:tcPr>
            <w:tcW w:w="20" w:type="dxa"/>
            <w:vAlign w:val="bottom"/>
          </w:tcPr>
          <w:p>
            <w:pPr>
              <w:spacing w:after="0"/>
              <w:rPr>
                <w:sz w:val="17"/>
                <w:szCs w:val="17"/>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Jack Pinney</w:t>
            </w: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9,579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11,315</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20,894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Director Compensation Table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our Director Compensation Plan, non-employee directors (“Outside Directors”) shall receive (a) a $25,000 annual cash retainer, payable in equal quarterly installments, and (b) reimbursement for expenses related to Board meeting attendance and any committee participation. Directors are expected to attend four meetings per year as well as spend an additional 10 – 20 hours per month on company matters. In addition, Outside Directors shall receive 25,000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 Both Dr. Pinney and Mr. Halas joined the Board in August,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sets forth the beneficial ownership by each person, other than executive officers, known to us to beneficially own 5% or more of our outstanding common stock as of March 20. 2015. This information is based on public filings as of March 20, 2015. For the purposes of this Annual Report on Form 10-K,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Common</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Percentage of</w:t>
            </w:r>
          </w:p>
        </w:tc>
      </w:tr>
      <w:tr>
        <w:trPr>
          <w:trHeight w:val="241"/>
        </w:trPr>
        <w:tc>
          <w:tcPr>
            <w:tcW w:w="2860" w:type="dxa"/>
            <w:vAlign w:val="bottom"/>
          </w:tcPr>
          <w:p>
            <w:pPr>
              <w:spacing w:after="0"/>
              <w:rPr>
                <w:sz w:val="20"/>
                <w:szCs w:val="20"/>
                <w:color w:val="auto"/>
              </w:rPr>
            </w:pPr>
            <w:r>
              <w:rPr>
                <w:rFonts w:ascii="Arial" w:cs="Arial" w:eastAsia="Arial" w:hAnsi="Arial"/>
                <w:sz w:val="18"/>
                <w:szCs w:val="18"/>
                <w:b w:val="1"/>
                <w:bCs w:val="1"/>
                <w:color w:val="auto"/>
                <w:w w:val="98"/>
              </w:rPr>
              <w:t>More Than 5% Beneficial Owners:</w:t>
            </w:r>
          </w:p>
        </w:tc>
        <w:tc>
          <w:tcPr>
            <w:tcW w:w="5920" w:type="dxa"/>
            <w:vAlign w:val="bottom"/>
            <w:gridSpan w:val="3"/>
          </w:tcPr>
          <w:p>
            <w:pPr>
              <w:ind w:left="100"/>
              <w:spacing w:after="0"/>
              <w:rPr>
                <w:sz w:val="20"/>
                <w:szCs w:val="20"/>
                <w:color w:val="auto"/>
              </w:rPr>
            </w:pPr>
            <w:r>
              <w:rPr>
                <w:rFonts w:ascii="Arial" w:cs="Arial" w:eastAsia="Arial" w:hAnsi="Arial"/>
                <w:sz w:val="18"/>
                <w:szCs w:val="18"/>
                <w:b w:val="1"/>
                <w:bCs w:val="1"/>
                <w:color w:val="auto"/>
              </w:rPr>
              <w:t>Name and Address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Shares Owned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Class</w:t>
            </w:r>
          </w:p>
        </w:tc>
      </w:tr>
      <w:tr>
        <w:trPr>
          <w:trHeight w:val="205"/>
        </w:trPr>
        <w:tc>
          <w:tcPr>
            <w:tcW w:w="28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Common</w:t>
            </w:r>
          </w:p>
        </w:tc>
        <w:tc>
          <w:tcPr>
            <w:tcW w:w="100" w:type="dxa"/>
            <w:vAlign w:val="bottom"/>
            <w:tcBorders>
              <w:top w:val="single" w:sz="8" w:color="CCEEFF"/>
            </w:tcBorders>
            <w:shd w:val="clear" w:color="auto" w:fill="CCEEFF"/>
          </w:tcPr>
          <w:p>
            <w:pPr>
              <w:spacing w:after="0"/>
              <w:rPr>
                <w:sz w:val="17"/>
                <w:szCs w:val="17"/>
                <w:color w:val="auto"/>
              </w:rPr>
            </w:pPr>
          </w:p>
        </w:tc>
        <w:tc>
          <w:tcPr>
            <w:tcW w:w="57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Wolverine Flagship Fund</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53"/>
        </w:trPr>
        <w:tc>
          <w:tcPr>
            <w:tcW w:w="2860" w:type="dxa"/>
            <w:vAlign w:val="bottom"/>
            <w:shd w:val="clear" w:color="auto" w:fill="CCEEFF"/>
          </w:tcPr>
          <w:p>
            <w:pPr>
              <w:spacing w:after="0"/>
              <w:rPr>
                <w:sz w:val="21"/>
                <w:szCs w:val="21"/>
                <w:color w:val="auto"/>
              </w:rPr>
            </w:pPr>
          </w:p>
        </w:tc>
        <w:tc>
          <w:tcPr>
            <w:tcW w:w="5920" w:type="dxa"/>
            <w:vAlign w:val="bottom"/>
            <w:gridSpan w:val="3"/>
            <w:shd w:val="clear" w:color="auto" w:fill="CCEEFF"/>
          </w:tcPr>
          <w:p>
            <w:pPr>
              <w:ind w:left="100"/>
              <w:spacing w:after="0" w:line="253" w:lineRule="exact"/>
              <w:rPr>
                <w:sz w:val="20"/>
                <w:szCs w:val="20"/>
                <w:color w:val="auto"/>
              </w:rPr>
            </w:pPr>
            <w:r>
              <w:rPr>
                <w:rFonts w:ascii="Arial" w:cs="Arial" w:eastAsia="Arial" w:hAnsi="Arial"/>
                <w:sz w:val="18"/>
                <w:szCs w:val="18"/>
                <w:color w:val="auto"/>
              </w:rPr>
              <w:t>Trading Limited</w:t>
            </w:r>
            <w:r>
              <w:rPr>
                <w:rFonts w:ascii="Arial" w:cs="Arial" w:eastAsia="Arial" w:hAnsi="Arial"/>
                <w:sz w:val="29"/>
                <w:szCs w:val="29"/>
                <w:color w:val="auto"/>
                <w:vertAlign w:val="superscript"/>
              </w:rPr>
              <w:t>(8)</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175 W Jackson Blvd, 3rd Flr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860" w:type="dxa"/>
            <w:vAlign w:val="bottom"/>
            <w:shd w:val="clear" w:color="auto" w:fill="CCEEFF"/>
          </w:tcPr>
          <w:p>
            <w:pPr>
              <w:spacing w:after="0"/>
              <w:rPr>
                <w:sz w:val="20"/>
                <w:szCs w:val="20"/>
                <w:color w:val="auto"/>
              </w:rPr>
            </w:pPr>
          </w:p>
        </w:tc>
        <w:tc>
          <w:tcPr>
            <w:tcW w:w="59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Chicago, IL 60604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2,237,800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r>
      <w:tr>
        <w:trPr>
          <w:trHeight w:val="242"/>
        </w:trPr>
        <w:tc>
          <w:tcPr>
            <w:tcW w:w="2860" w:type="dxa"/>
            <w:vAlign w:val="bottom"/>
          </w:tcPr>
          <w:p>
            <w:pPr>
              <w:spacing w:after="0"/>
              <w:rPr>
                <w:sz w:val="20"/>
                <w:szCs w:val="20"/>
                <w:color w:val="auto"/>
              </w:rPr>
            </w:pPr>
            <w:r>
              <w:rPr>
                <w:rFonts w:ascii="Arial" w:cs="Arial" w:eastAsia="Arial" w:hAnsi="Arial"/>
                <w:sz w:val="18"/>
                <w:szCs w:val="18"/>
                <w:color w:val="auto"/>
              </w:rPr>
              <w:t>Common</w:t>
            </w:r>
          </w:p>
        </w:tc>
        <w:tc>
          <w:tcPr>
            <w:tcW w:w="5920" w:type="dxa"/>
            <w:vAlign w:val="bottom"/>
            <w:gridSpan w:val="3"/>
          </w:tcPr>
          <w:p>
            <w:pPr>
              <w:ind w:left="100"/>
              <w:spacing w:after="0" w:line="242" w:lineRule="exact"/>
              <w:rPr>
                <w:sz w:val="20"/>
                <w:szCs w:val="20"/>
                <w:color w:val="auto"/>
              </w:rPr>
            </w:pPr>
            <w:r>
              <w:rPr>
                <w:rFonts w:ascii="Arial" w:cs="Arial" w:eastAsia="Arial" w:hAnsi="Arial"/>
                <w:sz w:val="17"/>
                <w:szCs w:val="17"/>
                <w:color w:val="auto"/>
              </w:rPr>
              <w:t>Harvey L. Poppel</w:t>
            </w:r>
            <w:r>
              <w:rPr>
                <w:rFonts w:ascii="Arial" w:cs="Arial" w:eastAsia="Arial" w:hAnsi="Arial"/>
                <w:sz w:val="28"/>
                <w:szCs w:val="28"/>
                <w:color w:val="auto"/>
                <w:vertAlign w:val="superscript"/>
              </w:rPr>
              <w:t>(9)</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2860" w:type="dxa"/>
            <w:vAlign w:val="bottom"/>
          </w:tcPr>
          <w:p>
            <w:pPr>
              <w:spacing w:after="0"/>
              <w:rPr>
                <w:sz w:val="18"/>
                <w:szCs w:val="18"/>
                <w:color w:val="auto"/>
              </w:rPr>
            </w:pPr>
          </w:p>
        </w:tc>
        <w:tc>
          <w:tcPr>
            <w:tcW w:w="5920" w:type="dxa"/>
            <w:vAlign w:val="bottom"/>
            <w:gridSpan w:val="3"/>
          </w:tcPr>
          <w:p>
            <w:pPr>
              <w:ind w:left="100"/>
              <w:spacing w:after="0"/>
              <w:rPr>
                <w:sz w:val="20"/>
                <w:szCs w:val="20"/>
                <w:color w:val="auto"/>
              </w:rPr>
            </w:pPr>
            <w:r>
              <w:rPr>
                <w:rFonts w:ascii="Arial" w:cs="Arial" w:eastAsia="Arial" w:hAnsi="Arial"/>
                <w:sz w:val="18"/>
                <w:szCs w:val="18"/>
                <w:color w:val="auto"/>
              </w:rPr>
              <w:t>110 El Mirasol</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p>
        </w:tc>
        <w:tc>
          <w:tcPr>
            <w:tcW w:w="5920" w:type="dxa"/>
            <w:vAlign w:val="bottom"/>
            <w:gridSpan w:val="3"/>
          </w:tcPr>
          <w:p>
            <w:pPr>
              <w:ind w:left="100"/>
              <w:spacing w:after="0"/>
              <w:rPr>
                <w:sz w:val="20"/>
                <w:szCs w:val="20"/>
                <w:color w:val="auto"/>
              </w:rPr>
            </w:pPr>
            <w:r>
              <w:rPr>
                <w:rFonts w:ascii="Arial" w:cs="Arial" w:eastAsia="Arial" w:hAnsi="Arial"/>
                <w:sz w:val="18"/>
                <w:szCs w:val="18"/>
                <w:color w:val="auto"/>
              </w:rPr>
              <w:t>Palm Beach, FL 33480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2,096,378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r>
      <w:tr>
        <w:trPr>
          <w:trHeight w:val="24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5920" w:type="dxa"/>
            <w:vAlign w:val="bottom"/>
            <w:gridSpan w:val="3"/>
            <w:shd w:val="clear" w:color="auto" w:fill="CCEEFF"/>
          </w:tcPr>
          <w:p>
            <w:pPr>
              <w:ind w:left="100"/>
              <w:spacing w:after="0" w:line="246" w:lineRule="exact"/>
              <w:rPr>
                <w:sz w:val="20"/>
                <w:szCs w:val="20"/>
                <w:color w:val="auto"/>
              </w:rPr>
            </w:pPr>
            <w:r>
              <w:rPr>
                <w:rFonts w:ascii="Arial" w:cs="Arial" w:eastAsia="Arial" w:hAnsi="Arial"/>
                <w:sz w:val="17"/>
                <w:szCs w:val="17"/>
                <w:color w:val="auto"/>
              </w:rPr>
              <w:t>Goldman Capital Management, Inc.</w:t>
            </w:r>
            <w:r>
              <w:rPr>
                <w:rFonts w:ascii="Arial" w:cs="Arial" w:eastAsia="Arial" w:hAnsi="Arial"/>
                <w:sz w:val="28"/>
                <w:szCs w:val="28"/>
                <w:color w:val="auto"/>
                <w:vertAlign w:val="superscript"/>
              </w:rPr>
              <w:t>(10)</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53"/>
        </w:trPr>
        <w:tc>
          <w:tcPr>
            <w:tcW w:w="2860" w:type="dxa"/>
            <w:vAlign w:val="bottom"/>
            <w:shd w:val="clear" w:color="auto" w:fill="CCEEFF"/>
          </w:tcPr>
          <w:p>
            <w:pPr>
              <w:spacing w:after="0"/>
              <w:rPr>
                <w:sz w:val="21"/>
                <w:szCs w:val="21"/>
                <w:color w:val="auto"/>
              </w:rPr>
            </w:pPr>
          </w:p>
        </w:tc>
        <w:tc>
          <w:tcPr>
            <w:tcW w:w="5920" w:type="dxa"/>
            <w:vAlign w:val="bottom"/>
            <w:gridSpan w:val="3"/>
            <w:shd w:val="clear" w:color="auto" w:fill="CCEEFF"/>
          </w:tcPr>
          <w:p>
            <w:pPr>
              <w:ind w:left="100"/>
              <w:spacing w:after="0" w:line="253" w:lineRule="exact"/>
              <w:rPr>
                <w:sz w:val="20"/>
                <w:szCs w:val="20"/>
                <w:color w:val="auto"/>
              </w:rPr>
            </w:pPr>
            <w:r>
              <w:rPr>
                <w:rFonts w:ascii="Arial" w:cs="Arial" w:eastAsia="Arial" w:hAnsi="Arial"/>
                <w:sz w:val="18"/>
                <w:szCs w:val="18"/>
                <w:color w:val="auto"/>
              </w:rPr>
              <w:t>767 Third Ave.,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30"/>
        </w:trPr>
        <w:tc>
          <w:tcPr>
            <w:tcW w:w="2860" w:type="dxa"/>
            <w:vAlign w:val="bottom"/>
            <w:shd w:val="clear" w:color="auto" w:fill="CCEEFF"/>
          </w:tcPr>
          <w:p>
            <w:pPr>
              <w:spacing w:after="0"/>
              <w:rPr>
                <w:sz w:val="20"/>
                <w:szCs w:val="20"/>
                <w:color w:val="auto"/>
              </w:rPr>
            </w:pPr>
          </w:p>
        </w:tc>
        <w:tc>
          <w:tcPr>
            <w:tcW w:w="59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New York, NY 10017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1,532,394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Common</w:t>
            </w:r>
          </w:p>
        </w:tc>
        <w:tc>
          <w:tcPr>
            <w:tcW w:w="592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Ronald L. Chez</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5920" w:type="dxa"/>
            <w:vAlign w:val="bottom"/>
            <w:gridSpan w:val="3"/>
          </w:tcPr>
          <w:p>
            <w:pPr>
              <w:ind w:left="100"/>
              <w:spacing w:after="0"/>
              <w:rPr>
                <w:sz w:val="20"/>
                <w:szCs w:val="20"/>
                <w:color w:val="auto"/>
              </w:rPr>
            </w:pPr>
            <w:r>
              <w:rPr>
                <w:rFonts w:ascii="Arial" w:cs="Arial" w:eastAsia="Arial" w:hAnsi="Arial"/>
                <w:sz w:val="18"/>
                <w:szCs w:val="18"/>
                <w:color w:val="auto"/>
              </w:rPr>
              <w:t>55 East Monroe Street, Suite 3700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p>
        </w:tc>
        <w:tc>
          <w:tcPr>
            <w:tcW w:w="5920" w:type="dxa"/>
            <w:vAlign w:val="bottom"/>
            <w:gridSpan w:val="3"/>
          </w:tcPr>
          <w:p>
            <w:pPr>
              <w:ind w:left="100"/>
              <w:spacing w:after="0"/>
              <w:rPr>
                <w:sz w:val="20"/>
                <w:szCs w:val="20"/>
                <w:color w:val="auto"/>
              </w:rPr>
            </w:pPr>
            <w:r>
              <w:rPr>
                <w:rFonts w:ascii="Arial" w:cs="Arial" w:eastAsia="Arial" w:hAnsi="Arial"/>
                <w:sz w:val="18"/>
                <w:szCs w:val="18"/>
                <w:color w:val="auto"/>
              </w:rPr>
              <w:t>Chicago, IL 60603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1,597,408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655"/>
        </w:trPr>
        <w:tc>
          <w:tcPr>
            <w:tcW w:w="28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gridSpan w:val="2"/>
          </w:tcPr>
          <w:p>
            <w:pPr>
              <w:jc w:val="right"/>
              <w:ind w:right="277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-2606675</wp:posOffset>
            </wp:positionV>
            <wp:extent cx="7246620" cy="2178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17805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certain information with respect to beneficial ownership of OptimizeRx’s common stock as of March 20, 2015, by each Director, each Named Executive Officer, and by the directors and executive officers as a group. Unless otherwise indicated, each person or member of the group listed has sole voting and investment power with respect to the shares of common stock listed.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Shares Related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Options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 Stock</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Included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Awards and</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Common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Common Stock</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in Beneficial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Note Payable</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Shares</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Beneficial</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Percentage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gridSpan w:val="3"/>
          </w:tcPr>
          <w:p>
            <w:pPr>
              <w:ind w:left="1800"/>
              <w:spacing w:after="0"/>
              <w:rPr>
                <w:sz w:val="20"/>
                <w:szCs w:val="20"/>
                <w:color w:val="auto"/>
              </w:rPr>
            </w:pPr>
            <w:r>
              <w:rPr>
                <w:rFonts w:ascii="Arial" w:cs="Arial" w:eastAsia="Arial" w:hAnsi="Arial"/>
                <w:sz w:val="18"/>
                <w:szCs w:val="18"/>
                <w:color w:val="auto"/>
              </w:rPr>
              <w:t>Name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Ownership (1)</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2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Owned</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Ownership</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of Class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David A. Harrell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246,850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521,875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2,583,750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3,352,475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Terence J. Hamilton</w:t>
            </w:r>
          </w:p>
        </w:tc>
        <w:tc>
          <w:tcPr>
            <w:tcW w:w="1160" w:type="dxa"/>
            <w:vAlign w:val="bottom"/>
          </w:tcPr>
          <w:p>
            <w:pPr>
              <w:jc w:val="right"/>
              <w:spacing w:after="0"/>
              <w:rPr>
                <w:sz w:val="20"/>
                <w:szCs w:val="20"/>
                <w:color w:val="auto"/>
              </w:rPr>
            </w:pPr>
            <w:r>
              <w:rPr>
                <w:rFonts w:ascii="Arial" w:cs="Arial" w:eastAsia="Arial" w:hAnsi="Arial"/>
                <w:sz w:val="18"/>
                <w:szCs w:val="18"/>
                <w:color w:val="auto"/>
              </w:rPr>
              <w:t>122,000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265,625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364,500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752,125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David Lester</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373,348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472,348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Douglas P. Baker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Gus D. Halas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20,019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Jack Pinney</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752,079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752,079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All Executive Officers and</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700" w:type="dxa"/>
            <w:vAlign w:val="bottom"/>
            <w:gridSpan w:val="5"/>
          </w:tcPr>
          <w:p>
            <w:pPr>
              <w:spacing w:after="0"/>
              <w:rPr>
                <w:sz w:val="20"/>
                <w:szCs w:val="20"/>
                <w:color w:val="auto"/>
              </w:rPr>
            </w:pPr>
            <w:r>
              <w:rPr>
                <w:rFonts w:ascii="Arial" w:cs="Arial" w:eastAsia="Arial" w:hAnsi="Arial"/>
                <w:sz w:val="18"/>
                <w:szCs w:val="18"/>
                <w:color w:val="auto"/>
              </w:rPr>
              <w:t>Directors as a group (6 persons)</w:t>
            </w:r>
          </w:p>
        </w:tc>
        <w:tc>
          <w:tcPr>
            <w:tcW w:w="1160" w:type="dxa"/>
            <w:vAlign w:val="bottom"/>
          </w:tcPr>
          <w:p>
            <w:pPr>
              <w:jc w:val="right"/>
              <w:spacing w:after="0"/>
              <w:rPr>
                <w:sz w:val="20"/>
                <w:szCs w:val="20"/>
                <w:color w:val="auto"/>
              </w:rPr>
            </w:pPr>
            <w:r>
              <w:rPr>
                <w:rFonts w:ascii="Arial" w:cs="Arial" w:eastAsia="Arial" w:hAnsi="Arial"/>
                <w:sz w:val="18"/>
                <w:szCs w:val="18"/>
                <w:color w:val="auto"/>
              </w:rPr>
              <w:t>467,850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837,500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4,113,696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5,419,046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25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Less than 1%</w:t>
            </w:r>
          </w:p>
        </w:tc>
        <w:tc>
          <w:tcPr>
            <w:tcW w:w="184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-2375535</wp:posOffset>
            </wp:positionV>
            <wp:extent cx="7246620" cy="2212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212340"/>
                    </a:xfrm>
                    <a:prstGeom prst="rect">
                      <a:avLst/>
                    </a:prstGeom>
                    <a:noFill/>
                  </pic:spPr>
                </pic:pic>
              </a:graphicData>
            </a:graphic>
          </wp:anchor>
        </w:drawing>
      </w:r>
    </w:p>
    <w:p>
      <w:pPr>
        <w:ind w:left="460" w:right="2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column lists shares that are subject to options exercisable within sixty (60) days of March 20, 2015, and are included in common stock beneficial ownership pursuant to Rule 13d-3(d)(1) of the Exchange Act.</w:t>
      </w: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column lists shares that are obtainable as result of stock awards for shares not yet issued or notes that are payable in stock as of March 20, 2015.</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17, 2014, we raised gross proceeds of $10,000,000 in an unregistered offering (the “Offering”) with certain accredited investors. We used a portion of the net proceeds of the Offering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the Series A Convertible Preferred Stock, Series B Convertible Preferred Stock, Common Stock, and warrants to purchase shares of common stock held by Vicis in our company. In connection with this fundraising, we agreed to grant 200,000 shares of fully vested common stock to officers David, Harrell, David Lester, and Terry Hamilton.</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we agreed to grant 337,500 shares of common stock, half of which vested immediately and half of which vested in August 2014, to both David Harrell and Terry Hamilton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Below is the table of Audit Fees (amounts in US$) billed by our auditor in connection with the audit of the Company’s annual financial statements and review of the quarterly financial statements for the years ended: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jc w:val="center"/>
              <w:ind w:left="1070"/>
              <w:spacing w:after="0"/>
              <w:rPr>
                <w:sz w:val="20"/>
                <w:szCs w:val="20"/>
                <w:color w:val="auto"/>
              </w:rPr>
            </w:pPr>
            <w:r>
              <w:rPr>
                <w:rFonts w:ascii="Arial" w:cs="Arial" w:eastAsia="Arial" w:hAnsi="Arial"/>
                <w:sz w:val="18"/>
                <w:szCs w:val="18"/>
                <w:color w:val="auto"/>
                <w:w w:val="91"/>
              </w:rPr>
              <w:t>Financial Statements for the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Audit Related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800" w:type="dxa"/>
            <w:vAlign w:val="bottom"/>
          </w:tcPr>
          <w:p>
            <w:pPr>
              <w:jc w:val="center"/>
              <w:ind w:left="1070"/>
              <w:spacing w:after="0"/>
              <w:rPr>
                <w:sz w:val="20"/>
                <w:szCs w:val="20"/>
                <w:color w:val="auto"/>
              </w:rPr>
            </w:pPr>
            <w:r>
              <w:rPr>
                <w:rFonts w:ascii="Arial" w:cs="Arial" w:eastAsia="Arial" w:hAnsi="Arial"/>
                <w:sz w:val="18"/>
                <w:szCs w:val="18"/>
                <w:color w:val="auto"/>
                <w:w w:val="88"/>
              </w:rPr>
              <w:t>Year Ended December 31</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color w:val="auto"/>
              </w:rPr>
              <w:t>Audit Services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8"/>
                <w:szCs w:val="18"/>
                <w:color w:val="auto"/>
                <w:w w:val="79"/>
              </w:rPr>
              <w:t>Fees</w:t>
            </w:r>
          </w:p>
        </w:tc>
        <w:tc>
          <w:tcPr>
            <w:tcW w:w="1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Tax Fees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Other Fees</w:t>
            </w:r>
          </w:p>
        </w:tc>
      </w:tr>
      <w:tr>
        <w:trPr>
          <w:trHeight w:val="216"/>
        </w:trPr>
        <w:tc>
          <w:tcPr>
            <w:tcW w:w="4800" w:type="dxa"/>
            <w:vAlign w:val="bottom"/>
            <w:tcBorders>
              <w:top w:val="single" w:sz="8" w:color="auto"/>
            </w:tcBorders>
            <w:shd w:val="clear" w:color="auto" w:fill="CCEEFF"/>
          </w:tcPr>
          <w:p>
            <w:pPr>
              <w:jc w:val="center"/>
              <w:ind w:left="1070"/>
              <w:spacing w:after="0"/>
              <w:rPr>
                <w:sz w:val="20"/>
                <w:szCs w:val="20"/>
                <w:color w:val="auto"/>
              </w:rPr>
            </w:pPr>
            <w:r>
              <w:rPr>
                <w:rFonts w:ascii="Arial" w:cs="Arial" w:eastAsia="Arial" w:hAnsi="Arial"/>
                <w:sz w:val="18"/>
                <w:szCs w:val="18"/>
                <w:color w:val="auto"/>
                <w:w w:val="89"/>
              </w:rPr>
              <w:t>2013</w:t>
            </w: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800" w:type="dxa"/>
            <w:vAlign w:val="bottom"/>
          </w:tcPr>
          <w:p>
            <w:pPr>
              <w:jc w:val="center"/>
              <w:ind w:left="1070"/>
              <w:spacing w:after="0"/>
              <w:rPr>
                <w:sz w:val="20"/>
                <w:szCs w:val="20"/>
                <w:color w:val="auto"/>
              </w:rPr>
            </w:pPr>
            <w:r>
              <w:rPr>
                <w:rFonts w:ascii="Arial" w:cs="Arial" w:eastAsia="Arial" w:hAnsi="Arial"/>
                <w:sz w:val="18"/>
                <w:szCs w:val="18"/>
                <w:color w:val="auto"/>
                <w:w w:val="89"/>
              </w:rPr>
              <w:t>2014</w:t>
            </w:r>
          </w:p>
        </w:tc>
        <w:tc>
          <w:tcPr>
            <w:tcW w:w="1660" w:type="dxa"/>
            <w:vAlign w:val="bottom"/>
            <w:gridSpan w:val="3"/>
          </w:tcPr>
          <w:p>
            <w:pPr>
              <w:jc w:val="right"/>
              <w:ind w:right="21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36,100</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641"/>
        </w:trPr>
        <w:tc>
          <w:tcPr>
            <w:tcW w:w="4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-994410</wp:posOffset>
            </wp:positionV>
            <wp:extent cx="7246620" cy="5657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56578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Financial Statements and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financial statements and schedules listed below are included in this Form 10-K.</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Statements (See Item 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  Exhibits</w:t>
      </w:r>
    </w:p>
    <w:p>
      <w:pPr>
        <w:sectPr>
          <w:pgSz w:w="11900" w:h="16838" w:orient="portrait"/>
          <w:cols w:equalWidth="0" w:num="1">
            <w:col w:w="11400"/>
          </w:cols>
          <w:pgMar w:left="240" w:top="877" w:right="259" w:bottom="1072" w:gutter="0" w:footer="0" w:header="0"/>
        </w:sectPr>
      </w:pPr>
    </w:p>
    <w:p>
      <w:pPr>
        <w:spacing w:after="0" w:line="2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color w:val="auto"/>
        </w:rPr>
        <w:t xml:space="preserve">Exhibit Number </w:t>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8293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293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30"/>
          <w:szCs w:val="30"/>
          <w:color w:val="auto"/>
          <w:vertAlign w:val="superscript"/>
        </w:rPr>
        <w:t>1</w:t>
      </w:r>
    </w:p>
    <w:p>
      <w:pPr>
        <w:spacing w:after="0" w:line="180" w:lineRule="auto"/>
        <w:rPr>
          <w:sz w:val="20"/>
          <w:szCs w:val="20"/>
          <w:color w:val="auto"/>
        </w:rPr>
      </w:pPr>
      <w:r>
        <w:rPr>
          <w:rFonts w:ascii="Arial" w:cs="Arial" w:eastAsia="Arial" w:hAnsi="Arial"/>
          <w:sz w:val="16"/>
          <w:szCs w:val="16"/>
          <w:color w:val="auto"/>
        </w:rPr>
        <w:t>Amended and Restated Bylaws of the Company</w:t>
      </w:r>
      <w:r>
        <w:rPr>
          <w:rFonts w:ascii="Arial" w:cs="Arial" w:eastAsia="Arial" w:hAnsi="Arial"/>
          <w:sz w:val="25"/>
          <w:szCs w:val="25"/>
          <w:color w:val="auto"/>
          <w:vertAlign w:val="superscript"/>
        </w:rPr>
        <w:t>1</w:t>
      </w:r>
    </w:p>
    <w:p>
      <w:pPr>
        <w:spacing w:after="0" w:line="207" w:lineRule="auto"/>
        <w:rPr>
          <w:sz w:val="20"/>
          <w:szCs w:val="20"/>
          <w:color w:val="auto"/>
        </w:rPr>
      </w:pPr>
      <w:r>
        <w:rPr>
          <w:rFonts w:ascii="Arial" w:cs="Arial" w:eastAsia="Arial" w:hAnsi="Arial"/>
          <w:sz w:val="18"/>
          <w:szCs w:val="18"/>
          <w:color w:val="auto"/>
        </w:rPr>
        <w:t>Certificate of Designation, filed on September 5, 2008, with the Secretary of State of the State of Nevada by the Company</w:t>
      </w:r>
      <w:r>
        <w:rPr>
          <w:rFonts w:ascii="Arial" w:cs="Arial" w:eastAsia="Arial" w:hAnsi="Arial"/>
          <w:sz w:val="30"/>
          <w:szCs w:val="30"/>
          <w:color w:val="auto"/>
          <w:vertAlign w:val="superscript"/>
        </w:rPr>
        <w:t>1</w:t>
      </w:r>
    </w:p>
    <w:p>
      <w:pPr>
        <w:spacing w:after="0" w:line="184" w:lineRule="auto"/>
        <w:rPr>
          <w:sz w:val="20"/>
          <w:szCs w:val="20"/>
          <w:color w:val="auto"/>
        </w:rPr>
      </w:pPr>
      <w:r>
        <w:rPr>
          <w:rFonts w:ascii="Arial" w:cs="Arial" w:eastAsia="Arial" w:hAnsi="Arial"/>
          <w:sz w:val="18"/>
          <w:szCs w:val="18"/>
          <w:color w:val="auto"/>
        </w:rPr>
        <w:t>Employment Agreement between the Company and Terry Hamilton, dated August 1, 2008</w:t>
      </w:r>
      <w:r>
        <w:rPr>
          <w:rFonts w:ascii="Arial" w:cs="Arial" w:eastAsia="Arial" w:hAnsi="Arial"/>
          <w:sz w:val="29"/>
          <w:szCs w:val="29"/>
          <w:color w:val="auto"/>
          <w:vertAlign w:val="superscript"/>
        </w:rPr>
        <w:t>2</w:t>
      </w:r>
    </w:p>
    <w:p>
      <w:pPr>
        <w:spacing w:after="0" w:line="180" w:lineRule="auto"/>
        <w:rPr>
          <w:sz w:val="20"/>
          <w:szCs w:val="20"/>
          <w:color w:val="auto"/>
        </w:rPr>
      </w:pPr>
      <w:r>
        <w:rPr>
          <w:rFonts w:ascii="Arial" w:cs="Arial" w:eastAsia="Arial" w:hAnsi="Arial"/>
          <w:sz w:val="16"/>
          <w:szCs w:val="16"/>
          <w:color w:val="auto"/>
        </w:rPr>
        <w:t>Employment Agreement between the Company and David Harrell, dated June 1, 2008</w:t>
      </w:r>
      <w:r>
        <w:rPr>
          <w:rFonts w:ascii="Arial" w:cs="Arial" w:eastAsia="Arial" w:hAnsi="Arial"/>
          <w:sz w:val="25"/>
          <w:szCs w:val="25"/>
          <w:color w:val="auto"/>
          <w:vertAlign w:val="superscript"/>
        </w:rPr>
        <w:t>2</w:t>
      </w:r>
    </w:p>
    <w:p>
      <w:pPr>
        <w:spacing w:after="0" w:line="207" w:lineRule="auto"/>
        <w:rPr>
          <w:sz w:val="20"/>
          <w:szCs w:val="20"/>
          <w:color w:val="auto"/>
        </w:rPr>
      </w:pPr>
      <w:r>
        <w:rPr>
          <w:rFonts w:ascii="Arial" w:cs="Arial" w:eastAsia="Arial" w:hAnsi="Arial"/>
          <w:sz w:val="18"/>
          <w:szCs w:val="18"/>
          <w:color w:val="auto"/>
        </w:rPr>
        <w:t>Employment Agreement Addendum between the Company and Terry Hamilton, dated March 18, 2010</w:t>
      </w:r>
      <w:r>
        <w:rPr>
          <w:rFonts w:ascii="Arial" w:cs="Arial" w:eastAsia="Arial" w:hAnsi="Arial"/>
          <w:sz w:val="30"/>
          <w:szCs w:val="30"/>
          <w:color w:val="auto"/>
          <w:vertAlign w:val="superscript"/>
        </w:rPr>
        <w:t>2</w:t>
      </w:r>
    </w:p>
    <w:p>
      <w:pPr>
        <w:spacing w:after="0" w:line="185" w:lineRule="auto"/>
        <w:rPr>
          <w:sz w:val="20"/>
          <w:szCs w:val="20"/>
          <w:color w:val="auto"/>
        </w:rPr>
      </w:pPr>
      <w:r>
        <w:rPr>
          <w:rFonts w:ascii="Arial" w:cs="Arial" w:eastAsia="Arial" w:hAnsi="Arial"/>
          <w:sz w:val="18"/>
          <w:szCs w:val="18"/>
          <w:color w:val="auto"/>
        </w:rPr>
        <w:t>Employment Agreement Addendum between the Company and David Harrell, dated March 18, 2010</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Amendment to Employment Agreement between the Company and Terry Hamilton, dated July 28, 2010</w:t>
      </w:r>
      <w:r>
        <w:rPr>
          <w:rFonts w:ascii="Arial" w:cs="Arial" w:eastAsia="Arial" w:hAnsi="Arial"/>
          <w:sz w:val="29"/>
          <w:szCs w:val="29"/>
          <w:color w:val="auto"/>
          <w:vertAlign w:val="superscript"/>
        </w:rPr>
        <w:t>3</w:t>
      </w:r>
    </w:p>
    <w:p>
      <w:pPr>
        <w:spacing w:after="0" w:line="184" w:lineRule="auto"/>
        <w:rPr>
          <w:sz w:val="20"/>
          <w:szCs w:val="20"/>
          <w:color w:val="auto"/>
        </w:rPr>
      </w:pPr>
      <w:r>
        <w:rPr>
          <w:rFonts w:ascii="Arial" w:cs="Arial" w:eastAsia="Arial" w:hAnsi="Arial"/>
          <w:sz w:val="18"/>
          <w:szCs w:val="18"/>
          <w:color w:val="auto"/>
        </w:rPr>
        <w:t>Amendment to Employment Agreement and David Harrell, dated July 28, 2010</w:t>
      </w:r>
      <w:r>
        <w:rPr>
          <w:rFonts w:ascii="Arial" w:cs="Arial" w:eastAsia="Arial" w:hAnsi="Arial"/>
          <w:sz w:val="29"/>
          <w:szCs w:val="29"/>
          <w:color w:val="auto"/>
          <w:vertAlign w:val="superscript"/>
        </w:rPr>
        <w:t>3</w:t>
      </w:r>
    </w:p>
    <w:p>
      <w:pPr>
        <w:spacing w:after="0" w:line="185" w:lineRule="auto"/>
        <w:rPr>
          <w:sz w:val="20"/>
          <w:szCs w:val="20"/>
          <w:color w:val="auto"/>
        </w:rPr>
      </w:pPr>
      <w:r>
        <w:rPr>
          <w:rFonts w:ascii="Arial" w:cs="Arial" w:eastAsia="Arial" w:hAnsi="Arial"/>
          <w:sz w:val="18"/>
          <w:szCs w:val="18"/>
          <w:color w:val="auto"/>
        </w:rPr>
        <w:t>Employment Agreement between the Company and Shad Stastney, dated January 14, 2013</w:t>
      </w:r>
      <w:r>
        <w:rPr>
          <w:rFonts w:ascii="Arial" w:cs="Arial" w:eastAsia="Arial" w:hAnsi="Arial"/>
          <w:sz w:val="29"/>
          <w:szCs w:val="29"/>
          <w:color w:val="auto"/>
          <w:vertAlign w:val="superscript"/>
        </w:rPr>
        <w:t>4</w:t>
      </w:r>
    </w:p>
    <w:p>
      <w:pPr>
        <w:spacing w:after="0" w:line="180" w:lineRule="auto"/>
        <w:rPr>
          <w:sz w:val="20"/>
          <w:szCs w:val="20"/>
          <w:color w:val="auto"/>
        </w:rPr>
      </w:pPr>
      <w:r>
        <w:rPr>
          <w:rFonts w:ascii="Arial" w:cs="Arial" w:eastAsia="Arial" w:hAnsi="Arial"/>
          <w:sz w:val="16"/>
          <w:szCs w:val="16"/>
          <w:color w:val="auto"/>
        </w:rPr>
        <w:t>Securities Redemption Option Agreement, dated January 10, 2013</w:t>
      </w:r>
      <w:r>
        <w:rPr>
          <w:rFonts w:ascii="Arial" w:cs="Arial" w:eastAsia="Arial" w:hAnsi="Arial"/>
          <w:sz w:val="25"/>
          <w:szCs w:val="25"/>
          <w:color w:val="auto"/>
          <w:vertAlign w:val="superscript"/>
        </w:rPr>
        <w:t>5</w:t>
      </w:r>
    </w:p>
    <w:p>
      <w:pPr>
        <w:spacing w:after="0" w:line="207" w:lineRule="auto"/>
        <w:rPr>
          <w:sz w:val="20"/>
          <w:szCs w:val="20"/>
          <w:color w:val="auto"/>
        </w:rPr>
      </w:pPr>
      <w:r>
        <w:rPr>
          <w:rFonts w:ascii="Arial" w:cs="Arial" w:eastAsia="Arial" w:hAnsi="Arial"/>
          <w:sz w:val="18"/>
          <w:szCs w:val="18"/>
          <w:color w:val="auto"/>
        </w:rPr>
        <w:t>Amendment to Employment Agreement between the Company and Shad Stastney, dated August 14, 2013</w:t>
      </w:r>
      <w:r>
        <w:rPr>
          <w:rFonts w:ascii="Arial" w:cs="Arial" w:eastAsia="Arial" w:hAnsi="Arial"/>
          <w:sz w:val="30"/>
          <w:szCs w:val="30"/>
          <w:color w:val="auto"/>
          <w:vertAlign w:val="superscript"/>
        </w:rPr>
        <w:t>6</w:t>
      </w:r>
    </w:p>
    <w:p>
      <w:pPr>
        <w:spacing w:after="0" w:line="185" w:lineRule="auto"/>
        <w:rPr>
          <w:sz w:val="20"/>
          <w:szCs w:val="20"/>
          <w:color w:val="auto"/>
        </w:rPr>
      </w:pPr>
      <w:r>
        <w:rPr>
          <w:rFonts w:ascii="Arial" w:cs="Arial" w:eastAsia="Arial" w:hAnsi="Arial"/>
          <w:sz w:val="18"/>
          <w:szCs w:val="18"/>
          <w:color w:val="auto"/>
        </w:rPr>
        <w:t>Amendment to Employment Agreement between the Company and Terry Hamilton, dated August 14, 2013</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Amendment to Employment Agreement between the Company and David Harrell, dated August 14, 2013</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Separation Agreement between the Company and Shad Stastney, dated September 20, 2013</w:t>
      </w:r>
      <w:r>
        <w:rPr>
          <w:rFonts w:ascii="Arial" w:cs="Arial" w:eastAsia="Arial" w:hAnsi="Arial"/>
          <w:sz w:val="29"/>
          <w:szCs w:val="29"/>
          <w:color w:val="auto"/>
          <w:vertAlign w:val="superscript"/>
        </w:rPr>
        <w:t>7</w:t>
      </w:r>
    </w:p>
    <w:p>
      <w:pPr>
        <w:spacing w:after="0" w:line="180" w:lineRule="auto"/>
        <w:rPr>
          <w:sz w:val="20"/>
          <w:szCs w:val="20"/>
          <w:color w:val="auto"/>
        </w:rPr>
      </w:pPr>
      <w:r>
        <w:rPr>
          <w:rFonts w:ascii="Arial" w:cs="Arial" w:eastAsia="Arial" w:hAnsi="Arial"/>
          <w:sz w:val="16"/>
          <w:szCs w:val="16"/>
          <w:color w:val="auto"/>
        </w:rPr>
        <w:t>Amendment No. 1 to Securities Redemption Option Agreement</w:t>
      </w:r>
      <w:r>
        <w:rPr>
          <w:rFonts w:ascii="Arial" w:cs="Arial" w:eastAsia="Arial" w:hAnsi="Arial"/>
          <w:sz w:val="25"/>
          <w:szCs w:val="25"/>
          <w:color w:val="auto"/>
          <w:vertAlign w:val="superscript"/>
        </w:rPr>
        <w:t>8</w:t>
      </w:r>
    </w:p>
    <w:p>
      <w:pPr>
        <w:spacing w:after="0" w:line="185" w:lineRule="auto"/>
        <w:rPr>
          <w:sz w:val="20"/>
          <w:szCs w:val="20"/>
          <w:color w:val="auto"/>
        </w:rPr>
      </w:pPr>
      <w:r>
        <w:rPr>
          <w:rFonts w:ascii="Arial" w:cs="Arial" w:eastAsia="Arial" w:hAnsi="Arial"/>
          <w:sz w:val="18"/>
          <w:szCs w:val="18"/>
          <w:color w:val="auto"/>
        </w:rPr>
        <w:t>Securities Purchase Agreement</w:t>
      </w:r>
      <w:r>
        <w:rPr>
          <w:rFonts w:ascii="Arial" w:cs="Arial" w:eastAsia="Arial" w:hAnsi="Arial"/>
          <w:sz w:val="29"/>
          <w:szCs w:val="29"/>
          <w:color w:val="auto"/>
          <w:vertAlign w:val="superscript"/>
        </w:rPr>
        <w:t>9</w:t>
      </w:r>
    </w:p>
    <w:p>
      <w:pPr>
        <w:spacing w:after="0" w:line="207" w:lineRule="auto"/>
        <w:rPr>
          <w:sz w:val="20"/>
          <w:szCs w:val="20"/>
          <w:color w:val="auto"/>
        </w:rPr>
      </w:pPr>
      <w:r>
        <w:rPr>
          <w:rFonts w:ascii="Arial" w:cs="Arial" w:eastAsia="Arial" w:hAnsi="Arial"/>
          <w:sz w:val="18"/>
          <w:szCs w:val="18"/>
          <w:color w:val="auto"/>
        </w:rPr>
        <w:t>Registration Rights Agreement</w:t>
      </w:r>
      <w:r>
        <w:rPr>
          <w:rFonts w:ascii="Arial" w:cs="Arial" w:eastAsia="Arial" w:hAnsi="Arial"/>
          <w:sz w:val="30"/>
          <w:szCs w:val="30"/>
          <w:color w:val="auto"/>
          <w:vertAlign w:val="superscript"/>
        </w:rPr>
        <w:t>9</w:t>
      </w:r>
    </w:p>
    <w:p>
      <w:pPr>
        <w:spacing w:after="0" w:line="184" w:lineRule="auto"/>
        <w:rPr>
          <w:sz w:val="20"/>
          <w:szCs w:val="20"/>
          <w:color w:val="auto"/>
        </w:rPr>
      </w:pPr>
      <w:r>
        <w:rPr>
          <w:rFonts w:ascii="Arial" w:cs="Arial" w:eastAsia="Arial" w:hAnsi="Arial"/>
          <w:sz w:val="18"/>
          <w:szCs w:val="18"/>
          <w:color w:val="auto"/>
        </w:rPr>
        <w:t>Warrant Agreement</w:t>
      </w:r>
      <w:r>
        <w:rPr>
          <w:rFonts w:ascii="Arial" w:cs="Arial" w:eastAsia="Arial" w:hAnsi="Arial"/>
          <w:sz w:val="29"/>
          <w:szCs w:val="29"/>
          <w:color w:val="auto"/>
          <w:vertAlign w:val="superscript"/>
        </w:rPr>
        <w:t>11</w:t>
      </w:r>
    </w:p>
    <w:p>
      <w:pPr>
        <w:spacing w:after="0" w:line="181" w:lineRule="auto"/>
        <w:rPr>
          <w:sz w:val="20"/>
          <w:szCs w:val="20"/>
          <w:color w:val="auto"/>
        </w:rPr>
      </w:pPr>
      <w:r>
        <w:rPr>
          <w:rFonts w:ascii="Arial" w:cs="Arial" w:eastAsia="Arial" w:hAnsi="Arial"/>
          <w:sz w:val="16"/>
          <w:szCs w:val="16"/>
          <w:color w:val="auto"/>
        </w:rPr>
        <w:t>Warrant Agreement</w:t>
      </w:r>
      <w:r>
        <w:rPr>
          <w:rFonts w:ascii="Arial" w:cs="Arial" w:eastAsia="Arial" w:hAnsi="Arial"/>
          <w:sz w:val="25"/>
          <w:szCs w:val="25"/>
          <w:color w:val="auto"/>
          <w:vertAlign w:val="superscript"/>
        </w:rPr>
        <w:t>11</w:t>
      </w:r>
    </w:p>
    <w:p>
      <w:pPr>
        <w:ind w:right="3660"/>
        <w:spacing w:after="0" w:line="223" w:lineRule="auto"/>
        <w:rPr>
          <w:sz w:val="20"/>
          <w:szCs w:val="20"/>
          <w:color w:val="auto"/>
        </w:rPr>
      </w:pPr>
      <w:r>
        <w:rPr>
          <w:rFonts w:ascii="Arial" w:cs="Arial" w:eastAsia="Arial" w:hAnsi="Arial"/>
          <w:sz w:val="18"/>
          <w:szCs w:val="18"/>
          <w:color w:val="auto"/>
        </w:rPr>
        <w:t>Employment Agreement between the Company and Douglas P. Baker, dated May 12, 2014</w:t>
      </w:r>
      <w:r>
        <w:rPr>
          <w:rFonts w:ascii="Arial" w:cs="Arial" w:eastAsia="Arial" w:hAnsi="Arial"/>
          <w:sz w:val="30"/>
          <w:szCs w:val="30"/>
          <w:color w:val="auto"/>
          <w:vertAlign w:val="superscript"/>
        </w:rPr>
        <w:t>10</w:t>
      </w:r>
      <w:r>
        <w:rPr>
          <w:rFonts w:ascii="Arial" w:cs="Arial" w:eastAsia="Arial" w:hAnsi="Arial"/>
          <w:sz w:val="18"/>
          <w:szCs w:val="18"/>
          <w:color w:val="auto"/>
        </w:rPr>
        <w:t xml:space="preserve"> List of Subsidiaries</w:t>
      </w:r>
      <w:r>
        <w:rPr>
          <w:rFonts w:ascii="Arial" w:cs="Arial" w:eastAsia="Arial" w:hAnsi="Arial"/>
          <w:sz w:val="30"/>
          <w:szCs w:val="30"/>
          <w:color w:val="auto"/>
          <w:vertAlign w:val="superscript"/>
        </w:rPr>
        <w:t>1</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Certification of Chief Executive Officer pursuant to Securities Exchange Act Rule 13a-14(a)/15d-14(a), as adopted pursuant to Section 302 of the Sarbanes-Oxley Act of 2002</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Certification of Chief Financial Officer pursuant to Securities Exchange Act Rule 13a-14(a)/15d-14(a), as adopted pursuant to Section 302 of the Sarbanes-Oxley Act of 2002</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materials from the Company’s Annual Report on Form 10-K for the year ended December 31, 2014 formatted in Extensible Business Reporting Language (XBRL).</w:t>
      </w:r>
    </w:p>
    <w:p>
      <w:pPr>
        <w:spacing w:after="0" w:line="156" w:lineRule="exact"/>
        <w:rPr>
          <w:sz w:val="20"/>
          <w:szCs w:val="20"/>
          <w:color w:val="auto"/>
        </w:rPr>
      </w:pPr>
    </w:p>
    <w:p>
      <w:pPr>
        <w:sectPr>
          <w:pgSz w:w="11900" w:h="16838" w:orient="portrait"/>
          <w:cols w:equalWidth="0" w:num="2">
            <w:col w:w="640" w:space="400"/>
            <w:col w:w="10360"/>
          </w:cols>
          <w:pgMar w:left="240" w:top="877" w:right="259" w:bottom="1072" w:gutter="0" w:footer="0" w:header="0"/>
          <w:type w:val="continuous"/>
        </w:sectPr>
      </w:pPr>
    </w:p>
    <w:p>
      <w:pPr>
        <w:ind w:left="120" w:hanging="112"/>
        <w:spacing w:after="0"/>
        <w:tabs>
          <w:tab w:leader="none" w:pos="120" w:val="left"/>
        </w:tabs>
        <w:numPr>
          <w:ilvl w:val="0"/>
          <w:numId w:val="24"/>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S-1, filed by the Company with the Securities and Exchange Commission on November 12, 2008.</w:t>
      </w:r>
    </w:p>
    <w:p>
      <w:pPr>
        <w:spacing w:after="0" w:line="42" w:lineRule="exact"/>
        <w:rPr>
          <w:rFonts w:ascii="Arial" w:cs="Arial" w:eastAsia="Arial" w:hAnsi="Arial"/>
          <w:sz w:val="26"/>
          <w:szCs w:val="26"/>
          <w:color w:val="auto"/>
          <w:vertAlign w:val="superscript"/>
        </w:rPr>
      </w:pPr>
    </w:p>
    <w:p>
      <w:pPr>
        <w:spacing w:after="0" w:line="20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2</w:t>
      </w:r>
      <w:r>
        <w:rPr>
          <w:rFonts w:ascii="Arial" w:cs="Arial" w:eastAsia="Arial" w:hAnsi="Arial"/>
          <w:sz w:val="16"/>
          <w:szCs w:val="16"/>
          <w:color w:val="auto"/>
        </w:rPr>
        <w:t xml:space="preserve"> Incorporated by reference to the Form 10-K, filed by the Company with the Securities and Exchange Commission on March 31, 2010.</w:t>
      </w:r>
    </w:p>
    <w:p>
      <w:pPr>
        <w:spacing w:after="0" w:line="1" w:lineRule="exact"/>
        <w:rPr>
          <w:rFonts w:ascii="Arial" w:cs="Arial" w:eastAsia="Arial" w:hAnsi="Arial"/>
          <w:sz w:val="26"/>
          <w:szCs w:val="26"/>
          <w:color w:val="auto"/>
          <w:vertAlign w:val="superscript"/>
        </w:rPr>
      </w:pPr>
    </w:p>
    <w:p>
      <w:pPr>
        <w:spacing w:after="0" w:line="191" w:lineRule="auto"/>
        <w:rPr>
          <w:rFonts w:ascii="Arial" w:cs="Arial" w:eastAsia="Arial" w:hAnsi="Arial"/>
          <w:sz w:val="26"/>
          <w:szCs w:val="26"/>
          <w:color w:val="auto"/>
          <w:vertAlign w:val="superscript"/>
        </w:rPr>
      </w:pPr>
      <w:r>
        <w:rPr>
          <w:rFonts w:ascii="Arial" w:cs="Arial" w:eastAsia="Arial" w:hAnsi="Arial"/>
          <w:sz w:val="28"/>
          <w:szCs w:val="28"/>
          <w:color w:val="auto"/>
          <w:vertAlign w:val="superscript"/>
        </w:rPr>
        <w:t>3</w:t>
      </w:r>
      <w:r>
        <w:rPr>
          <w:rFonts w:ascii="Arial" w:cs="Arial" w:eastAsia="Arial" w:hAnsi="Arial"/>
          <w:sz w:val="17"/>
          <w:szCs w:val="17"/>
          <w:color w:val="auto"/>
        </w:rPr>
        <w:t xml:space="preserve"> Incorporated by reference to the Form 8-K, filed by the Company with the Securities and Exchange Commission on July 30, 2010.</w:t>
      </w:r>
    </w:p>
    <w:p>
      <w:pPr>
        <w:spacing w:after="0" w:line="20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4</w:t>
      </w:r>
      <w:r>
        <w:rPr>
          <w:rFonts w:ascii="Arial" w:cs="Arial" w:eastAsia="Arial" w:hAnsi="Arial"/>
          <w:sz w:val="16"/>
          <w:szCs w:val="16"/>
          <w:color w:val="auto"/>
        </w:rPr>
        <w:t xml:space="preserve"> Incorporated by reference to the Form 8-K, filed by the Company with the Securities and Exchange Commission on January 18, 2013.</w:t>
      </w:r>
    </w:p>
    <w:p>
      <w:pPr>
        <w:spacing w:after="0" w:line="1" w:lineRule="exact"/>
        <w:rPr>
          <w:rFonts w:ascii="Arial" w:cs="Arial" w:eastAsia="Arial" w:hAnsi="Arial"/>
          <w:sz w:val="26"/>
          <w:szCs w:val="26"/>
          <w:color w:val="auto"/>
          <w:vertAlign w:val="superscript"/>
        </w:rPr>
      </w:pPr>
    </w:p>
    <w:p>
      <w:pPr>
        <w:spacing w:after="0" w:line="20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5</w:t>
      </w:r>
      <w:r>
        <w:rPr>
          <w:rFonts w:ascii="Arial" w:cs="Arial" w:eastAsia="Arial" w:hAnsi="Arial"/>
          <w:sz w:val="16"/>
          <w:szCs w:val="16"/>
          <w:color w:val="auto"/>
        </w:rPr>
        <w:t xml:space="preserve"> Incorporated by reference to the Form 8-K, filed by the Company with the Securities and Exchange Commission on January 11, 2013.</w:t>
      </w:r>
    </w:p>
    <w:p>
      <w:pPr>
        <w:spacing w:after="0" w:line="1" w:lineRule="exact"/>
        <w:rPr>
          <w:rFonts w:ascii="Arial" w:cs="Arial" w:eastAsia="Arial" w:hAnsi="Arial"/>
          <w:sz w:val="26"/>
          <w:szCs w:val="26"/>
          <w:color w:val="auto"/>
          <w:vertAlign w:val="superscript"/>
        </w:rPr>
      </w:pPr>
    </w:p>
    <w:p>
      <w:pPr>
        <w:spacing w:after="0" w:line="20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6</w:t>
      </w:r>
      <w:r>
        <w:rPr>
          <w:rFonts w:ascii="Arial" w:cs="Arial" w:eastAsia="Arial" w:hAnsi="Arial"/>
          <w:sz w:val="16"/>
          <w:szCs w:val="16"/>
          <w:color w:val="auto"/>
        </w:rPr>
        <w:t xml:space="preserve"> Incorporated by reference to the Form 8-K, filed by the Company with the Securities and Exchange Commission on August 15, 2013.</w:t>
      </w:r>
    </w:p>
    <w:p>
      <w:pPr>
        <w:spacing w:after="0" w:line="1" w:lineRule="exact"/>
        <w:rPr>
          <w:rFonts w:ascii="Arial" w:cs="Arial" w:eastAsia="Arial" w:hAnsi="Arial"/>
          <w:sz w:val="26"/>
          <w:szCs w:val="26"/>
          <w:color w:val="auto"/>
          <w:vertAlign w:val="superscript"/>
        </w:rPr>
      </w:pPr>
    </w:p>
    <w:p>
      <w:pPr>
        <w:ind w:right="1400"/>
        <w:spacing w:after="0" w:line="25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7</w:t>
      </w:r>
      <w:r>
        <w:rPr>
          <w:rFonts w:ascii="Arial" w:cs="Arial" w:eastAsia="Arial" w:hAnsi="Arial"/>
          <w:sz w:val="16"/>
          <w:szCs w:val="16"/>
          <w:color w:val="auto"/>
        </w:rPr>
        <w:t xml:space="preserve"> Incorporated by reference to the Form 8-K, filed by the Company with the Securities and Exchange Commission on September 20, 2013. </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Incorporated by reference to the Form 8-K, filed by the Company with the Securities and Exchange Commission on January 2, 2014.</w:t>
      </w:r>
    </w:p>
    <w:p>
      <w:pPr>
        <w:ind w:right="1660"/>
        <w:spacing w:after="0" w:line="274"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9</w:t>
      </w:r>
      <w:r>
        <w:rPr>
          <w:rFonts w:ascii="Arial" w:cs="Arial" w:eastAsia="Arial" w:hAnsi="Arial"/>
          <w:sz w:val="16"/>
          <w:szCs w:val="16"/>
          <w:color w:val="auto"/>
        </w:rPr>
        <w:t xml:space="preserve"> Incorporated by reference to the Form 8-K, filed by the Company with the Securities and Exchange Commission on March 18, 2014. </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Incorporated by reference to the Form 8-K, filed by the Company with the Securities and Exchange Commission on May 14, 2014. </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Incorporated by reference to the Form S-1/A filed by the Company with the Securities and Exchange Commission on May 12, 2014.</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**Provided herewith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072"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David Harrell</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September 16, 2015</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 Principal Financial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Principal Accounting Officer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September 16, 2015</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David Harrell</w:t>
      </w:r>
    </w:p>
    <w:p>
      <w:pPr>
        <w:spacing w:after="0" w:line="23" w:lineRule="exact"/>
        <w:rPr>
          <w:sz w:val="20"/>
          <w:szCs w:val="20"/>
          <w:color w:val="auto"/>
        </w:rPr>
      </w:pPr>
    </w:p>
    <w:p>
      <w:pPr>
        <w:jc w:val="center"/>
        <w:ind w:right="7040"/>
        <w:spacing w:after="0"/>
        <w:tabs>
          <w:tab w:leader="none" w:pos="160" w:val="left"/>
        </w:tabs>
        <w:rPr>
          <w:sz w:val="20"/>
          <w:szCs w:val="20"/>
          <w:color w:val="auto"/>
        </w:rPr>
      </w:pPr>
      <w:r>
        <w:rPr>
          <w:rFonts w:ascii="Arial" w:cs="Arial" w:eastAsia="Arial" w:hAnsi="Arial"/>
          <w:sz w:val="18"/>
          <w:szCs w:val="18"/>
          <w:color w:val="auto"/>
        </w:rPr>
        <w:t>Title:</w:t>
        <w:tab/>
        <w:t>Chief Executive Officer, Principal Executive Officer</w:t>
      </w:r>
    </w:p>
    <w:p>
      <w:pPr>
        <w:spacing w:after="0" w:line="9" w:lineRule="exact"/>
        <w:rPr>
          <w:sz w:val="20"/>
          <w:szCs w:val="20"/>
          <w:color w:val="auto"/>
        </w:rPr>
      </w:pPr>
    </w:p>
    <w:p>
      <w:pPr>
        <w:jc w:val="center"/>
        <w:ind w:right="934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jc w:val="center"/>
        <w:ind w:right="9380"/>
        <w:spacing w:after="0"/>
        <w:tabs>
          <w:tab w:leader="none" w:pos="160" w:val="left"/>
        </w:tabs>
        <w:rPr>
          <w:sz w:val="20"/>
          <w:szCs w:val="20"/>
          <w:color w:val="auto"/>
        </w:rPr>
      </w:pPr>
      <w:r>
        <w:rPr>
          <w:rFonts w:ascii="Arial" w:cs="Arial" w:eastAsia="Arial" w:hAnsi="Arial"/>
          <w:sz w:val="18"/>
          <w:szCs w:val="18"/>
          <w:color w:val="auto"/>
        </w:rPr>
        <w:t>Date:</w:t>
        <w:tab/>
        <w:t>September 16, 2015</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David Lester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 Channel Management and 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September 16, 2015</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Terence J.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Terence J. Hamilton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 Sales and 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September 16, 2015</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Gus D. Halas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Gus D. Halas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September 16, 2015</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Jack Pinney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Jack Pinney</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September 16, 2015</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Harrell, certify that;</w:t>
      </w:r>
    </w:p>
    <w:p>
      <w:pPr>
        <w:spacing w:after="0" w:line="225" w:lineRule="exact"/>
        <w:rPr>
          <w:sz w:val="20"/>
          <w:szCs w:val="20"/>
          <w:color w:val="auto"/>
        </w:rPr>
      </w:pPr>
    </w:p>
    <w:p>
      <w:pPr>
        <w:ind w:left="560" w:hanging="552"/>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10-K/A for the year ended December 31, 2014 of OptimizeRx Corp (the “registrant”);</w:t>
      </w:r>
    </w:p>
    <w:p>
      <w:pPr>
        <w:spacing w:after="0" w:line="225" w:lineRule="exact"/>
        <w:rPr>
          <w:rFonts w:ascii="Arial" w:cs="Arial" w:eastAsia="Arial" w:hAnsi="Arial"/>
          <w:sz w:val="18"/>
          <w:szCs w:val="18"/>
          <w:color w:val="auto"/>
        </w:rPr>
      </w:pPr>
    </w:p>
    <w:p>
      <w:pPr>
        <w:jc w:val="both"/>
        <w:ind w:left="560" w:hanging="552"/>
        <w:spacing w:after="0" w:line="264"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60" w:hanging="552"/>
        <w:spacing w:after="0" w:line="264"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565"/>
        <w:spacing w:after="0" w:line="308" w:lineRule="auto"/>
        <w:tabs>
          <w:tab w:leader="none" w:pos="11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565"/>
        <w:spacing w:after="0" w:line="264"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60" w:hanging="552"/>
        <w:spacing w:after="0" w:line="308" w:lineRule="auto"/>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hanging="565"/>
        <w:spacing w:after="0" w:line="308" w:lineRule="auto"/>
        <w:tabs>
          <w:tab w:leader="none" w:pos="11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565"/>
        <w:spacing w:after="0" w:line="277"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 Principal Executive Officer and Director</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 Baker, certify that;</w:t>
      </w:r>
    </w:p>
    <w:p>
      <w:pPr>
        <w:spacing w:after="0" w:line="225" w:lineRule="exact"/>
        <w:rPr>
          <w:sz w:val="20"/>
          <w:szCs w:val="20"/>
          <w:color w:val="auto"/>
        </w:rPr>
      </w:pPr>
    </w:p>
    <w:p>
      <w:pPr>
        <w:ind w:left="560" w:hanging="552"/>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10-K/A for the year ended December 31, 2014 of OptimizeRx Corp (the “registrant”);</w:t>
      </w:r>
    </w:p>
    <w:p>
      <w:pPr>
        <w:spacing w:after="0" w:line="225" w:lineRule="exact"/>
        <w:rPr>
          <w:rFonts w:ascii="Arial" w:cs="Arial" w:eastAsia="Arial" w:hAnsi="Arial"/>
          <w:sz w:val="18"/>
          <w:szCs w:val="18"/>
          <w:color w:val="auto"/>
        </w:rPr>
      </w:pPr>
    </w:p>
    <w:p>
      <w:pPr>
        <w:jc w:val="both"/>
        <w:ind w:left="560" w:hanging="552"/>
        <w:spacing w:after="0" w:line="264"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60" w:hanging="552"/>
        <w:spacing w:after="0" w:line="264"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565"/>
        <w:spacing w:after="0" w:line="308" w:lineRule="auto"/>
        <w:tabs>
          <w:tab w:leader="none" w:pos="11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565"/>
        <w:spacing w:after="0" w:line="264"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60" w:hanging="552"/>
        <w:spacing w:after="0" w:line="308" w:lineRule="auto"/>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hanging="565"/>
        <w:spacing w:after="0" w:line="308" w:lineRule="auto"/>
        <w:tabs>
          <w:tab w:leader="none" w:pos="11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565"/>
        <w:spacing w:after="0" w:line="277"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Principal Financial Officer and Principal Accounting Officer</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OptimizeRx Corp (the “Company”) on Form 10-K/A for the year ended December 31, 2014 filed with the Securities and Exchange Commission (the “Report”), I, David Harrell, Chief Executive Officer of the Company, and I, Doug Baker, certify, pursuant to 18 U.S.C. Section 1350, as adopted pursuant to Section 906 of the Sarbanes-Oxley Act of 2002, that:</w:t>
      </w:r>
    </w:p>
    <w:p>
      <w:pPr>
        <w:spacing w:after="0" w:line="181"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Harrell</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David Lester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w w:val="98"/>
              </w:rPr>
              <w:t>Chief Executive Officer, Principal Executive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September 16, 2015</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Baker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Doug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and Principal Accounting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September 16, 2015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lowerRoman"/>
      <w:start w:val="2"/>
    </w:lvl>
  </w:abstractNum>
  <w:abstractNum w:abstractNumId="14">
    <w:nsid w:val="628C895D"/>
    <w:multiLevelType w:val="hybridMultilevel"/>
    <w:lvl w:ilvl="0">
      <w:lvlJc w:val="left"/>
      <w:lvlText w:val="%1."/>
      <w:numFmt w:val="decimal"/>
      <w:start w:val="4"/>
    </w:lvl>
  </w:abstractNum>
  <w:abstractNum w:abstractNumId="15">
    <w:nsid w:val="333AB105"/>
    <w:multiLevelType w:val="hybridMultilevel"/>
    <w:lvl w:ilvl="0">
      <w:lvlJc w:val="left"/>
      <w:lvlText w:val="%1."/>
      <w:numFmt w:val="lowerRoman"/>
      <w:start w:val="2"/>
    </w:lvl>
  </w:abstractNum>
  <w:abstractNum w:abstractNumId="16">
    <w:nsid w:val="721DA317"/>
    <w:multiLevelType w:val="hybridMultilevel"/>
    <w:lvl w:ilvl="0">
      <w:lvlJc w:val="left"/>
      <w:lvlText w:val="%1."/>
      <w:numFmt w:val="decimal"/>
      <w:start w:val="8"/>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2019-12-29T15:32:19Z</dcterms:created>
  <dcterms:modified xsi:type="dcterms:W3CDTF">2019-12-29T15:32:19Z</dcterms:modified>
</cp:coreProperties>
</file>