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November 13,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Nevada</w:t>
            </w:r>
          </w:p>
        </w:tc>
        <w:tc>
          <w:tcPr>
            <w:tcW w:w="3700" w:type="dxa"/>
            <w:vAlign w:val="bottom"/>
            <w:gridSpan w:val="4"/>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4"/>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tcBorders>
              <w:left w:val="single" w:sz="8" w:color="auto"/>
            </w:tcBorders>
          </w:tcPr>
          <w:p>
            <w:pPr>
              <w:spacing w:after="0" w:line="20" w:lineRule="exact"/>
              <w:rPr>
                <w:sz w:val="1"/>
                <w:szCs w:val="1"/>
                <w:color w:val="auto"/>
              </w:rPr>
            </w:pPr>
          </w:p>
        </w:tc>
      </w:tr>
      <w:tr>
        <w:trPr>
          <w:trHeight w:val="222"/>
        </w:trPr>
        <w:tc>
          <w:tcPr>
            <w:tcW w:w="2860" w:type="dxa"/>
            <w:vAlign w:val="bottom"/>
            <w:gridSpan w:val="4"/>
          </w:tcPr>
          <w:p>
            <w:pPr>
              <w:jc w:val="center"/>
              <w:ind w:right="870"/>
              <w:spacing w:after="0"/>
              <w:rPr>
                <w:sz w:val="20"/>
                <w:szCs w:val="20"/>
                <w:color w:val="auto"/>
              </w:rPr>
            </w:pPr>
            <w:r>
              <w:rPr>
                <w:rFonts w:ascii="Arial" w:cs="Arial" w:eastAsia="Arial" w:hAnsi="Arial"/>
                <w:sz w:val="18"/>
                <w:szCs w:val="18"/>
                <w:color w:val="auto"/>
                <w:w w:val="92"/>
              </w:rPr>
              <w:t>(State or other jurisdiction</w:t>
            </w:r>
          </w:p>
        </w:tc>
        <w:tc>
          <w:tcPr>
            <w:tcW w:w="3700" w:type="dxa"/>
            <w:vAlign w:val="bottom"/>
            <w:gridSpan w:val="4"/>
          </w:tcPr>
          <w:p>
            <w:pPr>
              <w:jc w:val="center"/>
              <w:ind w:left="9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4"/>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2860" w:type="dxa"/>
            <w:vAlign w:val="bottom"/>
            <w:gridSpan w:val="4"/>
          </w:tcPr>
          <w:p>
            <w:pPr>
              <w:jc w:val="center"/>
              <w:ind w:right="830"/>
              <w:spacing w:after="0"/>
              <w:rPr>
                <w:sz w:val="20"/>
                <w:szCs w:val="20"/>
                <w:color w:val="auto"/>
              </w:rPr>
            </w:pPr>
            <w:r>
              <w:rPr>
                <w:rFonts w:ascii="Arial" w:cs="Arial" w:eastAsia="Arial" w:hAnsi="Arial"/>
                <w:sz w:val="18"/>
                <w:szCs w:val="18"/>
                <w:color w:val="auto"/>
                <w:w w:val="93"/>
              </w:rPr>
              <w:t>of incorporation)</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608"/>
        </w:trPr>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6"/>
          </w:tcPr>
          <w:p>
            <w:pPr>
              <w:jc w:val="center"/>
              <w:ind w:right="1620"/>
              <w:spacing w:after="0"/>
              <w:rPr>
                <w:sz w:val="20"/>
                <w:szCs w:val="20"/>
                <w:color w:val="auto"/>
              </w:rPr>
            </w:pPr>
            <w:r>
              <w:rPr>
                <w:rFonts w:ascii="Arial" w:cs="Arial" w:eastAsia="Arial" w:hAnsi="Arial"/>
                <w:sz w:val="18"/>
                <w:szCs w:val="18"/>
                <w:color w:val="auto"/>
                <w:w w:val="90"/>
              </w:rPr>
              <w:t>400 Water Street, Suite 200, Rochester, MI</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48307</w:t>
            </w:r>
          </w:p>
        </w:tc>
        <w:tc>
          <w:tcPr>
            <w:tcW w:w="90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92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3"/>
          </w:tcPr>
          <w:p>
            <w:pPr>
              <w:jc w:val="center"/>
              <w:ind w:right="52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11"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November 13, 2014, we issued a press release announcing the results of operations for the three and nine months ended September 30, 2014.</w:t>
      </w:r>
    </w:p>
    <w:p>
      <w:pPr>
        <w:spacing w:after="0" w:line="2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300" w:type="dxa"/>
            <w:vAlign w:val="bottom"/>
          </w:tcPr>
          <w:p>
            <w:pPr>
              <w:ind w:left="2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19"/>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300" w:type="dxa"/>
            <w:vAlign w:val="bottom"/>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Press release, dated November 13, 2014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November 13,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Baker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 Announces Third Quarter 2014 Financial Results</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ROCHESTER, MI –November 13, 2014 – </w:t>
      </w:r>
      <w:r>
        <w:rPr>
          <w:rFonts w:ascii="Arial" w:cs="Arial" w:eastAsia="Arial" w:hAnsi="Arial"/>
          <w:sz w:val="18"/>
          <w:szCs w:val="18"/>
          <w:color w:val="auto"/>
        </w:rPr>
        <w:t>OPTIMIZERx Corp. (OTCQB: OPRX) announced today its financial results for the quarter and nine 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ended September 30, 2014.</w:t>
      </w:r>
    </w:p>
    <w:p>
      <w:pPr>
        <w:spacing w:after="0" w:line="9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reported total revenues of approximately $4.4 million for the nine month period, an increase of 40% over the same period in 2013, and $1.6 million in revenues for the 3rd Quarter, an increase of 18% over the same quarter last year.</w:t>
      </w:r>
    </w:p>
    <w:p>
      <w:pPr>
        <w:spacing w:after="0" w:line="93" w:lineRule="exact"/>
        <w:rPr>
          <w:sz w:val="20"/>
          <w:szCs w:val="20"/>
          <w:color w:val="auto"/>
        </w:rPr>
      </w:pPr>
    </w:p>
    <w:p>
      <w:pPr>
        <w:ind w:right="60"/>
        <w:spacing w:after="0" w:line="210" w:lineRule="auto"/>
        <w:rPr>
          <w:sz w:val="20"/>
          <w:szCs w:val="20"/>
          <w:color w:val="auto"/>
        </w:rPr>
      </w:pPr>
      <w:r>
        <w:rPr>
          <w:rFonts w:ascii="Arial" w:cs="Arial" w:eastAsia="Arial" w:hAnsi="Arial"/>
          <w:sz w:val="18"/>
          <w:szCs w:val="18"/>
          <w:color w:val="auto"/>
        </w:rPr>
        <w:t>Excluding noncash expenses, the company also generated approximately $136,000 of operating income within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2014. Full financial results can be found in the Company’s quarterly filing on Form 10Q at www.sec.gov.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Highlights include:</w:t>
      </w:r>
    </w:p>
    <w:p>
      <w:pPr>
        <w:spacing w:after="0" w:line="314" w:lineRule="exact"/>
        <w:rPr>
          <w:sz w:val="20"/>
          <w:szCs w:val="20"/>
          <w:color w:val="auto"/>
        </w:rPr>
      </w:pPr>
    </w:p>
    <w:p>
      <w:pPr>
        <w:ind w:left="660" w:right="220" w:hanging="328"/>
        <w:spacing w:after="0" w:line="225"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New Rxs generated with e-coupons from OptimizeRx’s SampleMD platform during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increased approximately 15% over those in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quarter</w:t>
      </w:r>
    </w:p>
    <w:p>
      <w:pPr>
        <w:spacing w:after="0" w:line="51" w:lineRule="exact"/>
        <w:rPr>
          <w:rFonts w:ascii="Arial" w:cs="Arial" w:eastAsia="Arial" w:hAnsi="Arial"/>
          <w:sz w:val="22"/>
          <w:szCs w:val="22"/>
          <w:color w:val="auto"/>
        </w:rPr>
      </w:pPr>
    </w:p>
    <w:p>
      <w:pPr>
        <w:ind w:left="660" w:right="120" w:hanging="328"/>
        <w:spacing w:after="0" w:line="232"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We continue to acquire new pharmaceutical manufacturers and brands promoting through our platforms including from Pfizer, AstraZenica, Bausch &amp; Lomb, Auxilium, Activis, and Shire.</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1"/>
          <w:szCs w:val="21"/>
          <w:color w:val="auto"/>
        </w:rPr>
      </w:pPr>
      <w:r>
        <w:rPr>
          <w:rFonts w:ascii="Arial" w:cs="Arial" w:eastAsia="Arial" w:hAnsi="Arial"/>
          <w:sz w:val="17"/>
          <w:szCs w:val="17"/>
          <w:color w:val="auto"/>
        </w:rPr>
        <w:t>We continue to make progress in advancing negotiations with leading veterinary technology platforms and expect a beta launch in Q1 2015.</w:t>
      </w:r>
    </w:p>
    <w:p>
      <w:pPr>
        <w:spacing w:after="0" w:line="201" w:lineRule="exact"/>
        <w:rPr>
          <w:rFonts w:ascii="Arial" w:cs="Arial" w:eastAsia="Arial" w:hAnsi="Arial"/>
          <w:sz w:val="21"/>
          <w:szCs w:val="21"/>
          <w:color w:val="auto"/>
        </w:rPr>
      </w:pPr>
    </w:p>
    <w:p>
      <w:pPr>
        <w:ind w:left="660" w:right="40" w:hanging="328"/>
        <w:spacing w:after="0" w:line="232"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External technology issues involving our largest electronic platform that have adversely affected distributions through the first three quarters of 2014 have been resolved.</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Management remains very excited about our core Rx e-coupon business, and expects acceleration to continue with the most recent launch of Quest Diagnostics, Allscripts PRO being auto turned on throughout its entire network in early 2015, the scheduled launch of other key EMR platforms in the first six months of 2015, and our joint pursuit of leading health systems with our pharmaceutical partners. We expect our active network to nearly double by the middle of 2015.</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"Despite some technology issues outside of our control, we were pleased our core e-coupon business continued to grow quarter after quarter in 2014” said David Harrell, Chairman and CEO of OPTIMIZERx Corporation. “We expect revenue acceleration to continue and to further ramp up during the first half of 2015 as we launch new brands and new channels.”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Company will be hosting a conference call to discuss its full financial results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2014 Financial Results Conference Call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11:30 am Eastern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Participant Dial-In: 1(866) 593-0056 or 1(937) 641-0554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32421148</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It is recommended that participants dial in approximately 10 minutes prior to the start of the call. There will also be an archived recording of the conference call available under the Investor Relations section of the company website at http://www.optimizerxcorp.com/investors/.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OptimizeRx Corp. (OTCQB: OPRX) provides unique consumer and physician platforms to help patients better afford and comply with their medicines and healthcare products, while offering pharmaceutical and healthcare companies more effective ways to expand patient awareness, access and adherence to their medications. For more information, please go to www.optimizerxcorp.com or www.samplemd.com.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ind w:left="500" w:right="9140" w:hanging="6"/>
        <w:spacing w:after="0" w:line="323" w:lineRule="auto"/>
        <w:tabs>
          <w:tab w:leader="none" w:pos="935" w:val="left"/>
        </w:tabs>
        <w:numPr>
          <w:ilvl w:val="0"/>
          <w:numId w:val="3"/>
        </w:numPr>
        <w:rPr>
          <w:rFonts w:ascii="Arial" w:cs="Arial" w:eastAsia="Arial" w:hAnsi="Arial"/>
          <w:sz w:val="16"/>
          <w:szCs w:val="16"/>
          <w:color w:val="auto"/>
        </w:rPr>
      </w:pPr>
      <w:r>
        <w:rPr>
          <w:rFonts w:ascii="Arial" w:cs="Arial" w:eastAsia="Arial" w:hAnsi="Arial"/>
          <w:sz w:val="16"/>
          <w:szCs w:val="16"/>
          <w:color w:val="auto"/>
        </w:rPr>
        <w:t>651-6568 x807 dbaker@samplemd.com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380"/>
      </w:cols>
      <w:pgMar w:left="240" w:top="87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24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2019-12-07T19:48:56Z</dcterms:created>
  <dcterms:modified xsi:type="dcterms:W3CDTF">2019-12-07T19:48:56Z</dcterms:modified>
</cp:coreProperties>
</file>