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 /A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No. 1</w:t>
      </w:r>
    </w:p>
    <w:p>
      <w:pPr>
        <w:spacing w:after="0" w:line="3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tbl>
      <w:tblPr>
        <w:tblLayout w:type="fixed"/>
        <w:tblInd w:w="32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40" w:type="dxa"/>
            <w:vAlign w:val="bottom"/>
            <w:gridSpan w:val="6"/>
          </w:tcPr>
          <w:p>
            <w:pPr>
              <w:jc w:val="center"/>
              <w:ind w:left="890"/>
              <w:spacing w:after="0"/>
              <w:rPr>
                <w:sz w:val="20"/>
                <w:szCs w:val="20"/>
                <w:color w:val="auto"/>
              </w:rPr>
            </w:pPr>
            <w:r>
              <w:rPr>
                <w:rFonts w:ascii="Arial" w:cs="Arial" w:eastAsia="Arial" w:hAnsi="Arial"/>
                <w:sz w:val="18"/>
                <w:szCs w:val="18"/>
                <w:color w:val="auto"/>
                <w:w w:val="91"/>
              </w:rPr>
              <w:t>Date of Report (Date of earliest event reported): March 17, 2014</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92"/>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8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(Exact name of registrant as specified in its charter)</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92"/>
        </w:trPr>
        <w:tc>
          <w:tcPr>
            <w:tcW w:w="1300" w:type="dxa"/>
            <w:vAlign w:val="bottom"/>
          </w:tcPr>
          <w:p>
            <w:pPr>
              <w:spacing w:after="0"/>
              <w:rPr>
                <w:sz w:val="24"/>
                <w:szCs w:val="24"/>
                <w:color w:val="auto"/>
              </w:rPr>
            </w:pPr>
          </w:p>
        </w:tc>
        <w:tc>
          <w:tcPr>
            <w:tcW w:w="2040" w:type="dxa"/>
            <w:vAlign w:val="bottom"/>
            <w:gridSpan w:val="3"/>
          </w:tcPr>
          <w:p>
            <w:pPr>
              <w:jc w:val="center"/>
              <w:ind w:right="1410"/>
              <w:spacing w:after="0"/>
              <w:rPr>
                <w:sz w:val="20"/>
                <w:szCs w:val="20"/>
                <w:color w:val="auto"/>
              </w:rPr>
            </w:pPr>
            <w:r>
              <w:rPr>
                <w:rFonts w:ascii="Arial" w:cs="Arial" w:eastAsia="Arial" w:hAnsi="Arial"/>
                <w:sz w:val="18"/>
                <w:szCs w:val="18"/>
                <w:color w:val="auto"/>
                <w:w w:val="86"/>
              </w:rPr>
              <w:t>Nevada</w:t>
            </w:r>
          </w:p>
        </w:tc>
        <w:tc>
          <w:tcPr>
            <w:tcW w:w="2960" w:type="dxa"/>
            <w:vAlign w:val="bottom"/>
            <w:gridSpan w:val="4"/>
          </w:tcPr>
          <w:p>
            <w:pPr>
              <w:jc w:val="center"/>
              <w:ind w:left="1090"/>
              <w:spacing w:after="0"/>
              <w:rPr>
                <w:sz w:val="20"/>
                <w:szCs w:val="20"/>
                <w:color w:val="auto"/>
              </w:rPr>
            </w:pPr>
            <w:r>
              <w:rPr>
                <w:rFonts w:ascii="Arial" w:cs="Arial" w:eastAsia="Arial" w:hAnsi="Arial"/>
                <w:sz w:val="18"/>
                <w:szCs w:val="18"/>
                <w:color w:val="auto"/>
                <w:w w:val="90"/>
              </w:rPr>
              <w:t>000-53605</w:t>
            </w:r>
          </w:p>
        </w:tc>
        <w:tc>
          <w:tcPr>
            <w:tcW w:w="1520" w:type="dxa"/>
            <w:vAlign w:val="bottom"/>
          </w:tcPr>
          <w:p>
            <w:pPr>
              <w:spacing w:after="0"/>
              <w:rPr>
                <w:sz w:val="24"/>
                <w:szCs w:val="24"/>
                <w:color w:val="auto"/>
              </w:rPr>
            </w:pPr>
          </w:p>
        </w:tc>
        <w:tc>
          <w:tcPr>
            <w:tcW w:w="270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Borders>
              <w:right w:val="single" w:sz="8" w:color="auto"/>
            </w:tcBorders>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340" w:type="dxa"/>
            <w:vAlign w:val="bottom"/>
            <w:gridSpan w:val="4"/>
          </w:tcPr>
          <w:p>
            <w:pPr>
              <w:jc w:val="center"/>
              <w:ind w:right="90"/>
              <w:spacing w:after="0"/>
              <w:rPr>
                <w:sz w:val="20"/>
                <w:szCs w:val="20"/>
                <w:color w:val="auto"/>
              </w:rPr>
            </w:pPr>
            <w:r>
              <w:rPr>
                <w:rFonts w:ascii="Arial" w:cs="Arial" w:eastAsia="Arial" w:hAnsi="Arial"/>
                <w:sz w:val="18"/>
                <w:szCs w:val="18"/>
                <w:color w:val="auto"/>
                <w:w w:val="92"/>
              </w:rPr>
              <w:t>(State or other jurisdiction of incorporation)</w:t>
            </w:r>
          </w:p>
        </w:tc>
        <w:tc>
          <w:tcPr>
            <w:tcW w:w="4480" w:type="dxa"/>
            <w:vAlign w:val="bottom"/>
            <w:gridSpan w:val="5"/>
          </w:tcPr>
          <w:p>
            <w:pPr>
              <w:jc w:val="center"/>
              <w:ind w:right="360"/>
              <w:spacing w:after="0"/>
              <w:rPr>
                <w:sz w:val="20"/>
                <w:szCs w:val="20"/>
                <w:color w:val="auto"/>
              </w:rPr>
            </w:pPr>
            <w:r>
              <w:rPr>
                <w:rFonts w:ascii="Arial" w:cs="Arial" w:eastAsia="Arial" w:hAnsi="Arial"/>
                <w:sz w:val="18"/>
                <w:szCs w:val="18"/>
                <w:color w:val="auto"/>
                <w:w w:val="93"/>
              </w:rPr>
              <w:t>(Commission File Number)</w:t>
            </w:r>
          </w:p>
        </w:tc>
        <w:tc>
          <w:tcPr>
            <w:tcW w:w="2700" w:type="dxa"/>
            <w:vAlign w:val="bottom"/>
            <w:gridSpan w:val="5"/>
          </w:tcPr>
          <w:p>
            <w:pPr>
              <w:jc w:val="center"/>
              <w:ind w:left="1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980" w:type="dxa"/>
            <w:vAlign w:val="bottom"/>
            <w:gridSpan w:val="7"/>
          </w:tcPr>
          <w:p>
            <w:pPr>
              <w:jc w:val="center"/>
              <w:ind w:right="2620"/>
              <w:spacing w:after="0"/>
              <w:rPr>
                <w:sz w:val="20"/>
                <w:szCs w:val="20"/>
                <w:color w:val="auto"/>
              </w:rPr>
            </w:pPr>
            <w:r>
              <w:rPr>
                <w:rFonts w:ascii="Arial" w:cs="Arial" w:eastAsia="Arial" w:hAnsi="Arial"/>
                <w:sz w:val="18"/>
                <w:szCs w:val="18"/>
                <w:color w:val="auto"/>
                <w:w w:val="89"/>
              </w:rPr>
              <w:t>400 Water Street, Suite 200, Rochester, MI</w:t>
            </w:r>
          </w:p>
        </w:tc>
        <w:tc>
          <w:tcPr>
            <w:tcW w:w="184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Borders>
              <w:right w:val="single" w:sz="8" w:color="auto"/>
            </w:tcBorders>
            <w:gridSpan w:val="3"/>
            <w:shd w:val="clear" w:color="auto" w:fill="000000"/>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760" w:type="dxa"/>
            <w:vAlign w:val="bottom"/>
            <w:gridSpan w:val="3"/>
          </w:tcPr>
          <w:p>
            <w:pPr>
              <w:spacing w:after="0"/>
              <w:rPr>
                <w:sz w:val="20"/>
                <w:szCs w:val="20"/>
                <w:color w:val="auto"/>
              </w:rPr>
            </w:pPr>
          </w:p>
        </w:tc>
        <w:tc>
          <w:tcPr>
            <w:tcW w:w="96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3"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4"/>
          <w:szCs w:val="24"/>
          <w:color w:val="auto"/>
        </w:rPr>
      </w:pPr>
    </w:p>
    <w:p>
      <w:pPr>
        <w:ind w:right="380"/>
        <w:spacing w:after="0" w:line="342" w:lineRule="auto"/>
        <w:rPr>
          <w:sz w:val="20"/>
          <w:szCs w:val="20"/>
          <w:color w:val="auto"/>
        </w:rPr>
      </w:pPr>
      <w:r>
        <w:rPr>
          <w:rFonts w:ascii="Arial" w:cs="Arial" w:eastAsia="Arial" w:hAnsi="Arial"/>
          <w:sz w:val="16"/>
          <w:szCs w:val="16"/>
          <w:color w:val="auto"/>
        </w:rPr>
        <w:t>On March 18, 2014, the Company filed a Current Report on Form 8-K that erroneously included an Investor Agreement between the Company and an investor in the Offering. This amended 8-K is being filed to remove the description of the Investor Agreement along with the Exhibit that was attached.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17, 2014, the Company entered into a securities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with the purchasers identified on the signature pages thereto (the “</w:t>
      </w:r>
      <w:r>
        <w:rPr>
          <w:rFonts w:ascii="Arial" w:cs="Arial" w:eastAsia="Arial" w:hAnsi="Arial"/>
          <w:sz w:val="17"/>
          <w:szCs w:val="17"/>
          <w:u w:val="single" w:color="auto"/>
          <w:color w:val="auto"/>
        </w:rPr>
        <w:t>Investors</w:t>
      </w:r>
      <w:r>
        <w:rPr>
          <w:rFonts w:ascii="Arial" w:cs="Arial" w:eastAsia="Arial" w:hAnsi="Arial"/>
          <w:sz w:val="17"/>
          <w:szCs w:val="17"/>
          <w:color w:val="auto"/>
        </w:rPr>
        <w:t>”), pursuant to which the Company sold to the Investors an aggregate of 8,333,333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the Company’s common stock, par value $0.001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for $1.20 per Share, or gross proceeds of $10,000,000 (the “</w:t>
      </w:r>
      <w:r>
        <w:rPr>
          <w:rFonts w:ascii="Arial" w:cs="Arial" w:eastAsia="Arial" w:hAnsi="Arial"/>
          <w:sz w:val="17"/>
          <w:szCs w:val="17"/>
          <w:u w:val="single" w:color="auto"/>
          <w:color w:val="auto"/>
        </w:rPr>
        <w:t>Offering</w:t>
      </w:r>
      <w:r>
        <w:rPr>
          <w:rFonts w:ascii="Arial" w:cs="Arial" w:eastAsia="Arial" w:hAnsi="Arial"/>
          <w:sz w:val="17"/>
          <w:szCs w:val="17"/>
          <w:color w:val="auto"/>
        </w:rPr>
        <w: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the Company's common stock with an exercise price of $1.20 per share and a term of 5 years (the “ </w:t>
      </w:r>
      <w:r>
        <w:rPr>
          <w:rFonts w:ascii="Arial" w:cs="Arial" w:eastAsia="Arial" w:hAnsi="Arial"/>
          <w:sz w:val="18"/>
          <w:szCs w:val="18"/>
          <w:u w:val="single" w:color="auto"/>
          <w:color w:val="auto"/>
        </w:rPr>
        <w:t>Agent Warrants</w:t>
      </w:r>
      <w:r>
        <w:rPr>
          <w:rFonts w:ascii="Arial" w:cs="Arial" w:eastAsia="Arial" w:hAnsi="Arial"/>
          <w:sz w:val="18"/>
          <w:szCs w:val="18"/>
          <w:color w:val="auto"/>
        </w:rPr>
        <w:t>”). The Agent Warrants also provide for piggy-back registration rights.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used the net proceeds of the Offering to exercise the Securities Redemption Option Agreement, as amended, with Vicis Capital Master Fund (“</w:t>
      </w:r>
      <w:r>
        <w:rPr>
          <w:rFonts w:ascii="Arial" w:cs="Arial" w:eastAsia="Arial" w:hAnsi="Arial"/>
          <w:sz w:val="18"/>
          <w:szCs w:val="18"/>
          <w:u w:val="single" w:color="auto"/>
          <w:color w:val="auto"/>
        </w:rPr>
        <w:t>Vicis</w:t>
      </w:r>
      <w:r>
        <w:rPr>
          <w:rFonts w:ascii="Arial" w:cs="Arial" w:eastAsia="Arial" w:hAnsi="Arial"/>
          <w:sz w:val="18"/>
          <w:szCs w:val="18"/>
          <w:color w:val="auto"/>
        </w:rPr>
        <w:t>”) that provides the Company with an option to purchase all of the outstanding shares and derivative securities held by Vicis for total payment of six million dollars ($6,000,000). The shares and derivative securities include the Series A Convertible Preferred Stock, Series B Convertible Preferred Stock, Common Stock, and warrants to purchase shares of common stock held by Vicis in the Company. The balance of the net proceeds will be used for working capital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Purchase Agreement contains representations, covenants and other provisions customary for the agreements of this nature.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Offering, on March 17, 2014 the Company entered into a registration rights agreement with the Investors (the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pursuant to which the Company agreed to register for resale the Shares acquired by the Investors in the Offering (the “</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Pursuant to the Registration Rights Agreement, the Company agreed to use its reasonable best efforts to file a registration statement (the “</w:t>
      </w:r>
      <w:r>
        <w:rPr>
          <w:rFonts w:ascii="Arial" w:cs="Arial" w:eastAsia="Arial" w:hAnsi="Arial"/>
          <w:sz w:val="18"/>
          <w:szCs w:val="18"/>
          <w:u w:val="single" w:color="auto"/>
          <w:color w:val="auto"/>
        </w:rPr>
        <w:t>Registration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w:t>
      </w:r>
      <w:r>
        <w:rPr>
          <w:rFonts w:ascii="Arial" w:cs="Arial" w:eastAsia="Arial" w:hAnsi="Arial"/>
          <w:sz w:val="18"/>
          <w:szCs w:val="18"/>
          <w:color w:val="auto"/>
        </w:rPr>
        <w:t>”)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for the resale of the Registrable Securities within 30 days following the close of the Offering and to use its reasonable best efforts to cause the Registration Statement to be declared effective as soon as practicable after the filing thereof, but in any event no later than 90 days following the close of the Offering (or 120 days following the close of the Offering if the SEC determines to review the Registration Statement).</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event the Registration Statement, among other things, (i) has not been filed by 30 days following the close of the Offering, (ii) has not been declared effective by 90 days following the close of the Offering (or 120 days following the close of the Offering in the event the SEC determines to review the Registration Statement), or (iii) ceases to remain continuously effective as to all Registrable Securities for more than 10 consecutive days or 15 days during any 12-month period, then the Company has agreed to make payments to each Investor as liquidated damages in an amount equal to 1.0% of the aggregate amount invested by each such Investor per 30-day period, up to a maximum aggregate liquidated damages amount equal to 6% of the aggregate amount invested by each such Investor. In addition, the Company has agreed to keep the Registration Statement continuously effective until the earliest to occur of (i) the date on which all of the Registrable Securities registered thereunder have been sold and (ii) the date on which all of the Registrable Securities covered by the Registration Statement may be sold without restriction pursuant to Rule 144 under the Securities Act .</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Shares were offered and sold solely to accredited investors on a private placement basis under Section 4(a)(2) of the Securities Act of 1933, as amended, and Rule 506 promulgated thereunder.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descriptions of the Purchase Agreement and the Registration Rights Agreement are qualified in their entirety by reference to the full text of the Purchase Agreement and the Registration Rights Agreement, copies of which are filed as Exhibits 10.1 and 10.2 hereto, respectively, and incorporated by reference herein.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3 – SECURITIES AND TRADING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Items 1.01 is incorporated into this Item 8.01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relating to the Offering is attached as 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160" w:type="dxa"/>
            <w:vAlign w:val="bottom"/>
          </w:tcPr>
          <w:p>
            <w:pPr>
              <w:ind w:left="180"/>
              <w:spacing w:after="0"/>
              <w:rPr>
                <w:sz w:val="20"/>
                <w:szCs w:val="20"/>
                <w:color w:val="auto"/>
              </w:rPr>
            </w:pPr>
            <w:r>
              <w:rPr>
                <w:rFonts w:ascii="Arial" w:cs="Arial" w:eastAsia="Arial" w:hAnsi="Arial"/>
                <w:sz w:val="18"/>
                <w:szCs w:val="18"/>
                <w:b w:val="1"/>
                <w:bCs w:val="1"/>
                <w:color w:val="auto"/>
              </w:rPr>
              <w:t>Description</w:t>
            </w:r>
          </w:p>
        </w:tc>
      </w:tr>
      <w:tr>
        <w:trPr>
          <w:trHeight w:val="220"/>
        </w:trPr>
        <w:tc>
          <w:tcPr>
            <w:tcW w:w="740" w:type="dxa"/>
            <w:vAlign w:val="bottom"/>
          </w:tcPr>
          <w:p>
            <w:pPr>
              <w:spacing w:after="0"/>
              <w:rPr>
                <w:sz w:val="20"/>
                <w:szCs w:val="20"/>
                <w:color w:val="auto"/>
              </w:rPr>
            </w:pPr>
            <w:r>
              <w:rPr>
                <w:rFonts w:ascii="Arial" w:cs="Arial" w:eastAsia="Arial" w:hAnsi="Arial"/>
                <w:sz w:val="18"/>
                <w:szCs w:val="18"/>
                <w:b w:val="1"/>
                <w:bCs w:val="1"/>
                <w:color w:val="auto"/>
              </w:rPr>
              <w:t>No.</w:t>
            </w:r>
          </w:p>
        </w:tc>
        <w:tc>
          <w:tcPr>
            <w:tcW w:w="3160" w:type="dxa"/>
            <w:vAlign w:val="bottom"/>
          </w:tcPr>
          <w:p>
            <w:pPr>
              <w:spacing w:after="0"/>
              <w:rPr>
                <w:sz w:val="19"/>
                <w:szCs w:val="19"/>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w:t>
            </w:r>
          </w:p>
        </w:tc>
        <w:tc>
          <w:tcPr>
            <w:tcW w:w="3160" w:type="dxa"/>
            <w:vAlign w:val="bottom"/>
          </w:tcPr>
          <w:p>
            <w:pPr>
              <w:ind w:left="180"/>
              <w:spacing w:after="0"/>
              <w:rPr>
                <w:sz w:val="20"/>
                <w:szCs w:val="20"/>
                <w:color w:val="auto"/>
              </w:rPr>
            </w:pPr>
            <w:r>
              <w:rPr>
                <w:rFonts w:ascii="Arial" w:cs="Arial" w:eastAsia="Arial" w:hAnsi="Arial"/>
                <w:sz w:val="18"/>
                <w:szCs w:val="18"/>
                <w:color w:val="auto"/>
                <w:w w:val="90"/>
              </w:rPr>
              <w:t>Form of Securities Purchase Agreement*</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10.2</w:t>
            </w:r>
          </w:p>
        </w:tc>
        <w:tc>
          <w:tcPr>
            <w:tcW w:w="3160" w:type="dxa"/>
            <w:vAlign w:val="bottom"/>
          </w:tcPr>
          <w:p>
            <w:pPr>
              <w:ind w:left="180"/>
              <w:spacing w:after="0" w:line="216" w:lineRule="exact"/>
              <w:rPr>
                <w:sz w:val="20"/>
                <w:szCs w:val="20"/>
                <w:color w:val="auto"/>
              </w:rPr>
            </w:pPr>
            <w:r>
              <w:rPr>
                <w:rFonts w:ascii="Arial" w:cs="Arial" w:eastAsia="Arial" w:hAnsi="Arial"/>
                <w:sz w:val="18"/>
                <w:szCs w:val="18"/>
                <w:color w:val="auto"/>
                <w:w w:val="91"/>
              </w:rPr>
              <w:t>Form of Registration Rights Agreement</w:t>
            </w:r>
            <w:r>
              <w:rPr>
                <w:rFonts w:ascii="Courier New" w:cs="Courier New" w:eastAsia="Courier New" w:hAnsi="Courier New"/>
                <w:sz w:val="18"/>
                <w:szCs w:val="18"/>
                <w:color w:val="auto"/>
                <w:w w:val="91"/>
              </w:rPr>
              <w:t>*</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99.1</w:t>
            </w:r>
          </w:p>
        </w:tc>
        <w:tc>
          <w:tcPr>
            <w:tcW w:w="3160" w:type="dxa"/>
            <w:vAlign w:val="bottom"/>
          </w:tcPr>
          <w:p>
            <w:pPr>
              <w:ind w:left="180"/>
              <w:spacing w:after="0"/>
              <w:rPr>
                <w:sz w:val="20"/>
                <w:szCs w:val="20"/>
                <w:color w:val="auto"/>
              </w:rPr>
            </w:pPr>
            <w:r>
              <w:rPr>
                <w:rFonts w:ascii="Arial" w:cs="Arial" w:eastAsia="Arial" w:hAnsi="Arial"/>
                <w:sz w:val="18"/>
                <w:szCs w:val="18"/>
                <w:color w:val="auto"/>
                <w:w w:val="96"/>
              </w:rPr>
              <w:t>Press release, dated March 18, 2014</w:t>
            </w:r>
            <w:r>
              <w:rPr>
                <w:rFonts w:ascii="Courier New" w:cs="Courier New" w:eastAsia="Courier New" w:hAnsi="Courier New"/>
                <w:sz w:val="18"/>
                <w:szCs w:val="18"/>
                <w:color w:val="auto"/>
                <w:w w:val="96"/>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2014</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2019-12-07T20:20:22Z</dcterms:created>
  <dcterms:modified xsi:type="dcterms:W3CDTF">2019-12-07T20:20:22Z</dcterms:modified>
</cp:coreProperties>
</file>