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t>OPTIMIZERX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407 SIXTH STREET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ROCHESTER, MI 48307</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February 11, 2009</w:t>
      </w:r>
    </w:p>
    <w:p>
      <w:pPr>
        <w:spacing w:after="0" w:line="182" w:lineRule="exact"/>
        <w:rPr>
          <w:sz w:val="24"/>
          <w:szCs w:val="24"/>
          <w:color w:val="auto"/>
        </w:rPr>
      </w:pPr>
    </w:p>
    <w:p>
      <w:pPr>
        <w:spacing w:after="0"/>
        <w:rPr>
          <w:sz w:val="20"/>
          <w:szCs w:val="20"/>
          <w:color w:val="auto"/>
        </w:rPr>
      </w:pPr>
      <w:r>
        <w:rPr>
          <w:rFonts w:ascii="Arial" w:cs="Arial" w:eastAsia="Arial" w:hAnsi="Arial"/>
          <w:sz w:val="12"/>
          <w:szCs w:val="12"/>
          <w:b w:val="1"/>
          <w:bCs w:val="1"/>
          <w:u w:val="single" w:color="auto"/>
          <w:color w:val="auto"/>
        </w:rPr>
        <w:t>VIA FACSIMILE (202-772-9210) AND EDGAR</w:t>
      </w:r>
    </w:p>
    <w:p>
      <w:pPr>
        <w:spacing w:after="0" w:line="190" w:lineRule="exact"/>
        <w:rPr>
          <w:sz w:val="24"/>
          <w:szCs w:val="24"/>
          <w:color w:val="auto"/>
        </w:rPr>
      </w:pPr>
    </w:p>
    <w:p>
      <w:pPr>
        <w:spacing w:after="0"/>
        <w:rPr>
          <w:sz w:val="20"/>
          <w:szCs w:val="20"/>
          <w:color w:val="auto"/>
        </w:rPr>
      </w:pPr>
      <w:r>
        <w:rPr>
          <w:rFonts w:ascii="Arial" w:cs="Arial" w:eastAsia="Arial" w:hAnsi="Arial"/>
          <w:sz w:val="12"/>
          <w:szCs w:val="12"/>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color w:val="auto"/>
        </w:rPr>
        <w:t>100 F Street, N.E.</w:t>
      </w:r>
    </w:p>
    <w:p>
      <w:pPr>
        <w:spacing w:after="0" w:line="6" w:lineRule="exact"/>
        <w:rPr>
          <w:sz w:val="24"/>
          <w:szCs w:val="24"/>
          <w:color w:val="auto"/>
        </w:rPr>
      </w:pPr>
    </w:p>
    <w:p>
      <w:pPr>
        <w:spacing w:after="0"/>
        <w:rPr>
          <w:sz w:val="20"/>
          <w:szCs w:val="20"/>
          <w:color w:val="auto"/>
        </w:rPr>
      </w:pPr>
      <w:r>
        <w:rPr>
          <w:rFonts w:ascii="Arial" w:cs="Arial" w:eastAsia="Arial" w:hAnsi="Arial"/>
          <w:sz w:val="12"/>
          <w:szCs w:val="12"/>
          <w:color w:val="auto"/>
        </w:rPr>
        <w:t>Washington, D.C. 20549</w:t>
      </w:r>
    </w:p>
    <w:p>
      <w:pPr>
        <w:spacing w:after="0" w:line="177" w:lineRule="exact"/>
        <w:rPr>
          <w:sz w:val="24"/>
          <w:szCs w:val="24"/>
          <w:color w:val="auto"/>
        </w:rPr>
      </w:pPr>
    </w:p>
    <w:p>
      <w:pPr>
        <w:spacing w:after="0"/>
        <w:rPr>
          <w:sz w:val="20"/>
          <w:szCs w:val="20"/>
          <w:color w:val="auto"/>
        </w:rPr>
      </w:pPr>
      <w:r>
        <w:rPr>
          <w:rFonts w:ascii="Arial" w:cs="Arial" w:eastAsia="Arial" w:hAnsi="Arial"/>
          <w:sz w:val="12"/>
          <w:szCs w:val="12"/>
          <w:color w:val="auto"/>
        </w:rPr>
        <w:t>Attention: David Orlic, Special Counsel</w:t>
      </w:r>
    </w:p>
    <w:p>
      <w:pPr>
        <w:spacing w:after="0" w:line="182" w:lineRule="exact"/>
        <w:rPr>
          <w:sz w:val="24"/>
          <w:szCs w:val="24"/>
          <w:color w:val="auto"/>
        </w:rPr>
      </w:pPr>
    </w:p>
    <w:p>
      <w:pPr>
        <w:spacing w:after="0"/>
        <w:tabs>
          <w:tab w:leader="none" w:pos="420" w:val="left"/>
        </w:tabs>
        <w:rPr>
          <w:sz w:val="20"/>
          <w:szCs w:val="20"/>
          <w:color w:val="auto"/>
        </w:rPr>
      </w:pPr>
      <w:r>
        <w:rPr>
          <w:rFonts w:ascii="Arial" w:cs="Arial" w:eastAsia="Arial" w:hAnsi="Arial"/>
          <w:sz w:val="12"/>
          <w:szCs w:val="12"/>
          <w:b w:val="1"/>
          <w:bCs w:val="1"/>
          <w:color w:val="auto"/>
        </w:rPr>
        <w:t>Re:</w:t>
      </w:r>
      <w:r>
        <w:rPr>
          <w:sz w:val="20"/>
          <w:szCs w:val="20"/>
          <w:color w:val="auto"/>
        </w:rPr>
        <w:tab/>
      </w:r>
      <w:r>
        <w:rPr>
          <w:rFonts w:ascii="Arial" w:cs="Arial" w:eastAsia="Arial" w:hAnsi="Arial"/>
          <w:sz w:val="12"/>
          <w:szCs w:val="12"/>
          <w:b w:val="1"/>
          <w:bCs w:val="1"/>
          <w:color w:val="auto"/>
        </w:rPr>
        <w:t>OptimizeRx Corporation</w:t>
      </w:r>
    </w:p>
    <w:p>
      <w:pPr>
        <w:spacing w:after="0" w:line="19" w:lineRule="exact"/>
        <w:rPr>
          <w:sz w:val="24"/>
          <w:szCs w:val="24"/>
          <w:color w:val="auto"/>
        </w:rPr>
      </w:pPr>
    </w:p>
    <w:p>
      <w:pPr>
        <w:jc w:val="right"/>
        <w:ind w:right="9620"/>
        <w:spacing w:after="0"/>
        <w:rPr>
          <w:sz w:val="20"/>
          <w:szCs w:val="20"/>
          <w:color w:val="auto"/>
        </w:rPr>
      </w:pPr>
      <w:r>
        <w:rPr>
          <w:rFonts w:ascii="Arial" w:cs="Arial" w:eastAsia="Arial" w:hAnsi="Arial"/>
          <w:sz w:val="10"/>
          <w:szCs w:val="10"/>
          <w:b w:val="1"/>
          <w:bCs w:val="1"/>
          <w:color w:val="auto"/>
        </w:rPr>
        <w:t>Registration Statement on Form S-1</w:t>
      </w:r>
    </w:p>
    <w:p>
      <w:pPr>
        <w:spacing w:after="0" w:line="29" w:lineRule="exact"/>
        <w:rPr>
          <w:sz w:val="24"/>
          <w:szCs w:val="24"/>
          <w:color w:val="auto"/>
        </w:rPr>
      </w:pPr>
    </w:p>
    <w:p>
      <w:pPr>
        <w:jc w:val="right"/>
        <w:ind w:right="9600"/>
        <w:spacing w:after="0"/>
        <w:rPr>
          <w:sz w:val="20"/>
          <w:szCs w:val="20"/>
          <w:color w:val="auto"/>
        </w:rPr>
      </w:pPr>
      <w:r>
        <w:rPr>
          <w:rFonts w:ascii="Arial" w:cs="Arial" w:eastAsia="Arial" w:hAnsi="Arial"/>
          <w:sz w:val="12"/>
          <w:szCs w:val="12"/>
          <w:b w:val="1"/>
          <w:bCs w:val="1"/>
          <w:color w:val="auto"/>
        </w:rPr>
        <w:t>File No. 333-155280</w:t>
      </w:r>
    </w:p>
    <w:p>
      <w:pPr>
        <w:spacing w:after="0" w:line="177" w:lineRule="exact"/>
        <w:rPr>
          <w:sz w:val="24"/>
          <w:szCs w:val="24"/>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86"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Pursuant to Rule 461 of the General Rules and Regulations under the Securities Act of 1933, as amended (the “Act”), OptimizeRX Corporation (the “Company”) respectfully requests that the effective date of the registration statement referred to above be accelerated so that it will become effective at 4:00pam, Eastern Time, Thursday, February 11, 2009 or as soon thereafter as possible</w:t>
      </w:r>
    </w:p>
    <w:p>
      <w:pPr>
        <w:spacing w:after="0" w:line="151" w:lineRule="exact"/>
        <w:rPr>
          <w:sz w:val="24"/>
          <w:szCs w:val="24"/>
          <w:color w:val="auto"/>
        </w:rPr>
      </w:pPr>
    </w:p>
    <w:p>
      <w:pPr>
        <w:ind w:left="420"/>
        <w:spacing w:after="0"/>
        <w:rPr>
          <w:sz w:val="20"/>
          <w:szCs w:val="20"/>
          <w:color w:val="auto"/>
        </w:rPr>
      </w:pPr>
      <w:r>
        <w:rPr>
          <w:rFonts w:ascii="Arial" w:cs="Arial" w:eastAsia="Arial" w:hAnsi="Arial"/>
          <w:sz w:val="12"/>
          <w:szCs w:val="12"/>
          <w:color w:val="auto"/>
        </w:rPr>
        <w:t>We hereby acknowledge the following:</w:t>
      </w:r>
    </w:p>
    <w:p>
      <w:pPr>
        <w:spacing w:after="0" w:line="186" w:lineRule="exact"/>
        <w:rPr>
          <w:sz w:val="24"/>
          <w:szCs w:val="24"/>
          <w:color w:val="auto"/>
        </w:rPr>
      </w:pPr>
    </w:p>
    <w:p>
      <w:pPr>
        <w:ind w:left="640" w:hanging="179"/>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that should the Commission or the staff, acting pursuant to delegated authority, declare the filing effective, it does not foreclose the Commission from taking any action with respect to the filing;</w:t>
      </w:r>
    </w:p>
    <w:p>
      <w:pPr>
        <w:spacing w:after="0" w:line="186" w:lineRule="exact"/>
        <w:rPr>
          <w:rFonts w:ascii="Arial" w:cs="Arial" w:eastAsia="Arial" w:hAnsi="Arial"/>
          <w:sz w:val="12"/>
          <w:szCs w:val="12"/>
          <w:color w:val="auto"/>
        </w:rPr>
      </w:pPr>
    </w:p>
    <w:p>
      <w:pPr>
        <w:ind w:left="640" w:hanging="179"/>
        <w:spacing w:after="0" w:line="276" w:lineRule="auto"/>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50" w:lineRule="exact"/>
        <w:rPr>
          <w:rFonts w:ascii="Arial" w:cs="Arial" w:eastAsia="Arial" w:hAnsi="Arial"/>
          <w:sz w:val="12"/>
          <w:szCs w:val="12"/>
          <w:color w:val="auto"/>
        </w:rPr>
      </w:pPr>
    </w:p>
    <w:p>
      <w:pPr>
        <w:ind w:left="640" w:hanging="179"/>
        <w:spacing w:after="0"/>
        <w:tabs>
          <w:tab w:leader="none" w:pos="640" w:val="left"/>
        </w:tabs>
        <w:numPr>
          <w:ilvl w:val="0"/>
          <w:numId w:val="1"/>
        </w:numPr>
        <w:rPr>
          <w:rFonts w:ascii="Arial" w:cs="Arial" w:eastAsia="Arial" w:hAnsi="Arial"/>
          <w:sz w:val="11"/>
          <w:szCs w:val="11"/>
          <w:color w:val="auto"/>
        </w:rPr>
      </w:pPr>
      <w:r>
        <w:rPr>
          <w:rFonts w:ascii="Arial" w:cs="Arial" w:eastAsia="Arial" w:hAnsi="Arial"/>
          <w:sz w:val="11"/>
          <w:szCs w:val="11"/>
          <w:color w:val="auto"/>
        </w:rPr>
        <w:t>the Company may not assert staff comments and the declaration of effectiveness as a defense in any proceeding initiated by the Commission or any person under the federal securities laws of the United States.</w:t>
      </w:r>
    </w:p>
    <w:p>
      <w:pPr>
        <w:spacing w:after="0" w:line="194" w:lineRule="exact"/>
        <w:rPr>
          <w:sz w:val="24"/>
          <w:szCs w:val="24"/>
          <w:color w:val="auto"/>
        </w:rPr>
      </w:pPr>
    </w:p>
    <w:p>
      <w:pPr>
        <w:ind w:left="5720"/>
        <w:spacing w:after="0"/>
        <w:rPr>
          <w:sz w:val="20"/>
          <w:szCs w:val="20"/>
          <w:color w:val="auto"/>
        </w:rPr>
      </w:pPr>
      <w:r>
        <w:rPr>
          <w:rFonts w:ascii="Arial" w:cs="Arial" w:eastAsia="Arial" w:hAnsi="Arial"/>
          <w:sz w:val="12"/>
          <w:szCs w:val="12"/>
          <w:b w:val="1"/>
          <w:bCs w:val="1"/>
          <w:color w:val="auto"/>
        </w:rPr>
        <w:t>OptimizeRX Corporation</w:t>
      </w:r>
    </w:p>
    <w:p>
      <w:pPr>
        <w:spacing w:after="0" w:line="154" w:lineRule="exact"/>
        <w:rPr>
          <w:sz w:val="24"/>
          <w:szCs w:val="24"/>
          <w:color w:val="auto"/>
        </w:rPr>
      </w:pPr>
    </w:p>
    <w:p>
      <w:pPr>
        <w:ind w:left="5720"/>
        <w:spacing w:after="0"/>
        <w:tabs>
          <w:tab w:leader="none" w:pos="60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David A Harrell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3861435</wp:posOffset>
            </wp:positionH>
            <wp:positionV relativeFrom="paragraph">
              <wp:posOffset>26670</wp:posOffset>
            </wp:positionV>
            <wp:extent cx="2550795"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0795" cy="11430"/>
                    </a:xfrm>
                    <a:prstGeom prst="rect">
                      <a:avLst/>
                    </a:prstGeom>
                    <a:noFill/>
                  </pic:spPr>
                </pic:pic>
              </a:graphicData>
            </a:graphic>
          </wp:anchor>
        </w:drawing>
      </w:r>
    </w:p>
    <w:p>
      <w:pPr>
        <w:spacing w:after="0" w:line="31" w:lineRule="exact"/>
        <w:rPr>
          <w:sz w:val="24"/>
          <w:szCs w:val="24"/>
          <w:color w:val="auto"/>
        </w:rPr>
      </w:pPr>
    </w:p>
    <w:p>
      <w:pPr>
        <w:ind w:left="5720"/>
        <w:spacing w:after="0"/>
        <w:rPr>
          <w:sz w:val="20"/>
          <w:szCs w:val="20"/>
          <w:color w:val="auto"/>
        </w:rPr>
      </w:pPr>
      <w:r>
        <w:rPr>
          <w:rFonts w:ascii="Arial" w:cs="Arial" w:eastAsia="Arial" w:hAnsi="Arial"/>
          <w:sz w:val="12"/>
          <w:szCs w:val="12"/>
          <w:color w:val="auto"/>
        </w:rPr>
        <w:t>Name: David A Harrell</w:t>
      </w:r>
    </w:p>
    <w:p>
      <w:pPr>
        <w:spacing w:after="0" w:line="15" w:lineRule="exact"/>
        <w:rPr>
          <w:sz w:val="24"/>
          <w:szCs w:val="24"/>
          <w:color w:val="auto"/>
        </w:rPr>
      </w:pPr>
    </w:p>
    <w:p>
      <w:pPr>
        <w:ind w:left="5720"/>
        <w:spacing w:after="0"/>
        <w:tabs>
          <w:tab w:leader="none" w:pos="606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1"/>
          <w:szCs w:val="11"/>
          <w:color w:val="auto"/>
        </w:rPr>
        <w:t>Chief Executive Officer</w:t>
      </w:r>
    </w:p>
    <w:sectPr>
      <w:pgSz w:w="11900" w:h="16838" w:orient="portrait"/>
      <w:cols w:equalWidth="0" w:num="1">
        <w:col w:w="11460"/>
      </w:cols>
      <w:pgMar w:left="220" w:top="19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2019-12-11T06:01:42Z</dcterms:created>
  <dcterms:modified xsi:type="dcterms:W3CDTF">2019-12-11T06:01:42Z</dcterms:modified>
</cp:coreProperties>
</file>