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72390</wp:posOffset>
            </wp:positionH>
            <wp:positionV relativeFrom="page">
              <wp:posOffset>72390</wp:posOffset>
            </wp:positionV>
            <wp:extent cx="762508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page">
              <wp:posOffset>72390</wp:posOffset>
            </wp:positionH>
            <wp:positionV relativeFrom="page">
              <wp:posOffset>108585</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t>UNITED STATES</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SECURITIES AND EXCHANGE COMMISSION</w:t>
      </w:r>
    </w:p>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WASHINGTON, D.C. 20549</w:t>
      </w:r>
    </w:p>
    <w:p>
      <w:pPr>
        <w:spacing w:after="0" w:line="219" w:lineRule="exact"/>
        <w:rPr>
          <w:sz w:val="24"/>
          <w:szCs w:val="24"/>
          <w:color w:val="auto"/>
        </w:rPr>
      </w:pPr>
    </w:p>
    <w:tbl>
      <w:tblPr>
        <w:tblLayout w:type="fixed"/>
        <w:tblInd w:w="6" w:type="dxa"/>
        <w:tblCellMar>
          <w:top w:w="0" w:type="dxa"/>
          <w:left w:w="0" w:type="dxa"/>
          <w:bottom w:w="0" w:type="dxa"/>
          <w:right w:w="0" w:type="dxa"/>
        </w:tblCellMar>
      </w:tblPr>
      <w:tr>
        <w:trPr>
          <w:trHeight w:val="247"/>
        </w:trPr>
        <w:tc>
          <w:tcPr>
            <w:tcW w:w="5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5"/>
          </w:tcPr>
          <w:p>
            <w:pPr>
              <w:jc w:val="center"/>
              <w:ind w:right="1400"/>
              <w:spacing w:after="0"/>
              <w:rPr>
                <w:sz w:val="20"/>
                <w:szCs w:val="20"/>
                <w:color w:val="auto"/>
              </w:rPr>
            </w:pPr>
            <w:r>
              <w:rPr>
                <w:rFonts w:ascii="Arial" w:cs="Arial" w:eastAsia="Arial" w:hAnsi="Arial"/>
                <w:sz w:val="19"/>
                <w:szCs w:val="19"/>
                <w:b w:val="1"/>
                <w:bCs w:val="1"/>
                <w:color w:val="auto"/>
                <w:w w:val="96"/>
              </w:rPr>
              <w:t>FORM S-8</w:t>
            </w:r>
          </w:p>
        </w:tc>
        <w:tc>
          <w:tcPr>
            <w:tcW w:w="3840" w:type="dxa"/>
            <w:vAlign w:val="bottom"/>
          </w:tcPr>
          <w:p>
            <w:pPr>
              <w:spacing w:after="0"/>
              <w:rPr>
                <w:sz w:val="21"/>
                <w:szCs w:val="21"/>
                <w:color w:val="auto"/>
              </w:rPr>
            </w:pPr>
          </w:p>
        </w:tc>
      </w:tr>
      <w:tr>
        <w:trPr>
          <w:trHeight w:val="437"/>
        </w:trPr>
        <w:tc>
          <w:tcPr>
            <w:tcW w:w="8160" w:type="dxa"/>
            <w:vAlign w:val="bottom"/>
            <w:gridSpan w:val="7"/>
          </w:tcPr>
          <w:p>
            <w:pPr>
              <w:jc w:val="center"/>
              <w:ind w:left="3745"/>
              <w:spacing w:after="0"/>
              <w:rPr>
                <w:sz w:val="20"/>
                <w:szCs w:val="20"/>
                <w:color w:val="auto"/>
              </w:rPr>
            </w:pPr>
            <w:r>
              <w:rPr>
                <w:rFonts w:ascii="Arial" w:cs="Arial" w:eastAsia="Arial" w:hAnsi="Arial"/>
                <w:sz w:val="19"/>
                <w:szCs w:val="19"/>
                <w:b w:val="1"/>
                <w:bCs w:val="1"/>
                <w:color w:val="auto"/>
              </w:rPr>
              <w:t>REGISTRATION STATEMENT</w:t>
            </w:r>
          </w:p>
        </w:tc>
        <w:tc>
          <w:tcPr>
            <w:tcW w:w="3840" w:type="dxa"/>
            <w:vAlign w:val="bottom"/>
          </w:tcPr>
          <w:p>
            <w:pPr>
              <w:spacing w:after="0"/>
              <w:rPr>
                <w:sz w:val="24"/>
                <w:szCs w:val="24"/>
                <w:color w:val="auto"/>
              </w:rPr>
            </w:pPr>
          </w:p>
        </w:tc>
      </w:tr>
      <w:tr>
        <w:trPr>
          <w:trHeight w:val="247"/>
        </w:trPr>
        <w:tc>
          <w:tcPr>
            <w:tcW w:w="8160" w:type="dxa"/>
            <w:vAlign w:val="bottom"/>
            <w:gridSpan w:val="7"/>
          </w:tcPr>
          <w:p>
            <w:pPr>
              <w:jc w:val="center"/>
              <w:ind w:left="3745"/>
              <w:spacing w:after="0"/>
              <w:rPr>
                <w:sz w:val="20"/>
                <w:szCs w:val="20"/>
                <w:color w:val="auto"/>
              </w:rPr>
            </w:pPr>
            <w:r>
              <w:rPr>
                <w:rFonts w:ascii="Arial" w:cs="Arial" w:eastAsia="Arial" w:hAnsi="Arial"/>
                <w:sz w:val="19"/>
                <w:szCs w:val="19"/>
                <w:b w:val="1"/>
                <w:bCs w:val="1"/>
                <w:color w:val="auto"/>
                <w:w w:val="99"/>
              </w:rPr>
              <w:t>UNDER THE SECURITIES ACT OF 1933</w:t>
            </w:r>
          </w:p>
        </w:tc>
        <w:tc>
          <w:tcPr>
            <w:tcW w:w="3840" w:type="dxa"/>
            <w:vAlign w:val="bottom"/>
          </w:tcPr>
          <w:p>
            <w:pPr>
              <w:spacing w:after="0"/>
              <w:rPr>
                <w:sz w:val="21"/>
                <w:szCs w:val="21"/>
                <w:color w:val="auto"/>
              </w:rPr>
            </w:pPr>
          </w:p>
        </w:tc>
      </w:tr>
      <w:tr>
        <w:trPr>
          <w:trHeight w:val="415"/>
        </w:trPr>
        <w:tc>
          <w:tcPr>
            <w:tcW w:w="5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20" w:type="dxa"/>
            <w:vAlign w:val="bottom"/>
            <w:gridSpan w:val="5"/>
          </w:tcPr>
          <w:p>
            <w:pPr>
              <w:jc w:val="center"/>
              <w:ind w:right="1420"/>
              <w:spacing w:after="0"/>
              <w:rPr>
                <w:sz w:val="20"/>
                <w:szCs w:val="20"/>
                <w:color w:val="auto"/>
              </w:rPr>
            </w:pPr>
            <w:r>
              <w:rPr>
                <w:rFonts w:ascii="Arial" w:cs="Arial" w:eastAsia="Arial" w:hAnsi="Arial"/>
                <w:sz w:val="19"/>
                <w:szCs w:val="19"/>
                <w:b w:val="1"/>
                <w:bCs w:val="1"/>
                <w:color w:val="auto"/>
                <w:w w:val="94"/>
              </w:rPr>
              <w:t>OptimizeRx Corp.</w:t>
            </w:r>
          </w:p>
        </w:tc>
        <w:tc>
          <w:tcPr>
            <w:tcW w:w="384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50"/>
        </w:trPr>
        <w:tc>
          <w:tcPr>
            <w:tcW w:w="8160" w:type="dxa"/>
            <w:vAlign w:val="bottom"/>
            <w:gridSpan w:val="7"/>
          </w:tcPr>
          <w:p>
            <w:pPr>
              <w:jc w:val="center"/>
              <w:ind w:left="3745"/>
              <w:spacing w:after="0"/>
              <w:rPr>
                <w:sz w:val="20"/>
                <w:szCs w:val="20"/>
                <w:color w:val="auto"/>
              </w:rPr>
            </w:pPr>
            <w:r>
              <w:rPr>
                <w:rFonts w:ascii="Arial" w:cs="Arial" w:eastAsia="Arial" w:hAnsi="Arial"/>
                <w:sz w:val="19"/>
                <w:szCs w:val="19"/>
                <w:color w:val="auto"/>
                <w:w w:val="90"/>
              </w:rPr>
              <w:t>(Exact name of registrant as specified in its charter)</w:t>
            </w:r>
          </w:p>
        </w:tc>
        <w:tc>
          <w:tcPr>
            <w:tcW w:w="3840" w:type="dxa"/>
            <w:vAlign w:val="bottom"/>
          </w:tcPr>
          <w:p>
            <w:pPr>
              <w:spacing w:after="0"/>
              <w:rPr>
                <w:sz w:val="21"/>
                <w:szCs w:val="21"/>
                <w:color w:val="auto"/>
              </w:rPr>
            </w:pPr>
          </w:p>
        </w:tc>
      </w:tr>
      <w:tr>
        <w:trPr>
          <w:trHeight w:val="466"/>
        </w:trPr>
        <w:tc>
          <w:tcPr>
            <w:tcW w:w="8160" w:type="dxa"/>
            <w:vAlign w:val="bottom"/>
            <w:gridSpan w:val="7"/>
          </w:tcPr>
          <w:p>
            <w:pPr>
              <w:jc w:val="center"/>
              <w:ind w:right="2280"/>
              <w:spacing w:after="0"/>
              <w:rPr>
                <w:sz w:val="20"/>
                <w:szCs w:val="20"/>
                <w:color w:val="auto"/>
              </w:rPr>
            </w:pPr>
            <w:r>
              <w:rPr>
                <w:rFonts w:ascii="Arial" w:cs="Arial" w:eastAsia="Arial" w:hAnsi="Arial"/>
                <w:sz w:val="19"/>
                <w:szCs w:val="19"/>
                <w:b w:val="1"/>
                <w:bCs w:val="1"/>
                <w:color w:val="auto"/>
                <w:w w:val="88"/>
              </w:rPr>
              <w:t>Nevada</w:t>
            </w:r>
          </w:p>
        </w:tc>
        <w:tc>
          <w:tcPr>
            <w:tcW w:w="3840" w:type="dxa"/>
            <w:vAlign w:val="bottom"/>
          </w:tcPr>
          <w:p>
            <w:pPr>
              <w:jc w:val="center"/>
              <w:ind w:right="1945"/>
              <w:spacing w:after="0"/>
              <w:rPr>
                <w:sz w:val="20"/>
                <w:szCs w:val="20"/>
                <w:color w:val="auto"/>
              </w:rPr>
            </w:pPr>
            <w:r>
              <w:rPr>
                <w:rFonts w:ascii="Arial" w:cs="Arial" w:eastAsia="Arial" w:hAnsi="Arial"/>
                <w:sz w:val="19"/>
                <w:szCs w:val="19"/>
                <w:b w:val="1"/>
                <w:bCs w:val="1"/>
                <w:color w:val="auto"/>
                <w:w w:val="90"/>
              </w:rPr>
              <w:t>26-1265381</w:t>
            </w:r>
          </w:p>
        </w:tc>
      </w:tr>
      <w:tr>
        <w:trPr>
          <w:trHeight w:val="214"/>
        </w:trPr>
        <w:tc>
          <w:tcPr>
            <w:tcW w:w="5880" w:type="dxa"/>
            <w:vAlign w:val="bottom"/>
            <w:tcBorders>
              <w:top w:val="single" w:sz="8" w:color="auto"/>
            </w:tcBorders>
            <w:gridSpan w:val="3"/>
          </w:tcPr>
          <w:p>
            <w:pPr>
              <w:jc w:val="center"/>
              <w:spacing w:after="0" w:line="214" w:lineRule="exact"/>
              <w:rPr>
                <w:sz w:val="20"/>
                <w:szCs w:val="20"/>
                <w:color w:val="auto"/>
              </w:rPr>
            </w:pPr>
            <w:r>
              <w:rPr>
                <w:rFonts w:ascii="Arial" w:cs="Arial" w:eastAsia="Arial" w:hAnsi="Arial"/>
                <w:sz w:val="19"/>
                <w:szCs w:val="19"/>
                <w:color w:val="auto"/>
                <w:w w:val="92"/>
              </w:rPr>
              <w:t>(State or other jurisdiction of</w:t>
            </w:r>
          </w:p>
        </w:tc>
        <w:tc>
          <w:tcPr>
            <w:tcW w:w="2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jc w:val="center"/>
              <w:ind w:right="1925"/>
              <w:spacing w:after="0" w:line="214" w:lineRule="exact"/>
              <w:rPr>
                <w:sz w:val="20"/>
                <w:szCs w:val="20"/>
                <w:color w:val="auto"/>
              </w:rPr>
            </w:pPr>
            <w:r>
              <w:rPr>
                <w:rFonts w:ascii="Arial" w:cs="Arial" w:eastAsia="Arial" w:hAnsi="Arial"/>
                <w:sz w:val="19"/>
                <w:szCs w:val="19"/>
                <w:color w:val="auto"/>
                <w:w w:val="93"/>
              </w:rPr>
              <w:t>(I.R.S. Employer</w:t>
            </w:r>
          </w:p>
        </w:tc>
      </w:tr>
      <w:tr>
        <w:trPr>
          <w:trHeight w:val="241"/>
        </w:trPr>
        <w:tc>
          <w:tcPr>
            <w:tcW w:w="8160" w:type="dxa"/>
            <w:vAlign w:val="bottom"/>
            <w:gridSpan w:val="7"/>
          </w:tcPr>
          <w:p>
            <w:pPr>
              <w:jc w:val="center"/>
              <w:ind w:right="2280"/>
              <w:spacing w:after="0"/>
              <w:rPr>
                <w:sz w:val="20"/>
                <w:szCs w:val="20"/>
                <w:color w:val="auto"/>
              </w:rPr>
            </w:pPr>
            <w:r>
              <w:rPr>
                <w:rFonts w:ascii="Arial" w:cs="Arial" w:eastAsia="Arial" w:hAnsi="Arial"/>
                <w:sz w:val="19"/>
                <w:szCs w:val="19"/>
                <w:color w:val="auto"/>
                <w:w w:val="92"/>
              </w:rPr>
              <w:t>incorporation or organization)</w:t>
            </w:r>
          </w:p>
        </w:tc>
        <w:tc>
          <w:tcPr>
            <w:tcW w:w="3840" w:type="dxa"/>
            <w:vAlign w:val="bottom"/>
          </w:tcPr>
          <w:p>
            <w:pPr>
              <w:jc w:val="center"/>
              <w:ind w:right="1925"/>
              <w:spacing w:after="0"/>
              <w:rPr>
                <w:sz w:val="20"/>
                <w:szCs w:val="20"/>
                <w:color w:val="auto"/>
              </w:rPr>
            </w:pPr>
            <w:r>
              <w:rPr>
                <w:rFonts w:ascii="Arial" w:cs="Arial" w:eastAsia="Arial" w:hAnsi="Arial"/>
                <w:sz w:val="19"/>
                <w:szCs w:val="19"/>
                <w:color w:val="auto"/>
                <w:w w:val="96"/>
              </w:rPr>
              <w:t>Identification No.)</w:t>
            </w:r>
          </w:p>
        </w:tc>
      </w:tr>
      <w:tr>
        <w:trPr>
          <w:trHeight w:val="437"/>
        </w:trPr>
        <w:tc>
          <w:tcPr>
            <w:tcW w:w="8160" w:type="dxa"/>
            <w:vAlign w:val="bottom"/>
            <w:gridSpan w:val="7"/>
          </w:tcPr>
          <w:p>
            <w:pPr>
              <w:jc w:val="center"/>
              <w:ind w:left="3745"/>
              <w:spacing w:after="0"/>
              <w:rPr>
                <w:sz w:val="20"/>
                <w:szCs w:val="20"/>
                <w:color w:val="auto"/>
              </w:rPr>
            </w:pPr>
            <w:r>
              <w:rPr>
                <w:rFonts w:ascii="Arial" w:cs="Arial" w:eastAsia="Arial" w:hAnsi="Arial"/>
                <w:sz w:val="19"/>
                <w:szCs w:val="19"/>
                <w:b w:val="1"/>
                <w:bCs w:val="1"/>
                <w:color w:val="auto"/>
                <w:w w:val="90"/>
              </w:rPr>
              <w:t>400 Water Street, Suite 200,</w:t>
            </w:r>
          </w:p>
        </w:tc>
        <w:tc>
          <w:tcPr>
            <w:tcW w:w="3840" w:type="dxa"/>
            <w:vAlign w:val="bottom"/>
          </w:tcPr>
          <w:p>
            <w:pPr>
              <w:spacing w:after="0"/>
              <w:rPr>
                <w:sz w:val="24"/>
                <w:szCs w:val="24"/>
                <w:color w:val="auto"/>
              </w:rPr>
            </w:pPr>
          </w:p>
        </w:tc>
      </w:tr>
      <w:tr>
        <w:trPr>
          <w:trHeight w:val="206"/>
        </w:trPr>
        <w:tc>
          <w:tcPr>
            <w:tcW w:w="5160" w:type="dxa"/>
            <w:vAlign w:val="bottom"/>
          </w:tcPr>
          <w:p>
            <w:pPr>
              <w:spacing w:after="0"/>
              <w:rPr>
                <w:sz w:val="17"/>
                <w:szCs w:val="17"/>
                <w:color w:val="auto"/>
              </w:rPr>
            </w:pPr>
          </w:p>
        </w:tc>
        <w:tc>
          <w:tcPr>
            <w:tcW w:w="1680" w:type="dxa"/>
            <w:vAlign w:val="bottom"/>
            <w:tcBorders>
              <w:bottom w:val="single" w:sz="8" w:color="auto"/>
            </w:tcBorders>
            <w:gridSpan w:val="5"/>
          </w:tcPr>
          <w:p>
            <w:pPr>
              <w:jc w:val="center"/>
              <w:spacing w:after="0" w:line="205" w:lineRule="exact"/>
              <w:rPr>
                <w:sz w:val="20"/>
                <w:szCs w:val="20"/>
                <w:color w:val="auto"/>
              </w:rPr>
            </w:pPr>
            <w:r>
              <w:rPr>
                <w:rFonts w:ascii="Arial" w:cs="Arial" w:eastAsia="Arial" w:hAnsi="Arial"/>
                <w:sz w:val="19"/>
                <w:szCs w:val="19"/>
                <w:b w:val="1"/>
                <w:bCs w:val="1"/>
                <w:color w:val="auto"/>
                <w:w w:val="91"/>
              </w:rPr>
              <w:t>Rochester, MI 48307</w:t>
            </w:r>
          </w:p>
        </w:tc>
        <w:tc>
          <w:tcPr>
            <w:tcW w:w="132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250"/>
        </w:trPr>
        <w:tc>
          <w:tcPr>
            <w:tcW w:w="8160" w:type="dxa"/>
            <w:vAlign w:val="bottom"/>
            <w:gridSpan w:val="7"/>
          </w:tcPr>
          <w:p>
            <w:pPr>
              <w:jc w:val="center"/>
              <w:ind w:left="3725"/>
              <w:spacing w:after="0"/>
              <w:rPr>
                <w:sz w:val="20"/>
                <w:szCs w:val="20"/>
                <w:color w:val="auto"/>
              </w:rPr>
            </w:pPr>
            <w:r>
              <w:rPr>
                <w:rFonts w:ascii="Arial" w:cs="Arial" w:eastAsia="Arial" w:hAnsi="Arial"/>
                <w:sz w:val="19"/>
                <w:szCs w:val="19"/>
                <w:color w:val="auto"/>
                <w:w w:val="92"/>
              </w:rPr>
              <w:t>(Address of Principal Executive Offices)</w:t>
            </w:r>
          </w:p>
        </w:tc>
        <w:tc>
          <w:tcPr>
            <w:tcW w:w="3840" w:type="dxa"/>
            <w:vAlign w:val="bottom"/>
          </w:tcPr>
          <w:p>
            <w:pPr>
              <w:spacing w:after="0"/>
              <w:rPr>
                <w:sz w:val="21"/>
                <w:szCs w:val="21"/>
                <w:color w:val="auto"/>
              </w:rPr>
            </w:pPr>
          </w:p>
        </w:tc>
      </w:tr>
    </w:tbl>
    <w:p>
      <w:pPr>
        <w:spacing w:after="0" w:line="20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Amended and Restated OptimizeRx Corp. 2013 Incentive Plan</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color w:val="auto"/>
        </w:rPr>
        <w:t>(Full title of the plan)</w:t>
      </w:r>
    </w:p>
    <w:p>
      <w:pPr>
        <w:spacing w:after="0" w:line="21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Spring Valley Solutions, LLC</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4955 S. Durango Rd. Ste. 165</w:t>
      </w:r>
    </w:p>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Las Vegas, NV 89113</w:t>
      </w:r>
    </w:p>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19"/>
          <w:szCs w:val="19"/>
          <w:color w:val="auto"/>
        </w:rPr>
        <w:t>(Name and address of agent for service)</w:t>
      </w:r>
    </w:p>
    <w:p>
      <w:pPr>
        <w:spacing w:after="0" w:line="219"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(248) 651-6568</w:t>
      </w:r>
    </w:p>
    <w:p>
      <w:pPr>
        <w:spacing w:after="0" w:line="29" w:lineRule="exact"/>
        <w:rPr>
          <w:sz w:val="24"/>
          <w:szCs w:val="24"/>
          <w:color w:val="auto"/>
        </w:rPr>
      </w:pPr>
    </w:p>
    <w:p>
      <w:pPr>
        <w:jc w:val="center"/>
        <w:ind w:right="-5"/>
        <w:spacing w:after="0"/>
        <w:rPr>
          <w:sz w:val="20"/>
          <w:szCs w:val="20"/>
          <w:color w:val="auto"/>
        </w:rPr>
      </w:pPr>
      <w:r>
        <w:rPr>
          <w:rFonts w:ascii="Arial" w:cs="Arial" w:eastAsia="Arial" w:hAnsi="Arial"/>
          <w:sz w:val="19"/>
          <w:szCs w:val="19"/>
          <w:color w:val="auto"/>
        </w:rPr>
        <w:t>(Telephone number, including area Code, of agent for service)</w:t>
      </w:r>
    </w:p>
    <w:p>
      <w:pPr>
        <w:spacing w:after="0" w:line="225" w:lineRule="exact"/>
        <w:rPr>
          <w:sz w:val="24"/>
          <w:szCs w:val="24"/>
          <w:color w:val="auto"/>
        </w:rPr>
      </w:pPr>
    </w:p>
    <w:p>
      <w:pPr>
        <w:ind w:left="6" w:right="40"/>
        <w:spacing w:after="0" w:line="263"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6" w:type="dxa"/>
        <w:tblCellMar>
          <w:top w:w="0" w:type="dxa"/>
          <w:left w:w="0" w:type="dxa"/>
          <w:bottom w:w="0" w:type="dxa"/>
          <w:right w:w="0" w:type="dxa"/>
        </w:tblCellMar>
      </w:tblPr>
      <w:tr>
        <w:trPr>
          <w:trHeight w:val="228"/>
        </w:trPr>
        <w:tc>
          <w:tcPr>
            <w:tcW w:w="2320" w:type="dxa"/>
            <w:vAlign w:val="bottom"/>
          </w:tcPr>
          <w:p>
            <w:pPr>
              <w:spacing w:after="0"/>
              <w:rPr>
                <w:sz w:val="20"/>
                <w:szCs w:val="20"/>
                <w:color w:val="auto"/>
              </w:rPr>
            </w:pPr>
            <w:r>
              <w:rPr>
                <w:rFonts w:ascii="Arial" w:cs="Arial" w:eastAsia="Arial" w:hAnsi="Arial"/>
                <w:sz w:val="19"/>
                <w:szCs w:val="19"/>
                <w:color w:val="auto"/>
              </w:rPr>
              <w:t>Large accelerated filer:</w:t>
            </w:r>
          </w:p>
        </w:tc>
        <w:tc>
          <w:tcPr>
            <w:tcW w:w="1600" w:type="dxa"/>
            <w:vAlign w:val="bottom"/>
          </w:tcPr>
          <w:p>
            <w:pPr>
              <w:ind w:left="560"/>
              <w:spacing w:after="0" w:line="191" w:lineRule="exact"/>
              <w:rPr>
                <w:sz w:val="20"/>
                <w:szCs w:val="20"/>
                <w:color w:val="auto"/>
              </w:rPr>
            </w:pPr>
            <w:r>
              <w:rPr>
                <w:rFonts w:ascii="MS PGothic" w:cs="MS PGothic" w:eastAsia="MS PGothic" w:hAnsi="MS PGothic"/>
                <w:sz w:val="19"/>
                <w:szCs w:val="19"/>
                <w:color w:val="auto"/>
              </w:rPr>
              <w:t>☐</w:t>
            </w:r>
          </w:p>
        </w:tc>
        <w:tc>
          <w:tcPr>
            <w:tcW w:w="3380" w:type="dxa"/>
            <w:vAlign w:val="bottom"/>
          </w:tcPr>
          <w:p>
            <w:pPr>
              <w:ind w:left="860"/>
              <w:spacing w:after="0"/>
              <w:rPr>
                <w:sz w:val="20"/>
                <w:szCs w:val="20"/>
                <w:color w:val="auto"/>
              </w:rPr>
            </w:pPr>
            <w:r>
              <w:rPr>
                <w:rFonts w:ascii="Arial" w:cs="Arial" w:eastAsia="Arial" w:hAnsi="Arial"/>
                <w:sz w:val="19"/>
                <w:szCs w:val="19"/>
                <w:color w:val="auto"/>
              </w:rPr>
              <w:t>Accelerated filer:</w:t>
            </w:r>
          </w:p>
        </w:tc>
        <w:tc>
          <w:tcPr>
            <w:tcW w:w="540" w:type="dxa"/>
            <w:vAlign w:val="bottom"/>
          </w:tcPr>
          <w:p>
            <w:pPr>
              <w:ind w:left="36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228"/>
        </w:trPr>
        <w:tc>
          <w:tcPr>
            <w:tcW w:w="2320" w:type="dxa"/>
            <w:vAlign w:val="bottom"/>
          </w:tcPr>
          <w:p>
            <w:pPr>
              <w:spacing w:after="0"/>
              <w:rPr>
                <w:sz w:val="20"/>
                <w:szCs w:val="20"/>
                <w:color w:val="auto"/>
              </w:rPr>
            </w:pPr>
            <w:r>
              <w:rPr>
                <w:rFonts w:ascii="Arial" w:cs="Arial" w:eastAsia="Arial" w:hAnsi="Arial"/>
                <w:sz w:val="19"/>
                <w:szCs w:val="19"/>
                <w:color w:val="auto"/>
              </w:rPr>
              <w:t>Non-accelerated filer:</w:t>
            </w:r>
          </w:p>
        </w:tc>
        <w:tc>
          <w:tcPr>
            <w:tcW w:w="1600" w:type="dxa"/>
            <w:vAlign w:val="bottom"/>
          </w:tcPr>
          <w:p>
            <w:pPr>
              <w:ind w:left="560"/>
              <w:spacing w:after="0" w:line="191" w:lineRule="exact"/>
              <w:rPr>
                <w:sz w:val="20"/>
                <w:szCs w:val="20"/>
                <w:color w:val="auto"/>
              </w:rPr>
            </w:pPr>
            <w:r>
              <w:rPr>
                <w:rFonts w:ascii="MS PGothic" w:cs="MS PGothic" w:eastAsia="MS PGothic" w:hAnsi="MS PGothic"/>
                <w:sz w:val="19"/>
                <w:szCs w:val="19"/>
                <w:color w:val="auto"/>
              </w:rPr>
              <w:t>☐</w:t>
            </w:r>
          </w:p>
        </w:tc>
        <w:tc>
          <w:tcPr>
            <w:tcW w:w="3380" w:type="dxa"/>
            <w:vAlign w:val="bottom"/>
          </w:tcPr>
          <w:p>
            <w:pPr>
              <w:ind w:left="860"/>
              <w:spacing w:after="0"/>
              <w:rPr>
                <w:sz w:val="20"/>
                <w:szCs w:val="20"/>
                <w:color w:val="auto"/>
              </w:rPr>
            </w:pPr>
            <w:r>
              <w:rPr>
                <w:rFonts w:ascii="Arial" w:cs="Arial" w:eastAsia="Arial" w:hAnsi="Arial"/>
                <w:sz w:val="19"/>
                <w:szCs w:val="19"/>
                <w:color w:val="auto"/>
              </w:rPr>
              <w:t>Smaller reporting company:</w:t>
            </w:r>
          </w:p>
        </w:tc>
        <w:tc>
          <w:tcPr>
            <w:tcW w:w="540" w:type="dxa"/>
            <w:vAlign w:val="bottom"/>
          </w:tcPr>
          <w:p>
            <w:pPr>
              <w:ind w:left="36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298"/>
        </w:trPr>
        <w:tc>
          <w:tcPr>
            <w:tcW w:w="2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380" w:type="dxa"/>
            <w:vAlign w:val="bottom"/>
          </w:tcPr>
          <w:p>
            <w:pPr>
              <w:ind w:left="860"/>
              <w:spacing w:after="0"/>
              <w:rPr>
                <w:sz w:val="20"/>
                <w:szCs w:val="20"/>
                <w:color w:val="auto"/>
              </w:rPr>
            </w:pPr>
            <w:r>
              <w:rPr>
                <w:rFonts w:ascii="Arial" w:cs="Arial" w:eastAsia="Arial" w:hAnsi="Arial"/>
                <w:sz w:val="19"/>
                <w:szCs w:val="19"/>
                <w:color w:val="auto"/>
              </w:rPr>
              <w:t>Emerging growth company:</w:t>
            </w:r>
          </w:p>
        </w:tc>
        <w:tc>
          <w:tcPr>
            <w:tcW w:w="540" w:type="dxa"/>
            <w:vAlign w:val="bottom"/>
          </w:tcPr>
          <w:p>
            <w:pPr>
              <w:ind w:left="360"/>
              <w:spacing w:after="0" w:line="191" w:lineRule="exact"/>
              <w:rPr>
                <w:sz w:val="20"/>
                <w:szCs w:val="20"/>
                <w:color w:val="auto"/>
              </w:rPr>
            </w:pPr>
            <w:r>
              <w:rPr>
                <w:rFonts w:ascii="MS PGothic" w:cs="MS PGothic" w:eastAsia="MS PGothic" w:hAnsi="MS PGothic"/>
                <w:sz w:val="19"/>
                <w:szCs w:val="19"/>
                <w:color w:val="auto"/>
                <w:w w:val="83"/>
              </w:rPr>
              <w:t>☐</w:t>
            </w:r>
          </w:p>
        </w:tc>
      </w:tr>
    </w:tbl>
    <w:p>
      <w:pPr>
        <w:spacing w:after="0" w:line="193" w:lineRule="exact"/>
        <w:rPr>
          <w:sz w:val="24"/>
          <w:szCs w:val="24"/>
          <w:color w:val="auto"/>
        </w:rPr>
      </w:pPr>
    </w:p>
    <w:p>
      <w:pPr>
        <w:ind w:left="6"/>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9"/>
          <w:szCs w:val="19"/>
          <w:color w:val="auto"/>
        </w:rPr>
        <w:t>☐</w:t>
      </w:r>
    </w:p>
    <w:p>
      <w:pPr>
        <w:spacing w:after="0" w:line="189" w:lineRule="exact"/>
        <w:rPr>
          <w:sz w:val="24"/>
          <w:szCs w:val="24"/>
          <w:color w:val="auto"/>
        </w:rPr>
      </w:pPr>
    </w:p>
    <w:tbl>
      <w:tblPr>
        <w:tblLayout w:type="fixed"/>
        <w:tblInd w:w="6" w:type="dxa"/>
        <w:tblCellMar>
          <w:top w:w="0" w:type="dxa"/>
          <w:left w:w="0" w:type="dxa"/>
          <w:bottom w:w="0" w:type="dxa"/>
          <w:right w:w="0" w:type="dxa"/>
        </w:tblCellMar>
      </w:tblPr>
      <w:tr>
        <w:trPr>
          <w:trHeight w:val="247"/>
        </w:trPr>
        <w:tc>
          <w:tcPr>
            <w:tcW w:w="4120" w:type="dxa"/>
            <w:vAlign w:val="bottom"/>
          </w:tcPr>
          <w:p>
            <w:pPr>
              <w:spacing w:after="0"/>
              <w:rPr>
                <w:sz w:val="21"/>
                <w:szCs w:val="21"/>
                <w:color w:val="auto"/>
              </w:rPr>
            </w:pPr>
          </w:p>
        </w:tc>
        <w:tc>
          <w:tcPr>
            <w:tcW w:w="3720" w:type="dxa"/>
            <w:vAlign w:val="bottom"/>
            <w:gridSpan w:val="4"/>
          </w:tcPr>
          <w:p>
            <w:pPr>
              <w:ind w:left="560"/>
              <w:spacing w:after="0"/>
              <w:rPr>
                <w:sz w:val="20"/>
                <w:szCs w:val="20"/>
                <w:color w:val="auto"/>
              </w:rPr>
            </w:pPr>
            <w:r>
              <w:rPr>
                <w:rFonts w:ascii="Arial" w:cs="Arial" w:eastAsia="Arial" w:hAnsi="Arial"/>
                <w:sz w:val="19"/>
                <w:szCs w:val="19"/>
                <w:b w:val="1"/>
                <w:bCs w:val="1"/>
                <w:color w:val="auto"/>
              </w:rPr>
              <w:t>C</w:t>
            </w:r>
            <w:r>
              <w:rPr>
                <w:rFonts w:ascii="Arial" w:cs="Arial" w:eastAsia="Arial" w:hAnsi="Arial"/>
                <w:sz w:val="12"/>
                <w:szCs w:val="12"/>
                <w:b w:val="1"/>
                <w:bCs w:val="1"/>
                <w:color w:val="auto"/>
              </w:rPr>
              <w:t>ALCULATION OF</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9"/>
                <w:szCs w:val="19"/>
                <w:b w:val="1"/>
                <w:bCs w:val="1"/>
                <w:color w:val="auto"/>
              </w:rPr>
              <w:t xml:space="preserve"> F</w:t>
            </w:r>
            <w:r>
              <w:rPr>
                <w:rFonts w:ascii="Arial" w:cs="Arial" w:eastAsia="Arial" w:hAnsi="Arial"/>
                <w:sz w:val="12"/>
                <w:szCs w:val="12"/>
                <w:b w:val="1"/>
                <w:bCs w:val="1"/>
                <w:color w:val="auto"/>
              </w:rPr>
              <w:t>EE</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43"/>
        </w:trPr>
        <w:tc>
          <w:tcPr>
            <w:tcW w:w="4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9"/>
                <w:szCs w:val="19"/>
                <w:color w:val="auto"/>
                <w:w w:val="88"/>
              </w:rPr>
              <w:t>Proposed</w:t>
            </w:r>
          </w:p>
        </w:tc>
        <w:tc>
          <w:tcPr>
            <w:tcW w:w="1440" w:type="dxa"/>
            <w:vAlign w:val="bottom"/>
            <w:gridSpan w:val="2"/>
          </w:tcPr>
          <w:p>
            <w:pPr>
              <w:jc w:val="center"/>
              <w:ind w:right="220"/>
              <w:spacing w:after="0"/>
              <w:rPr>
                <w:sz w:val="20"/>
                <w:szCs w:val="20"/>
                <w:color w:val="auto"/>
              </w:rPr>
            </w:pPr>
            <w:r>
              <w:rPr>
                <w:rFonts w:ascii="Arial" w:cs="Arial" w:eastAsia="Arial" w:hAnsi="Arial"/>
                <w:sz w:val="19"/>
                <w:szCs w:val="19"/>
                <w:color w:val="auto"/>
                <w:w w:val="86"/>
              </w:rPr>
              <w:t>Proposed</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4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9"/>
                <w:szCs w:val="19"/>
                <w:color w:val="auto"/>
                <w:w w:val="92"/>
              </w:rPr>
              <w:t>maximum</w:t>
            </w:r>
          </w:p>
        </w:tc>
        <w:tc>
          <w:tcPr>
            <w:tcW w:w="1440" w:type="dxa"/>
            <w:vAlign w:val="bottom"/>
            <w:gridSpan w:val="2"/>
          </w:tcPr>
          <w:p>
            <w:pPr>
              <w:jc w:val="center"/>
              <w:ind w:right="220"/>
              <w:spacing w:after="0"/>
              <w:rPr>
                <w:sz w:val="20"/>
                <w:szCs w:val="20"/>
                <w:color w:val="auto"/>
              </w:rPr>
            </w:pPr>
            <w:r>
              <w:rPr>
                <w:rFonts w:ascii="Arial" w:cs="Arial" w:eastAsia="Arial" w:hAnsi="Arial"/>
                <w:sz w:val="19"/>
                <w:szCs w:val="19"/>
                <w:color w:val="auto"/>
                <w:w w:val="94"/>
              </w:rPr>
              <w:t>maximum</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8"/>
        </w:trPr>
        <w:tc>
          <w:tcPr>
            <w:tcW w:w="4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9"/>
                <w:szCs w:val="19"/>
                <w:color w:val="auto"/>
                <w:w w:val="94"/>
              </w:rPr>
              <w:t>Amount</w:t>
            </w:r>
          </w:p>
        </w:tc>
        <w:tc>
          <w:tcPr>
            <w:tcW w:w="12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9"/>
                <w:szCs w:val="19"/>
                <w:color w:val="auto"/>
                <w:w w:val="94"/>
              </w:rPr>
              <w:t>offering</w:t>
            </w:r>
          </w:p>
        </w:tc>
        <w:tc>
          <w:tcPr>
            <w:tcW w:w="1440" w:type="dxa"/>
            <w:vAlign w:val="bottom"/>
            <w:gridSpan w:val="2"/>
          </w:tcPr>
          <w:p>
            <w:pPr>
              <w:jc w:val="center"/>
              <w:ind w:right="220"/>
              <w:spacing w:after="0"/>
              <w:rPr>
                <w:sz w:val="20"/>
                <w:szCs w:val="20"/>
                <w:color w:val="auto"/>
              </w:rPr>
            </w:pPr>
            <w:r>
              <w:rPr>
                <w:rFonts w:ascii="Arial" w:cs="Arial" w:eastAsia="Arial" w:hAnsi="Arial"/>
                <w:sz w:val="19"/>
                <w:szCs w:val="19"/>
                <w:color w:val="auto"/>
                <w:w w:val="86"/>
              </w:rPr>
              <w:t>aggregate</w:t>
            </w: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9"/>
                <w:szCs w:val="19"/>
                <w:color w:val="auto"/>
                <w:w w:val="94"/>
              </w:rPr>
              <w:t>Amount of</w:t>
            </w:r>
          </w:p>
        </w:tc>
      </w:tr>
      <w:tr>
        <w:trPr>
          <w:trHeight w:val="230"/>
        </w:trPr>
        <w:tc>
          <w:tcPr>
            <w:tcW w:w="4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9"/>
                <w:szCs w:val="19"/>
                <w:color w:val="auto"/>
                <w:w w:val="89"/>
              </w:rPr>
              <w:t>to be</w:t>
            </w:r>
          </w:p>
        </w:tc>
        <w:tc>
          <w:tcPr>
            <w:tcW w:w="12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9"/>
                <w:szCs w:val="19"/>
                <w:color w:val="auto"/>
                <w:w w:val="92"/>
              </w:rPr>
              <w:t>price</w:t>
            </w:r>
          </w:p>
        </w:tc>
        <w:tc>
          <w:tcPr>
            <w:tcW w:w="1440" w:type="dxa"/>
            <w:vAlign w:val="bottom"/>
            <w:gridSpan w:val="2"/>
          </w:tcPr>
          <w:p>
            <w:pPr>
              <w:jc w:val="center"/>
              <w:ind w:right="220"/>
              <w:spacing w:after="0"/>
              <w:rPr>
                <w:sz w:val="20"/>
                <w:szCs w:val="20"/>
                <w:color w:val="auto"/>
              </w:rPr>
            </w:pPr>
            <w:r>
              <w:rPr>
                <w:rFonts w:ascii="Arial" w:cs="Arial" w:eastAsia="Arial" w:hAnsi="Arial"/>
                <w:sz w:val="19"/>
                <w:szCs w:val="19"/>
                <w:color w:val="auto"/>
                <w:w w:val="97"/>
              </w:rPr>
              <w:t>offering</w:t>
            </w:r>
          </w:p>
        </w:tc>
        <w:tc>
          <w:tcPr>
            <w:tcW w:w="12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9"/>
                <w:szCs w:val="19"/>
                <w:color w:val="auto"/>
                <w:w w:val="91"/>
              </w:rPr>
              <w:t>registration</w:t>
            </w:r>
          </w:p>
        </w:tc>
      </w:tr>
      <w:tr>
        <w:trPr>
          <w:trHeight w:val="292"/>
        </w:trPr>
        <w:tc>
          <w:tcPr>
            <w:tcW w:w="4120" w:type="dxa"/>
            <w:vAlign w:val="bottom"/>
          </w:tcPr>
          <w:p>
            <w:pPr>
              <w:spacing w:after="0"/>
              <w:rPr>
                <w:sz w:val="20"/>
                <w:szCs w:val="20"/>
                <w:color w:val="auto"/>
              </w:rPr>
            </w:pPr>
            <w:r>
              <w:rPr>
                <w:rFonts w:ascii="Arial" w:cs="Arial" w:eastAsia="Arial" w:hAnsi="Arial"/>
                <w:sz w:val="19"/>
                <w:szCs w:val="19"/>
                <w:color w:val="auto"/>
              </w:rPr>
              <w:t>Title of each class of securities to be registered</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60"/>
              <w:spacing w:after="0" w:line="283" w:lineRule="exact"/>
              <w:rPr>
                <w:sz w:val="20"/>
                <w:szCs w:val="20"/>
                <w:color w:val="auto"/>
              </w:rPr>
            </w:pPr>
            <w:r>
              <w:rPr>
                <w:rFonts w:ascii="Arial" w:cs="Arial" w:eastAsia="Arial" w:hAnsi="Arial"/>
                <w:sz w:val="19"/>
                <w:szCs w:val="19"/>
                <w:color w:val="auto"/>
                <w:w w:val="85"/>
              </w:rPr>
              <w:t xml:space="preserve">registered </w:t>
            </w:r>
            <w:r>
              <w:rPr>
                <w:rFonts w:ascii="Arial" w:cs="Arial" w:eastAsia="Arial" w:hAnsi="Arial"/>
                <w:sz w:val="31"/>
                <w:szCs w:val="31"/>
                <w:color w:val="auto"/>
                <w:w w:val="85"/>
                <w:vertAlign w:val="superscript"/>
              </w:rPr>
              <w:t>(1)</w:t>
            </w:r>
          </w:p>
        </w:tc>
        <w:tc>
          <w:tcPr>
            <w:tcW w:w="120" w:type="dxa"/>
            <w:vAlign w:val="bottom"/>
          </w:tcPr>
          <w:p>
            <w:pPr>
              <w:spacing w:after="0"/>
              <w:rPr>
                <w:sz w:val="24"/>
                <w:szCs w:val="24"/>
                <w:color w:val="auto"/>
              </w:rPr>
            </w:pPr>
          </w:p>
        </w:tc>
        <w:tc>
          <w:tcPr>
            <w:tcW w:w="1300" w:type="dxa"/>
            <w:vAlign w:val="bottom"/>
            <w:gridSpan w:val="2"/>
          </w:tcPr>
          <w:p>
            <w:pPr>
              <w:jc w:val="center"/>
              <w:ind w:right="340"/>
              <w:spacing w:after="0" w:line="283" w:lineRule="exact"/>
              <w:rPr>
                <w:sz w:val="20"/>
                <w:szCs w:val="20"/>
                <w:color w:val="auto"/>
              </w:rPr>
            </w:pPr>
            <w:r>
              <w:rPr>
                <w:rFonts w:ascii="Arial" w:cs="Arial" w:eastAsia="Arial" w:hAnsi="Arial"/>
                <w:sz w:val="19"/>
                <w:szCs w:val="19"/>
                <w:color w:val="auto"/>
                <w:w w:val="82"/>
              </w:rPr>
              <w:t xml:space="preserve">per share </w:t>
            </w:r>
            <w:r>
              <w:rPr>
                <w:rFonts w:ascii="Arial" w:cs="Arial" w:eastAsia="Arial" w:hAnsi="Arial"/>
                <w:sz w:val="31"/>
                <w:szCs w:val="31"/>
                <w:color w:val="auto"/>
                <w:w w:val="82"/>
                <w:vertAlign w:val="superscript"/>
              </w:rPr>
              <w:t>(2)</w:t>
            </w:r>
          </w:p>
        </w:tc>
        <w:tc>
          <w:tcPr>
            <w:tcW w:w="1440" w:type="dxa"/>
            <w:vAlign w:val="bottom"/>
            <w:gridSpan w:val="2"/>
          </w:tcPr>
          <w:p>
            <w:pPr>
              <w:jc w:val="center"/>
              <w:ind w:right="220"/>
              <w:spacing w:after="0"/>
              <w:rPr>
                <w:sz w:val="20"/>
                <w:szCs w:val="20"/>
                <w:color w:val="auto"/>
              </w:rPr>
            </w:pPr>
            <w:r>
              <w:rPr>
                <w:rFonts w:ascii="Arial" w:cs="Arial" w:eastAsia="Arial" w:hAnsi="Arial"/>
                <w:sz w:val="19"/>
                <w:szCs w:val="19"/>
                <w:color w:val="auto"/>
                <w:w w:val="92"/>
              </w:rPr>
              <w:t>price</w:t>
            </w:r>
          </w:p>
        </w:tc>
        <w:tc>
          <w:tcPr>
            <w:tcW w:w="12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9"/>
                <w:szCs w:val="19"/>
                <w:color w:val="auto"/>
                <w:w w:val="90"/>
              </w:rPr>
              <w:t>fee</w:t>
            </w:r>
          </w:p>
        </w:tc>
      </w:tr>
      <w:tr>
        <w:trPr>
          <w:trHeight w:val="228"/>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9"/>
                <w:szCs w:val="19"/>
                <w:color w:val="auto"/>
              </w:rPr>
              <w:t>Common Stock $0.001 par value</w:t>
            </w:r>
          </w:p>
        </w:tc>
        <w:tc>
          <w:tcPr>
            <w:tcW w:w="2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1,116,666</w:t>
            </w: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14.72</w:t>
            </w:r>
          </w:p>
        </w:tc>
        <w:tc>
          <w:tcPr>
            <w:tcW w:w="2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9"/>
                <w:szCs w:val="19"/>
                <w:color w:val="auto"/>
                <w:w w:val="88"/>
              </w:rPr>
              <w:t>$ 16,437,323.52</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9"/>
                <w:szCs w:val="19"/>
                <w:color w:val="auto"/>
              </w:rPr>
              <w:t>1,992.20</w:t>
            </w:r>
          </w:p>
        </w:tc>
        <w:tc>
          <w:tcPr>
            <w:tcW w:w="120" w:type="dxa"/>
            <w:vAlign w:val="bottom"/>
            <w:tcBorders>
              <w:top w:val="single" w:sz="8" w:color="CCEEFF"/>
            </w:tcBorders>
            <w:shd w:val="clear" w:color="auto" w:fill="CCEEFF"/>
          </w:tcPr>
          <w:p>
            <w:pPr>
              <w:spacing w:after="0"/>
              <w:rPr>
                <w:sz w:val="19"/>
                <w:szCs w:val="19"/>
                <w:color w:val="auto"/>
              </w:rPr>
            </w:pPr>
          </w:p>
        </w:tc>
      </w:tr>
    </w:tbl>
    <w:p>
      <w:pPr>
        <w:spacing w:after="0" w:line="214" w:lineRule="exact"/>
        <w:rPr>
          <w:sz w:val="24"/>
          <w:szCs w:val="24"/>
          <w:color w:val="auto"/>
        </w:rPr>
      </w:pPr>
    </w:p>
    <w:p>
      <w:pPr>
        <w:jc w:val="both"/>
        <w:ind w:left="346" w:hanging="346"/>
        <w:spacing w:after="0" w:line="217" w:lineRule="auto"/>
        <w:tabs>
          <w:tab w:leader="none" w:pos="346" w:val="left"/>
        </w:tabs>
        <w:numPr>
          <w:ilvl w:val="0"/>
          <w:numId w:val="1"/>
        </w:numPr>
        <w:rPr>
          <w:rFonts w:ascii="Arial" w:cs="Arial" w:eastAsia="Arial" w:hAnsi="Arial"/>
          <w:sz w:val="32"/>
          <w:szCs w:val="32"/>
          <w:color w:val="auto"/>
          <w:vertAlign w:val="superscript"/>
        </w:rPr>
      </w:pPr>
      <w:r>
        <w:rPr>
          <w:rFonts w:ascii="Arial" w:cs="Arial" w:eastAsia="Arial" w:hAnsi="Arial"/>
          <w:sz w:val="19"/>
          <w:szCs w:val="19"/>
          <w:color w:val="auto"/>
        </w:rPr>
        <w:t>An aggregate of 1,116,666 shares of Common Stock may be offered or issued pursuant to the Amended and Restated 2013 OptimizeRx Corp. 2015 Equity Incentive Plan (the “Plan”). In addition, pursuant to Rule 416(c) under the Securities Act of 1933, as amended (the “Securities Act”), this Registration Statement also covers an indeterminate number of shares of Common Stock that may be offered or issued by reason of stock splits, stock dividends or similar transactions that become issuable under the Plan.</w:t>
      </w:r>
    </w:p>
    <w:p>
      <w:pPr>
        <w:spacing w:after="0" w:line="244" w:lineRule="exact"/>
        <w:rPr>
          <w:rFonts w:ascii="Arial" w:cs="Arial" w:eastAsia="Arial" w:hAnsi="Arial"/>
          <w:sz w:val="32"/>
          <w:szCs w:val="32"/>
          <w:color w:val="auto"/>
          <w:vertAlign w:val="superscript"/>
        </w:rPr>
      </w:pPr>
    </w:p>
    <w:p>
      <w:pPr>
        <w:jc w:val="both"/>
        <w:ind w:left="346" w:hanging="346"/>
        <w:spacing w:after="0" w:line="208" w:lineRule="auto"/>
        <w:tabs>
          <w:tab w:leader="none" w:pos="346" w:val="left"/>
        </w:tabs>
        <w:numPr>
          <w:ilvl w:val="0"/>
          <w:numId w:val="1"/>
        </w:numPr>
        <w:rPr>
          <w:rFonts w:ascii="Arial" w:cs="Arial" w:eastAsia="Arial" w:hAnsi="Arial"/>
          <w:sz w:val="32"/>
          <w:szCs w:val="32"/>
          <w:color w:val="auto"/>
          <w:vertAlign w:val="superscript"/>
        </w:rPr>
      </w:pPr>
      <w:r>
        <w:rPr>
          <w:rFonts w:ascii="Arial" w:cs="Arial" w:eastAsia="Arial" w:hAnsi="Arial"/>
          <w:sz w:val="19"/>
          <w:szCs w:val="19"/>
          <w:color w:val="auto"/>
        </w:rPr>
        <w:t>Estimated in accordance with Rule 457(c) promulgated under the Securities Act solely for the purpose of calculating the amount of the registration fee on the basis of the average of the high and low price per share of the Registrant’s Common Stock as reported on the Nasdaq Capital Market on March 8, 2019.</w:t>
      </w:r>
    </w:p>
    <w:p>
      <w:pPr>
        <w:spacing w:after="0" w:line="215" w:lineRule="exact"/>
        <w:rPr>
          <w:sz w:val="24"/>
          <w:szCs w:val="24"/>
          <w:color w:val="auto"/>
        </w:rPr>
      </w:pPr>
    </w:p>
    <w:p>
      <w:pPr>
        <w:ind w:left="6"/>
        <w:spacing w:after="0"/>
        <w:rPr>
          <w:sz w:val="20"/>
          <w:szCs w:val="20"/>
          <w:color w:val="auto"/>
        </w:rPr>
      </w:pPr>
      <w:r>
        <w:rPr>
          <w:rFonts w:ascii="Arial" w:cs="Arial" w:eastAsia="Arial" w:hAnsi="Arial"/>
          <w:sz w:val="19"/>
          <w:szCs w:val="19"/>
          <w:color w:val="auto"/>
        </w:rPr>
        <w:t>This registration statement shall become effective upon filing in accordance with Rule 462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178435</wp:posOffset>
            </wp:positionV>
            <wp:extent cx="762508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273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495300</wp:posOffset>
            </wp:positionV>
            <wp:extent cx="762508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421" w:right="120" w:bottom="81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0" w:type="dxa"/>
            <w:vAlign w:val="bottom"/>
          </w:tcPr>
          <w:p>
            <w:pPr>
              <w:jc w:val="right"/>
              <w:ind w:right="5165"/>
              <w:spacing w:after="0"/>
              <w:rPr>
                <w:sz w:val="20"/>
                <w:szCs w:val="20"/>
                <w:color w:val="auto"/>
              </w:rPr>
            </w:pPr>
            <w:r>
              <w:rPr>
                <w:rFonts w:ascii="Arial" w:cs="Arial" w:eastAsia="Arial" w:hAnsi="Arial"/>
                <w:sz w:val="19"/>
                <w:szCs w:val="19"/>
                <w:b w:val="1"/>
                <w:bCs w:val="1"/>
                <w:color w:val="auto"/>
              </w:rPr>
              <w:t>T</w:t>
            </w:r>
            <w:r>
              <w:rPr>
                <w:rFonts w:ascii="Arial" w:cs="Arial" w:eastAsia="Arial" w:hAnsi="Arial"/>
                <w:sz w:val="12"/>
                <w:szCs w:val="12"/>
                <w:b w:val="1"/>
                <w:bCs w:val="1"/>
                <w:color w:val="auto"/>
              </w:rPr>
              <w:t>ABLE OF</w:t>
            </w:r>
            <w:r>
              <w:rPr>
                <w:rFonts w:ascii="Arial" w:cs="Arial" w:eastAsia="Arial" w:hAnsi="Arial"/>
                <w:sz w:val="19"/>
                <w:szCs w:val="19"/>
                <w:b w:val="1"/>
                <w:bCs w:val="1"/>
                <w:color w:val="auto"/>
              </w:rPr>
              <w:t xml:space="preserve"> C</w:t>
            </w:r>
            <w:r>
              <w:rPr>
                <w:rFonts w:ascii="Arial" w:cs="Arial" w:eastAsia="Arial" w:hAnsi="Arial"/>
                <w:sz w:val="12"/>
                <w:szCs w:val="12"/>
                <w:b w:val="1"/>
                <w:bCs w:val="1"/>
                <w:color w:val="auto"/>
              </w:rPr>
              <w:t>ONTENTS</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12"/>
            <w:shd w:val="clear" w:color="auto" w:fill="CCEEFF"/>
          </w:tcPr>
          <w:p>
            <w:pPr>
              <w:spacing w:after="0" w:line="185" w:lineRule="exact"/>
              <w:rPr>
                <w:rFonts w:ascii="Arial" w:cs="Arial" w:eastAsia="Arial" w:hAnsi="Arial"/>
                <w:sz w:val="19"/>
                <w:szCs w:val="19"/>
                <w:b w:val="1"/>
                <w:bCs w:val="1"/>
                <w:color w:val="0000EE"/>
              </w:rPr>
            </w:pPr>
            <w:hyperlink w:anchor="page3">
              <w:r>
                <w:rPr>
                  <w:rFonts w:ascii="Arial" w:cs="Arial" w:eastAsia="Arial" w:hAnsi="Arial"/>
                  <w:sz w:val="19"/>
                  <w:szCs w:val="19"/>
                  <w:b w:val="1"/>
                  <w:bCs w:val="1"/>
                  <w:color w:val="0000EE"/>
                </w:rPr>
                <w:t>PART I</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980" w:type="dxa"/>
            <w:vAlign w:val="bottom"/>
            <w:gridSpan w:val="12"/>
            <w:shd w:val="clear" w:color="auto" w:fill="CCEEFF"/>
          </w:tcPr>
          <w:p>
            <w:pPr>
              <w:spacing w:after="0" w:line="185" w:lineRule="exact"/>
              <w:rPr>
                <w:rFonts w:ascii="Arial" w:cs="Arial" w:eastAsia="Arial" w:hAnsi="Arial"/>
                <w:sz w:val="19"/>
                <w:szCs w:val="19"/>
                <w:b w:val="1"/>
                <w:bCs w:val="1"/>
                <w:color w:val="0000EE"/>
              </w:rPr>
            </w:pPr>
            <w:hyperlink w:anchor="page4">
              <w:r>
                <w:rPr>
                  <w:rFonts w:ascii="Arial" w:cs="Arial" w:eastAsia="Arial" w:hAnsi="Arial"/>
                  <w:sz w:val="19"/>
                  <w:szCs w:val="19"/>
                  <w:b w:val="1"/>
                  <w:bCs w:val="1"/>
                  <w:color w:val="0000EE"/>
                </w:rPr>
                <w:t>PART II</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gridSpan w:val="9"/>
            <w:shd w:val="clear" w:color="auto" w:fill="CCEEFF"/>
          </w:tcPr>
          <w:p>
            <w:pPr>
              <w:spacing w:after="0" w:line="185" w:lineRule="exact"/>
              <w:rPr>
                <w:rFonts w:ascii="Arial" w:cs="Arial" w:eastAsia="Arial" w:hAnsi="Arial"/>
                <w:sz w:val="19"/>
                <w:szCs w:val="19"/>
                <w:b w:val="1"/>
                <w:bCs w:val="1"/>
                <w:color w:val="0000EE"/>
              </w:rPr>
            </w:pPr>
            <w:hyperlink w:anchor="page4">
              <w:r>
                <w:rPr>
                  <w:rFonts w:ascii="Arial" w:cs="Arial" w:eastAsia="Arial" w:hAnsi="Arial"/>
                  <w:sz w:val="19"/>
                  <w:szCs w:val="19"/>
                  <w:b w:val="1"/>
                  <w:bCs w:val="1"/>
                  <w:color w:val="0000EE"/>
                </w:rPr>
                <w:t>I</w:t>
              </w:r>
              <w:r>
                <w:rPr>
                  <w:rFonts w:ascii="Arial" w:cs="Arial" w:eastAsia="Arial" w:hAnsi="Arial"/>
                  <w:sz w:val="12"/>
                  <w:szCs w:val="12"/>
                  <w:b w:val="1"/>
                  <w:bCs w:val="1"/>
                  <w:color w:val="0000EE"/>
                </w:rPr>
                <w:t>TEM</w:t>
              </w:r>
              <w:r>
                <w:rPr>
                  <w:rFonts w:ascii="Arial" w:cs="Arial" w:eastAsia="Arial" w:hAnsi="Arial"/>
                  <w:sz w:val="19"/>
                  <w:szCs w:val="19"/>
                  <w:b w:val="1"/>
                  <w:bCs w:val="1"/>
                  <w:color w:val="0000EE"/>
                </w:rPr>
                <w:t xml:space="preserve"> 3. I</w:t>
              </w:r>
              <w:r>
                <w:rPr>
                  <w:rFonts w:ascii="Arial" w:cs="Arial" w:eastAsia="Arial" w:hAnsi="Arial"/>
                  <w:sz w:val="12"/>
                  <w:szCs w:val="12"/>
                  <w:b w:val="1"/>
                  <w:bCs w:val="1"/>
                  <w:color w:val="0000EE"/>
                </w:rPr>
                <w:t>NCORPORATION OF</w:t>
              </w:r>
              <w:r>
                <w:rPr>
                  <w:rFonts w:ascii="Arial" w:cs="Arial" w:eastAsia="Arial" w:hAnsi="Arial"/>
                  <w:sz w:val="19"/>
                  <w:szCs w:val="19"/>
                  <w:b w:val="1"/>
                  <w:bCs w:val="1"/>
                  <w:color w:val="0000EE"/>
                </w:rPr>
                <w:t xml:space="preserve"> D</w:t>
              </w:r>
              <w:r>
                <w:rPr>
                  <w:rFonts w:ascii="Arial" w:cs="Arial" w:eastAsia="Arial" w:hAnsi="Arial"/>
                  <w:sz w:val="12"/>
                  <w:szCs w:val="12"/>
                  <w:b w:val="1"/>
                  <w:bCs w:val="1"/>
                  <w:color w:val="0000EE"/>
                </w:rPr>
                <w:t>OCUMENTS BY</w:t>
              </w:r>
              <w:r>
                <w:rPr>
                  <w:rFonts w:ascii="Arial" w:cs="Arial" w:eastAsia="Arial" w:hAnsi="Arial"/>
                  <w:sz w:val="19"/>
                  <w:szCs w:val="19"/>
                  <w:b w:val="1"/>
                  <w:bCs w:val="1"/>
                  <w:color w:val="0000EE"/>
                </w:rPr>
                <w:t xml:space="preserve"> R</w:t>
              </w:r>
              <w:r>
                <w:rPr>
                  <w:rFonts w:ascii="Arial" w:cs="Arial" w:eastAsia="Arial" w:hAnsi="Arial"/>
                  <w:sz w:val="12"/>
                  <w:szCs w:val="12"/>
                  <w:b w:val="1"/>
                  <w:bCs w:val="1"/>
                  <w:color w:val="0000EE"/>
                </w:rPr>
                <w:t>EFERENCE</w:t>
              </w:r>
              <w:r>
                <w:rPr>
                  <w:rFonts w:ascii="Arial" w:cs="Arial" w:eastAsia="Arial" w:hAnsi="Arial"/>
                  <w:sz w:val="19"/>
                  <w:szCs w:val="19"/>
                  <w:b w:val="1"/>
                  <w:bCs w:val="1"/>
                  <w:color w:val="0000EE"/>
                </w:rPr>
                <w:t>.</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gridSpan w:val="9"/>
            <w:shd w:val="clear" w:color="auto" w:fill="CCEEFF"/>
          </w:tcPr>
          <w:p>
            <w:pPr>
              <w:spacing w:after="0" w:line="185" w:lineRule="exact"/>
              <w:rPr>
                <w:rFonts w:ascii="Arial" w:cs="Arial" w:eastAsia="Arial" w:hAnsi="Arial"/>
                <w:sz w:val="19"/>
                <w:szCs w:val="19"/>
                <w:b w:val="1"/>
                <w:bCs w:val="1"/>
                <w:color w:val="0000EE"/>
              </w:rPr>
            </w:pPr>
            <w:hyperlink w:anchor="page5">
              <w:r>
                <w:rPr>
                  <w:rFonts w:ascii="Arial" w:cs="Arial" w:eastAsia="Arial" w:hAnsi="Arial"/>
                  <w:sz w:val="19"/>
                  <w:szCs w:val="19"/>
                  <w:b w:val="1"/>
                  <w:bCs w:val="1"/>
                  <w:color w:val="0000EE"/>
                </w:rPr>
                <w:t>I</w:t>
              </w:r>
              <w:r>
                <w:rPr>
                  <w:rFonts w:ascii="Arial" w:cs="Arial" w:eastAsia="Arial" w:hAnsi="Arial"/>
                  <w:sz w:val="12"/>
                  <w:szCs w:val="12"/>
                  <w:b w:val="1"/>
                  <w:bCs w:val="1"/>
                  <w:color w:val="0000EE"/>
                </w:rPr>
                <w:t>TEM</w:t>
              </w:r>
              <w:r>
                <w:rPr>
                  <w:rFonts w:ascii="Arial" w:cs="Arial" w:eastAsia="Arial" w:hAnsi="Arial"/>
                  <w:sz w:val="19"/>
                  <w:szCs w:val="19"/>
                  <w:b w:val="1"/>
                  <w:bCs w:val="1"/>
                  <w:color w:val="0000EE"/>
                </w:rPr>
                <w:t xml:space="preserve"> 4. D</w:t>
              </w:r>
              <w:r>
                <w:rPr>
                  <w:rFonts w:ascii="Arial" w:cs="Arial" w:eastAsia="Arial" w:hAnsi="Arial"/>
                  <w:sz w:val="12"/>
                  <w:szCs w:val="12"/>
                  <w:b w:val="1"/>
                  <w:bCs w:val="1"/>
                  <w:color w:val="0000EE"/>
                </w:rPr>
                <w:t>ESCRIPTION OF</w:t>
              </w:r>
              <w:r>
                <w:rPr>
                  <w:rFonts w:ascii="Arial" w:cs="Arial" w:eastAsia="Arial" w:hAnsi="Arial"/>
                  <w:sz w:val="19"/>
                  <w:szCs w:val="19"/>
                  <w:b w:val="1"/>
                  <w:bCs w:val="1"/>
                  <w:color w:val="0000EE"/>
                </w:rPr>
                <w:t xml:space="preserve"> S</w:t>
              </w:r>
              <w:r>
                <w:rPr>
                  <w:rFonts w:ascii="Arial" w:cs="Arial" w:eastAsia="Arial" w:hAnsi="Arial"/>
                  <w:sz w:val="12"/>
                  <w:szCs w:val="12"/>
                  <w:b w:val="1"/>
                  <w:bCs w:val="1"/>
                  <w:color w:val="0000EE"/>
                </w:rPr>
                <w:t>ECURITIES</w:t>
              </w:r>
              <w:r>
                <w:rPr>
                  <w:rFonts w:ascii="Arial" w:cs="Arial" w:eastAsia="Arial" w:hAnsi="Arial"/>
                  <w:sz w:val="19"/>
                  <w:szCs w:val="19"/>
                  <w:b w:val="1"/>
                  <w:bCs w:val="1"/>
                  <w:color w:val="0000EE"/>
                </w:rPr>
                <w:t>.</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gridSpan w:val="9"/>
            <w:shd w:val="clear" w:color="auto" w:fill="CCEEFF"/>
          </w:tcPr>
          <w:p>
            <w:pPr>
              <w:spacing w:after="0" w:line="185" w:lineRule="exact"/>
              <w:rPr>
                <w:rFonts w:ascii="Arial" w:cs="Arial" w:eastAsia="Arial" w:hAnsi="Arial"/>
                <w:sz w:val="19"/>
                <w:szCs w:val="19"/>
                <w:b w:val="1"/>
                <w:bCs w:val="1"/>
                <w:color w:val="0000EE"/>
              </w:rPr>
            </w:pPr>
            <w:hyperlink w:anchor="page5">
              <w:r>
                <w:rPr>
                  <w:rFonts w:ascii="Arial" w:cs="Arial" w:eastAsia="Arial" w:hAnsi="Arial"/>
                  <w:sz w:val="19"/>
                  <w:szCs w:val="19"/>
                  <w:b w:val="1"/>
                  <w:bCs w:val="1"/>
                  <w:color w:val="0000EE"/>
                </w:rPr>
                <w:t>I</w:t>
              </w:r>
              <w:r>
                <w:rPr>
                  <w:rFonts w:ascii="Arial" w:cs="Arial" w:eastAsia="Arial" w:hAnsi="Arial"/>
                  <w:sz w:val="12"/>
                  <w:szCs w:val="12"/>
                  <w:b w:val="1"/>
                  <w:bCs w:val="1"/>
                  <w:color w:val="0000EE"/>
                </w:rPr>
                <w:t>TEM</w:t>
              </w:r>
              <w:r>
                <w:rPr>
                  <w:rFonts w:ascii="Arial" w:cs="Arial" w:eastAsia="Arial" w:hAnsi="Arial"/>
                  <w:sz w:val="19"/>
                  <w:szCs w:val="19"/>
                  <w:b w:val="1"/>
                  <w:bCs w:val="1"/>
                  <w:color w:val="0000EE"/>
                </w:rPr>
                <w:t xml:space="preserve"> 5. I</w:t>
              </w:r>
              <w:r>
                <w:rPr>
                  <w:rFonts w:ascii="Arial" w:cs="Arial" w:eastAsia="Arial" w:hAnsi="Arial"/>
                  <w:sz w:val="12"/>
                  <w:szCs w:val="12"/>
                  <w:b w:val="1"/>
                  <w:bCs w:val="1"/>
                  <w:color w:val="0000EE"/>
                </w:rPr>
                <w:t>NTERESTS OF</w:t>
              </w:r>
              <w:r>
                <w:rPr>
                  <w:rFonts w:ascii="Arial" w:cs="Arial" w:eastAsia="Arial" w:hAnsi="Arial"/>
                  <w:sz w:val="19"/>
                  <w:szCs w:val="19"/>
                  <w:b w:val="1"/>
                  <w:bCs w:val="1"/>
                  <w:color w:val="0000EE"/>
                </w:rPr>
                <w:t xml:space="preserve"> N</w:t>
              </w:r>
              <w:r>
                <w:rPr>
                  <w:rFonts w:ascii="Arial" w:cs="Arial" w:eastAsia="Arial" w:hAnsi="Arial"/>
                  <w:sz w:val="12"/>
                  <w:szCs w:val="12"/>
                  <w:b w:val="1"/>
                  <w:bCs w:val="1"/>
                  <w:color w:val="0000EE"/>
                </w:rPr>
                <w:t>AMED</w:t>
              </w:r>
              <w:r>
                <w:rPr>
                  <w:rFonts w:ascii="Arial" w:cs="Arial" w:eastAsia="Arial" w:hAnsi="Arial"/>
                  <w:sz w:val="19"/>
                  <w:szCs w:val="19"/>
                  <w:b w:val="1"/>
                  <w:bCs w:val="1"/>
                  <w:color w:val="0000EE"/>
                </w:rPr>
                <w:t xml:space="preserve"> E</w:t>
              </w:r>
              <w:r>
                <w:rPr>
                  <w:rFonts w:ascii="Arial" w:cs="Arial" w:eastAsia="Arial" w:hAnsi="Arial"/>
                  <w:sz w:val="12"/>
                  <w:szCs w:val="12"/>
                  <w:b w:val="1"/>
                  <w:bCs w:val="1"/>
                  <w:color w:val="0000EE"/>
                </w:rPr>
                <w:t>XPERTS AND</w:t>
              </w:r>
              <w:r>
                <w:rPr>
                  <w:rFonts w:ascii="Arial" w:cs="Arial" w:eastAsia="Arial" w:hAnsi="Arial"/>
                  <w:sz w:val="19"/>
                  <w:szCs w:val="19"/>
                  <w:b w:val="1"/>
                  <w:bCs w:val="1"/>
                  <w:color w:val="0000EE"/>
                </w:rPr>
                <w:t xml:space="preserve"> C</w:t>
              </w:r>
              <w:r>
                <w:rPr>
                  <w:rFonts w:ascii="Arial" w:cs="Arial" w:eastAsia="Arial" w:hAnsi="Arial"/>
                  <w:sz w:val="12"/>
                  <w:szCs w:val="12"/>
                  <w:b w:val="1"/>
                  <w:bCs w:val="1"/>
                  <w:color w:val="0000EE"/>
                </w:rPr>
                <w:t>OUNSEL</w:t>
              </w:r>
              <w:r>
                <w:rPr>
                  <w:rFonts w:ascii="Arial" w:cs="Arial" w:eastAsia="Arial" w:hAnsi="Arial"/>
                  <w:sz w:val="19"/>
                  <w:szCs w:val="19"/>
                  <w:b w:val="1"/>
                  <w:bCs w:val="1"/>
                  <w:color w:val="0000EE"/>
                </w:rPr>
                <w:t>.</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gridSpan w:val="9"/>
            <w:shd w:val="clear" w:color="auto" w:fill="CCEEFF"/>
          </w:tcPr>
          <w:p>
            <w:pPr>
              <w:spacing w:after="0" w:line="185" w:lineRule="exact"/>
              <w:rPr>
                <w:rFonts w:ascii="Arial" w:cs="Arial" w:eastAsia="Arial" w:hAnsi="Arial"/>
                <w:sz w:val="19"/>
                <w:szCs w:val="19"/>
                <w:b w:val="1"/>
                <w:bCs w:val="1"/>
                <w:color w:val="0000EE"/>
              </w:rPr>
            </w:pPr>
            <w:hyperlink w:anchor="page5">
              <w:r>
                <w:rPr>
                  <w:rFonts w:ascii="Arial" w:cs="Arial" w:eastAsia="Arial" w:hAnsi="Arial"/>
                  <w:sz w:val="19"/>
                  <w:szCs w:val="19"/>
                  <w:b w:val="1"/>
                  <w:bCs w:val="1"/>
                  <w:color w:val="0000EE"/>
                </w:rPr>
                <w:t>I</w:t>
              </w:r>
              <w:r>
                <w:rPr>
                  <w:rFonts w:ascii="Arial" w:cs="Arial" w:eastAsia="Arial" w:hAnsi="Arial"/>
                  <w:sz w:val="12"/>
                  <w:szCs w:val="12"/>
                  <w:b w:val="1"/>
                  <w:bCs w:val="1"/>
                  <w:color w:val="0000EE"/>
                </w:rPr>
                <w:t>TEM</w:t>
              </w:r>
              <w:r>
                <w:rPr>
                  <w:rFonts w:ascii="Arial" w:cs="Arial" w:eastAsia="Arial" w:hAnsi="Arial"/>
                  <w:sz w:val="19"/>
                  <w:szCs w:val="19"/>
                  <w:b w:val="1"/>
                  <w:bCs w:val="1"/>
                  <w:color w:val="0000EE"/>
                </w:rPr>
                <w:t xml:space="preserve"> 6. I</w:t>
              </w:r>
              <w:r>
                <w:rPr>
                  <w:rFonts w:ascii="Arial" w:cs="Arial" w:eastAsia="Arial" w:hAnsi="Arial"/>
                  <w:sz w:val="12"/>
                  <w:szCs w:val="12"/>
                  <w:b w:val="1"/>
                  <w:bCs w:val="1"/>
                  <w:color w:val="0000EE"/>
                </w:rPr>
                <w:t>NDEMNIFICATION OF</w:t>
              </w:r>
              <w:r>
                <w:rPr>
                  <w:rFonts w:ascii="Arial" w:cs="Arial" w:eastAsia="Arial" w:hAnsi="Arial"/>
                  <w:sz w:val="19"/>
                  <w:szCs w:val="19"/>
                  <w:b w:val="1"/>
                  <w:bCs w:val="1"/>
                  <w:color w:val="0000EE"/>
                </w:rPr>
                <w:t xml:space="preserve"> D</w:t>
              </w:r>
              <w:r>
                <w:rPr>
                  <w:rFonts w:ascii="Arial" w:cs="Arial" w:eastAsia="Arial" w:hAnsi="Arial"/>
                  <w:sz w:val="12"/>
                  <w:szCs w:val="12"/>
                  <w:b w:val="1"/>
                  <w:bCs w:val="1"/>
                  <w:color w:val="0000EE"/>
                </w:rPr>
                <w:t>IRECTORS AND</w:t>
              </w:r>
              <w:r>
                <w:rPr>
                  <w:rFonts w:ascii="Arial" w:cs="Arial" w:eastAsia="Arial" w:hAnsi="Arial"/>
                  <w:sz w:val="19"/>
                  <w:szCs w:val="19"/>
                  <w:b w:val="1"/>
                  <w:bCs w:val="1"/>
                  <w:color w:val="0000EE"/>
                </w:rPr>
                <w:t xml:space="preserve"> O</w:t>
              </w:r>
              <w:r>
                <w:rPr>
                  <w:rFonts w:ascii="Arial" w:cs="Arial" w:eastAsia="Arial" w:hAnsi="Arial"/>
                  <w:sz w:val="12"/>
                  <w:szCs w:val="12"/>
                  <w:b w:val="1"/>
                  <w:bCs w:val="1"/>
                  <w:color w:val="0000EE"/>
                </w:rPr>
                <w:t>FFICERS</w:t>
              </w:r>
              <w:r>
                <w:rPr>
                  <w:rFonts w:ascii="Arial" w:cs="Arial" w:eastAsia="Arial" w:hAnsi="Arial"/>
                  <w:sz w:val="19"/>
                  <w:szCs w:val="19"/>
                  <w:b w:val="1"/>
                  <w:bCs w:val="1"/>
                  <w:color w:val="0000EE"/>
                </w:rPr>
                <w:t>.</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gridSpan w:val="9"/>
            <w:shd w:val="clear" w:color="auto" w:fill="CCEEFF"/>
          </w:tcPr>
          <w:p>
            <w:pPr>
              <w:spacing w:after="0" w:line="185" w:lineRule="exact"/>
              <w:rPr>
                <w:rFonts w:ascii="Arial" w:cs="Arial" w:eastAsia="Arial" w:hAnsi="Arial"/>
                <w:sz w:val="19"/>
                <w:szCs w:val="19"/>
                <w:b w:val="1"/>
                <w:bCs w:val="1"/>
                <w:color w:val="0000EE"/>
              </w:rPr>
            </w:pPr>
            <w:hyperlink w:anchor="page6">
              <w:r>
                <w:rPr>
                  <w:rFonts w:ascii="Arial" w:cs="Arial" w:eastAsia="Arial" w:hAnsi="Arial"/>
                  <w:sz w:val="19"/>
                  <w:szCs w:val="19"/>
                  <w:b w:val="1"/>
                  <w:bCs w:val="1"/>
                  <w:color w:val="0000EE"/>
                </w:rPr>
                <w:t>I</w:t>
              </w:r>
              <w:r>
                <w:rPr>
                  <w:rFonts w:ascii="Arial" w:cs="Arial" w:eastAsia="Arial" w:hAnsi="Arial"/>
                  <w:sz w:val="12"/>
                  <w:szCs w:val="12"/>
                  <w:b w:val="1"/>
                  <w:bCs w:val="1"/>
                  <w:color w:val="0000EE"/>
                </w:rPr>
                <w:t>TEM</w:t>
              </w:r>
              <w:r>
                <w:rPr>
                  <w:rFonts w:ascii="Arial" w:cs="Arial" w:eastAsia="Arial" w:hAnsi="Arial"/>
                  <w:sz w:val="19"/>
                  <w:szCs w:val="19"/>
                  <w:b w:val="1"/>
                  <w:bCs w:val="1"/>
                  <w:color w:val="0000EE"/>
                </w:rPr>
                <w:t xml:space="preserve"> 7. E</w:t>
              </w:r>
              <w:r>
                <w:rPr>
                  <w:rFonts w:ascii="Arial" w:cs="Arial" w:eastAsia="Arial" w:hAnsi="Arial"/>
                  <w:sz w:val="12"/>
                  <w:szCs w:val="12"/>
                  <w:b w:val="1"/>
                  <w:bCs w:val="1"/>
                  <w:color w:val="0000EE"/>
                </w:rPr>
                <w:t>XEMPTION FROM</w:t>
              </w:r>
              <w:r>
                <w:rPr>
                  <w:rFonts w:ascii="Arial" w:cs="Arial" w:eastAsia="Arial" w:hAnsi="Arial"/>
                  <w:sz w:val="19"/>
                  <w:szCs w:val="19"/>
                  <w:b w:val="1"/>
                  <w:bCs w:val="1"/>
                  <w:color w:val="0000EE"/>
                </w:rPr>
                <w:t xml:space="preserve"> R</w:t>
              </w:r>
              <w:r>
                <w:rPr>
                  <w:rFonts w:ascii="Arial" w:cs="Arial" w:eastAsia="Arial" w:hAnsi="Arial"/>
                  <w:sz w:val="12"/>
                  <w:szCs w:val="12"/>
                  <w:b w:val="1"/>
                  <w:bCs w:val="1"/>
                  <w:color w:val="0000EE"/>
                </w:rPr>
                <w:t>EGISTRATION</w:t>
              </w:r>
              <w:r>
                <w:rPr>
                  <w:rFonts w:ascii="Arial" w:cs="Arial" w:eastAsia="Arial" w:hAnsi="Arial"/>
                  <w:sz w:val="19"/>
                  <w:szCs w:val="19"/>
                  <w:b w:val="1"/>
                  <w:bCs w:val="1"/>
                  <w:color w:val="0000EE"/>
                </w:rPr>
                <w:t xml:space="preserve"> C</w:t>
              </w:r>
              <w:r>
                <w:rPr>
                  <w:rFonts w:ascii="Arial" w:cs="Arial" w:eastAsia="Arial" w:hAnsi="Arial"/>
                  <w:sz w:val="12"/>
                  <w:szCs w:val="12"/>
                  <w:b w:val="1"/>
                  <w:bCs w:val="1"/>
                  <w:color w:val="0000EE"/>
                </w:rPr>
                <w:t>LAIMED</w:t>
              </w:r>
              <w:r>
                <w:rPr>
                  <w:rFonts w:ascii="Arial" w:cs="Arial" w:eastAsia="Arial" w:hAnsi="Arial"/>
                  <w:sz w:val="19"/>
                  <w:szCs w:val="19"/>
                  <w:b w:val="1"/>
                  <w:bCs w:val="1"/>
                  <w:color w:val="0000EE"/>
                </w:rPr>
                <w:t>.</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40" w:type="dxa"/>
            <w:vAlign w:val="bottom"/>
            <w:tcBorders>
              <w:top w:val="single" w:sz="8" w:color="0000EE"/>
            </w:tcBorders>
          </w:tcPr>
          <w:p>
            <w:pPr>
              <w:spacing w:after="0"/>
              <w:rPr>
                <w:sz w:val="19"/>
                <w:szCs w:val="19"/>
                <w:color w:val="auto"/>
              </w:rPr>
            </w:pPr>
          </w:p>
        </w:tc>
        <w:tc>
          <w:tcPr>
            <w:tcW w:w="1040" w:type="dxa"/>
            <w:vAlign w:val="bottom"/>
            <w:tcBorders>
              <w:top w:val="single" w:sz="8" w:color="0000EE"/>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gridSpan w:val="9"/>
            <w:shd w:val="clear" w:color="auto" w:fill="CCEEFF"/>
          </w:tcPr>
          <w:p>
            <w:pPr>
              <w:spacing w:after="0" w:line="185" w:lineRule="exact"/>
              <w:rPr>
                <w:rFonts w:ascii="Arial" w:cs="Arial" w:eastAsia="Arial" w:hAnsi="Arial"/>
                <w:sz w:val="19"/>
                <w:szCs w:val="19"/>
                <w:b w:val="1"/>
                <w:bCs w:val="1"/>
                <w:color w:val="0000EE"/>
              </w:rPr>
            </w:pPr>
            <w:hyperlink w:anchor="page7">
              <w:r>
                <w:rPr>
                  <w:rFonts w:ascii="Arial" w:cs="Arial" w:eastAsia="Arial" w:hAnsi="Arial"/>
                  <w:sz w:val="19"/>
                  <w:szCs w:val="19"/>
                  <w:b w:val="1"/>
                  <w:bCs w:val="1"/>
                  <w:color w:val="0000EE"/>
                </w:rPr>
                <w:t>I</w:t>
              </w:r>
              <w:r>
                <w:rPr>
                  <w:rFonts w:ascii="Arial" w:cs="Arial" w:eastAsia="Arial" w:hAnsi="Arial"/>
                  <w:sz w:val="12"/>
                  <w:szCs w:val="12"/>
                  <w:b w:val="1"/>
                  <w:bCs w:val="1"/>
                  <w:color w:val="0000EE"/>
                </w:rPr>
                <w:t>TEM</w:t>
              </w:r>
              <w:r>
                <w:rPr>
                  <w:rFonts w:ascii="Arial" w:cs="Arial" w:eastAsia="Arial" w:hAnsi="Arial"/>
                  <w:sz w:val="19"/>
                  <w:szCs w:val="19"/>
                  <w:b w:val="1"/>
                  <w:bCs w:val="1"/>
                  <w:color w:val="0000EE"/>
                </w:rPr>
                <w:t xml:space="preserve"> 8. E</w:t>
              </w:r>
              <w:r>
                <w:rPr>
                  <w:rFonts w:ascii="Arial" w:cs="Arial" w:eastAsia="Arial" w:hAnsi="Arial"/>
                  <w:sz w:val="12"/>
                  <w:szCs w:val="12"/>
                  <w:b w:val="1"/>
                  <w:bCs w:val="1"/>
                  <w:color w:val="0000EE"/>
                </w:rPr>
                <w:t>XHIBITS</w:t>
              </w:r>
              <w:r>
                <w:rPr>
                  <w:rFonts w:ascii="Arial" w:cs="Arial" w:eastAsia="Arial" w:hAnsi="Arial"/>
                  <w:sz w:val="19"/>
                  <w:szCs w:val="19"/>
                  <w:b w:val="1"/>
                  <w:bCs w:val="1"/>
                  <w:color w:val="0000EE"/>
                </w:rPr>
                <w:t>.</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300" w:type="dxa"/>
            <w:vAlign w:val="bottom"/>
            <w:gridSpan w:val="9"/>
            <w:shd w:val="clear" w:color="auto" w:fill="CCEEFF"/>
          </w:tcPr>
          <w:p>
            <w:pPr>
              <w:spacing w:after="0" w:line="185" w:lineRule="exact"/>
              <w:rPr>
                <w:rFonts w:ascii="Arial" w:cs="Arial" w:eastAsia="Arial" w:hAnsi="Arial"/>
                <w:sz w:val="19"/>
                <w:szCs w:val="19"/>
                <w:b w:val="1"/>
                <w:bCs w:val="1"/>
                <w:color w:val="0000EE"/>
              </w:rPr>
            </w:pPr>
            <w:hyperlink w:anchor="page8">
              <w:r>
                <w:rPr>
                  <w:rFonts w:ascii="Arial" w:cs="Arial" w:eastAsia="Arial" w:hAnsi="Arial"/>
                  <w:sz w:val="19"/>
                  <w:szCs w:val="19"/>
                  <w:b w:val="1"/>
                  <w:bCs w:val="1"/>
                  <w:color w:val="0000EE"/>
                </w:rPr>
                <w:t>I</w:t>
              </w:r>
              <w:r>
                <w:rPr>
                  <w:rFonts w:ascii="Arial" w:cs="Arial" w:eastAsia="Arial" w:hAnsi="Arial"/>
                  <w:sz w:val="12"/>
                  <w:szCs w:val="12"/>
                  <w:b w:val="1"/>
                  <w:bCs w:val="1"/>
                  <w:color w:val="0000EE"/>
                </w:rPr>
                <w:t>TEM</w:t>
              </w:r>
              <w:r>
                <w:rPr>
                  <w:rFonts w:ascii="Arial" w:cs="Arial" w:eastAsia="Arial" w:hAnsi="Arial"/>
                  <w:sz w:val="19"/>
                  <w:szCs w:val="19"/>
                  <w:b w:val="1"/>
                  <w:bCs w:val="1"/>
                  <w:color w:val="0000EE"/>
                </w:rPr>
                <w:t xml:space="preserve"> 9. U</w:t>
              </w:r>
              <w:r>
                <w:rPr>
                  <w:rFonts w:ascii="Arial" w:cs="Arial" w:eastAsia="Arial" w:hAnsi="Arial"/>
                  <w:sz w:val="12"/>
                  <w:szCs w:val="12"/>
                  <w:b w:val="1"/>
                  <w:bCs w:val="1"/>
                  <w:color w:val="0000EE"/>
                </w:rPr>
                <w:t>NDERTAKINGS</w:t>
              </w:r>
              <w:r>
                <w:rPr>
                  <w:rFonts w:ascii="Arial" w:cs="Arial" w:eastAsia="Arial" w:hAnsi="Arial"/>
                  <w:sz w:val="19"/>
                  <w:szCs w:val="19"/>
                  <w:b w:val="1"/>
                  <w:bCs w:val="1"/>
                  <w:color w:val="0000EE"/>
                </w:rPr>
                <w:t>.</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94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70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4980" w:type="dxa"/>
            <w:vAlign w:val="bottom"/>
            <w:gridSpan w:val="12"/>
            <w:shd w:val="clear" w:color="auto" w:fill="CCEEFF"/>
          </w:tcPr>
          <w:p>
            <w:pPr>
              <w:spacing w:after="0" w:line="185" w:lineRule="exact"/>
              <w:rPr>
                <w:rFonts w:ascii="Arial" w:cs="Arial" w:eastAsia="Arial" w:hAnsi="Arial"/>
                <w:sz w:val="19"/>
                <w:szCs w:val="19"/>
                <w:b w:val="1"/>
                <w:bCs w:val="1"/>
                <w:color w:val="0000EE"/>
              </w:rPr>
            </w:pPr>
            <w:hyperlink w:anchor="page9">
              <w:r>
                <w:rPr>
                  <w:rFonts w:ascii="Arial" w:cs="Arial" w:eastAsia="Arial" w:hAnsi="Arial"/>
                  <w:sz w:val="19"/>
                  <w:szCs w:val="19"/>
                  <w:b w:val="1"/>
                  <w:bCs w:val="1"/>
                  <w:color w:val="0000EE"/>
                </w:rPr>
                <w:t>S</w:t>
              </w:r>
              <w:r>
                <w:rPr>
                  <w:rFonts w:ascii="Arial" w:cs="Arial" w:eastAsia="Arial" w:hAnsi="Arial"/>
                  <w:sz w:val="12"/>
                  <w:szCs w:val="12"/>
                  <w:b w:val="1"/>
                  <w:bCs w:val="1"/>
                  <w:color w:val="0000EE"/>
                </w:rPr>
                <w:t>IGNATURES</w:t>
              </w:r>
            </w:hyperlink>
          </w:p>
        </w:tc>
        <w:tc>
          <w:tcPr>
            <w:tcW w:w="7000" w:type="dxa"/>
            <w:vAlign w:val="bottom"/>
            <w:shd w:val="clear" w:color="auto" w:fill="CCEEFF"/>
          </w:tcPr>
          <w:p>
            <w:pPr>
              <w:jc w:val="right"/>
              <w:ind w:right="385"/>
              <w:spacing w:after="0" w:line="185" w:lineRule="exact"/>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778" w:right="120" w:bottom="1440" w:gutter="0" w:footer="0" w:header="0"/>
        </w:sectPr>
      </w:pPr>
    </w:p>
    <w:bookmarkStart w:id="2" w:name="page3"/>
    <w:bookmarkEnd w:id="2"/>
    <w:p>
      <w:pPr>
        <w:spacing w:after="0"/>
        <w:rPr>
          <w:rFonts w:ascii="Arial" w:cs="Arial" w:eastAsia="Arial" w:hAnsi="Arial"/>
          <w:sz w:val="19"/>
          <w:szCs w:val="19"/>
          <w:u w:val="single" w:color="auto"/>
          <w:color w:val="0000EE"/>
        </w:rPr>
      </w:pPr>
      <w:hyperlink w:anchor="page2">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2"/>
          <w:szCs w:val="12"/>
          <w:b w:val="1"/>
          <w:bCs w:val="1"/>
          <w:color w:val="auto"/>
        </w:rPr>
        <w:t>NFORMATION</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EQUIRED IN THE</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9"/>
          <w:szCs w:val="19"/>
          <w:b w:val="1"/>
          <w:bCs w:val="1"/>
          <w:color w:val="auto"/>
        </w:rPr>
        <w:t xml:space="preserve"> 10(A) P</w:t>
      </w:r>
      <w:r>
        <w:rPr>
          <w:rFonts w:ascii="Arial" w:cs="Arial" w:eastAsia="Arial" w:hAnsi="Arial"/>
          <w:sz w:val="12"/>
          <w:szCs w:val="12"/>
          <w:b w:val="1"/>
          <w:bCs w:val="1"/>
          <w:color w:val="auto"/>
        </w:rPr>
        <w:t>ROSPECTUS</w:t>
      </w:r>
    </w:p>
    <w:p>
      <w:pPr>
        <w:spacing w:after="0" w:line="244" w:lineRule="exact"/>
        <w:rPr>
          <w:sz w:val="20"/>
          <w:szCs w:val="20"/>
          <w:color w:val="auto"/>
        </w:rPr>
      </w:pPr>
    </w:p>
    <w:p>
      <w:pPr>
        <w:jc w:val="both"/>
        <w:ind w:firstLine="685"/>
        <w:spacing w:after="0" w:line="274" w:lineRule="auto"/>
        <w:rPr>
          <w:sz w:val="20"/>
          <w:szCs w:val="20"/>
          <w:color w:val="auto"/>
        </w:rPr>
      </w:pPr>
      <w:r>
        <w:rPr>
          <w:rFonts w:ascii="Arial" w:cs="Arial" w:eastAsia="Arial" w:hAnsi="Arial"/>
          <w:sz w:val="18"/>
          <w:szCs w:val="18"/>
          <w:color w:val="auto"/>
        </w:rPr>
        <w:t>The documents containing the information specified in Part I will be sent or given to participants in the Plan as specified by Rule 428(b)(1) of the Securities Act of 1933, as amended (the “Securities Act”). In accordance with the instructions of Part I of Form S-8, these documents will not be filed with the Securities and Exchange Commission (the “SEC”) either as part of this Registration Statement or as prospectuses or prospectus supplements pursuant to Rule 424 of the Securities Act. These documents and the documents incorporated by reference pursuant to Item 3 of Part II of this Registration Statement, taken together, constitute the prospectus as required by Section 10(a) of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color w:val="auto"/>
        </w:rPr>
        <w:t>All requests should be directed to:</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OptimizeRx Corp.</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400 Water Street, Suite 200,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Rochester, MI 48307</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Attention: Douglas Baker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color w:val="auto"/>
        </w:rPr>
        <w:t>Or by calling: (</w:t>
      </w:r>
      <w:r>
        <w:rPr>
          <w:rFonts w:ascii="Arial" w:cs="Arial" w:eastAsia="Arial" w:hAnsi="Arial"/>
          <w:sz w:val="19"/>
          <w:szCs w:val="19"/>
          <w:b w:val="1"/>
          <w:bCs w:val="1"/>
          <w:color w:val="auto"/>
        </w:rPr>
        <w:t>248) 651-6568</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99" w:right="120" w:bottom="1440" w:gutter="0" w:footer="0" w:header="0"/>
        </w:sectPr>
      </w:pPr>
    </w:p>
    <w:bookmarkStart w:id="3" w:name="page4"/>
    <w:bookmarkEnd w:id="3"/>
    <w:p>
      <w:pPr>
        <w:spacing w:after="0"/>
        <w:rPr>
          <w:rFonts w:ascii="Arial" w:cs="Arial" w:eastAsia="Arial" w:hAnsi="Arial"/>
          <w:sz w:val="23"/>
          <w:szCs w:val="23"/>
          <w:u w:val="single" w:color="auto"/>
          <w:color w:val="0000EE"/>
        </w:rPr>
      </w:pPr>
      <w:hyperlink w:anchor="page2">
        <w:r>
          <w:rPr>
            <w:rFonts w:ascii="Arial" w:cs="Arial" w:eastAsia="Arial" w:hAnsi="Arial"/>
            <w:sz w:val="23"/>
            <w:szCs w:val="23"/>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w:t>
      </w:r>
    </w:p>
    <w:p>
      <w:pPr>
        <w:spacing w:after="0" w:line="238" w:lineRule="exact"/>
        <w:rPr>
          <w:sz w:val="20"/>
          <w:szCs w:val="20"/>
          <w:color w:val="auto"/>
        </w:rPr>
      </w:pPr>
    </w:p>
    <w:p>
      <w:pPr>
        <w:ind w:left="3900"/>
        <w:spacing w:after="0"/>
        <w:rPr>
          <w:sz w:val="20"/>
          <w:szCs w:val="20"/>
          <w:color w:val="auto"/>
        </w:rPr>
      </w:pPr>
      <w:r>
        <w:rPr>
          <w:rFonts w:ascii="Arial" w:cs="Arial" w:eastAsia="Arial" w:hAnsi="Arial"/>
          <w:sz w:val="19"/>
          <w:szCs w:val="19"/>
          <w:b w:val="1"/>
          <w:bCs w:val="1"/>
          <w:color w:val="auto"/>
        </w:rPr>
        <w:t>I</w:t>
      </w:r>
      <w:r>
        <w:rPr>
          <w:rFonts w:ascii="Arial" w:cs="Arial" w:eastAsia="Arial" w:hAnsi="Arial"/>
          <w:sz w:val="12"/>
          <w:szCs w:val="12"/>
          <w:b w:val="1"/>
          <w:bCs w:val="1"/>
          <w:color w:val="auto"/>
        </w:rPr>
        <w:t>NFORMATION</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EQUIRED IN THE</w:t>
      </w:r>
      <w:r>
        <w:rPr>
          <w:rFonts w:ascii="Arial" w:cs="Arial" w:eastAsia="Arial" w:hAnsi="Arial"/>
          <w:sz w:val="19"/>
          <w:szCs w:val="19"/>
          <w:b w:val="1"/>
          <w:bCs w:val="1"/>
          <w:color w:val="auto"/>
        </w:rPr>
        <w:t xml:space="preserve"> R</w:t>
      </w:r>
      <w:r>
        <w:rPr>
          <w:rFonts w:ascii="Arial" w:cs="Arial" w:eastAsia="Arial" w:hAnsi="Arial"/>
          <w:sz w:val="12"/>
          <w:szCs w:val="12"/>
          <w:b w:val="1"/>
          <w:bCs w:val="1"/>
          <w:color w:val="auto"/>
        </w:rPr>
        <w:t>EGISTRATION</w:t>
      </w:r>
      <w:r>
        <w:rPr>
          <w:rFonts w:ascii="Arial" w:cs="Arial" w:eastAsia="Arial" w:hAnsi="Arial"/>
          <w:sz w:val="19"/>
          <w:szCs w:val="19"/>
          <w:b w:val="1"/>
          <w:bCs w:val="1"/>
          <w:color w:val="auto"/>
        </w:rPr>
        <w:t xml:space="preserve"> S</w:t>
      </w:r>
      <w:r>
        <w:rPr>
          <w:rFonts w:ascii="Arial" w:cs="Arial" w:eastAsia="Arial" w:hAnsi="Arial"/>
          <w:sz w:val="12"/>
          <w:szCs w:val="12"/>
          <w:b w:val="1"/>
          <w:bCs w:val="1"/>
          <w:color w:val="auto"/>
        </w:rPr>
        <w:t>TATEMENT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Incorporation of Documents by Reference.</w:t>
      </w:r>
    </w:p>
    <w:p>
      <w:pPr>
        <w:spacing w:after="0" w:line="244" w:lineRule="exact"/>
        <w:rPr>
          <w:sz w:val="20"/>
          <w:szCs w:val="20"/>
          <w:color w:val="auto"/>
        </w:rPr>
      </w:pPr>
    </w:p>
    <w:p>
      <w:pPr>
        <w:jc w:val="both"/>
        <w:ind w:firstLine="685"/>
        <w:spacing w:after="0" w:line="274" w:lineRule="auto"/>
        <w:rPr>
          <w:sz w:val="20"/>
          <w:szCs w:val="20"/>
          <w:color w:val="auto"/>
        </w:rPr>
      </w:pPr>
      <w:r>
        <w:rPr>
          <w:rFonts w:ascii="Arial" w:cs="Arial" w:eastAsia="Arial" w:hAnsi="Arial"/>
          <w:sz w:val="18"/>
          <w:szCs w:val="18"/>
          <w:color w:val="auto"/>
        </w:rPr>
        <w:t>The SEC allows us to “incorporate by reference” the information we file with the SEC. This permits us to disclose important information to you by referring to these filed documents. Any information referred to in this way is considered part of this prospectus supplement. The information incorporated by reference is an important part of this prospectus supplement and the accompanying prospectus, and information that we file later with the SEC will automatically update and supersede this information. We incorporate by reference the following documents that have been filed with the SEC (other than information furnished under Item 2.02, Item 7.01 of Item 8.01 of Form 8-K and all exhibits related to such items):</w:t>
      </w:r>
    </w:p>
    <w:p>
      <w:pPr>
        <w:spacing w:after="0" w:line="188" w:lineRule="exact"/>
        <w:rPr>
          <w:sz w:val="20"/>
          <w:szCs w:val="20"/>
          <w:color w:val="auto"/>
        </w:rPr>
      </w:pPr>
    </w:p>
    <w:p>
      <w:pPr>
        <w:ind w:left="680" w:hanging="344"/>
        <w:spacing w:after="0"/>
        <w:tabs>
          <w:tab w:leader="none" w:pos="680" w:val="left"/>
        </w:tabs>
        <w:numPr>
          <w:ilvl w:val="0"/>
          <w:numId w:val="2"/>
        </w:numPr>
        <w:rPr>
          <w:rFonts w:ascii="Arial" w:cs="Arial" w:eastAsia="Arial" w:hAnsi="Arial"/>
          <w:sz w:val="19"/>
          <w:szCs w:val="19"/>
          <w:color w:val="auto"/>
        </w:rPr>
      </w:pPr>
      <w:r>
        <w:rPr>
          <w:rFonts w:ascii="Arial" w:cs="Arial" w:eastAsia="Arial" w:hAnsi="Arial"/>
          <w:sz w:val="19"/>
          <w:szCs w:val="19"/>
          <w:color w:val="auto"/>
        </w:rPr>
        <w:t>Our Annual Report on Form 10-K for the fiscal year ended December 31, 2018, filed with the SEC on March 12, 2019;</w:t>
      </w:r>
    </w:p>
    <w:p>
      <w:pPr>
        <w:spacing w:after="0" w:line="237" w:lineRule="exact"/>
        <w:rPr>
          <w:rFonts w:ascii="Arial" w:cs="Arial" w:eastAsia="Arial" w:hAnsi="Arial"/>
          <w:sz w:val="19"/>
          <w:szCs w:val="19"/>
          <w:color w:val="auto"/>
        </w:rPr>
      </w:pPr>
    </w:p>
    <w:p>
      <w:pPr>
        <w:ind w:left="680" w:hanging="344"/>
        <w:spacing w:after="0" w:line="275" w:lineRule="auto"/>
        <w:tabs>
          <w:tab w:leader="none" w:pos="680" w:val="left"/>
        </w:tabs>
        <w:numPr>
          <w:ilvl w:val="0"/>
          <w:numId w:val="2"/>
        </w:numPr>
        <w:rPr>
          <w:rFonts w:ascii="Arial" w:cs="Arial" w:eastAsia="Arial" w:hAnsi="Arial"/>
          <w:sz w:val="19"/>
          <w:szCs w:val="19"/>
          <w:color w:val="auto"/>
        </w:rPr>
      </w:pPr>
      <w:r>
        <w:rPr>
          <w:rFonts w:ascii="Arial" w:cs="Arial" w:eastAsia="Arial" w:hAnsi="Arial"/>
          <w:sz w:val="19"/>
          <w:szCs w:val="19"/>
          <w:color w:val="auto"/>
        </w:rPr>
        <w:t>Current Reports on Form 8-K or 8-K/A, as the case may be, filed with the SEC on February 26, 2019, February 8, 2019, December 21, 2018, December 10, 2018, October 17, 2018, September 14, 2018, March 27, 2018 and February 2, 2018; and</w:t>
      </w:r>
    </w:p>
    <w:p>
      <w:pPr>
        <w:spacing w:after="0" w:line="183" w:lineRule="exact"/>
        <w:rPr>
          <w:rFonts w:ascii="Arial" w:cs="Arial" w:eastAsia="Arial" w:hAnsi="Arial"/>
          <w:sz w:val="19"/>
          <w:szCs w:val="19"/>
          <w:color w:val="auto"/>
        </w:rPr>
      </w:pPr>
    </w:p>
    <w:p>
      <w:pPr>
        <w:ind w:left="680" w:hanging="344"/>
        <w:spacing w:after="0" w:line="275" w:lineRule="auto"/>
        <w:tabs>
          <w:tab w:leader="none" w:pos="68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description of our common stock in our Registration Statement on Form S-3/A, filed with the SEC on December 11, 2018, including any amendment or reports filed for the purpose of updating such description.</w:t>
      </w:r>
    </w:p>
    <w:p>
      <w:pPr>
        <w:spacing w:after="0" w:line="184"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9"/>
          <w:szCs w:val="19"/>
          <w:color w:val="auto"/>
        </w:rPr>
        <w:t>In addition, all other documents filed (not furnished) by us pursuant to Section 13(a), Section 13(c), Section 14 or Section 15(d) of the Exchange Act on or after the date of this reoffer prospectus and prior to the termination of this offering, shall be deemed to be incorporated by reference into this reoffer prospectus and to be a part of this reoffer prospectus from the date of the filing of such documents; provided, however, that documents or information deemed to have been furnished to and not filed with the SEC in accordance with the rules of the SEC shall not be deemed incorporated by reference into this reoffer prospectus.</w:t>
      </w:r>
    </w:p>
    <w:p>
      <w:pPr>
        <w:spacing w:after="0" w:line="204" w:lineRule="exact"/>
        <w:rPr>
          <w:sz w:val="20"/>
          <w:szCs w:val="20"/>
          <w:color w:val="auto"/>
        </w:rPr>
      </w:pPr>
    </w:p>
    <w:p>
      <w:pPr>
        <w:jc w:val="both"/>
        <w:ind w:firstLine="685"/>
        <w:spacing w:after="0" w:line="263" w:lineRule="auto"/>
        <w:rPr>
          <w:sz w:val="20"/>
          <w:szCs w:val="20"/>
          <w:color w:val="auto"/>
        </w:rPr>
      </w:pPr>
      <w:r>
        <w:rPr>
          <w:rFonts w:ascii="Arial" w:cs="Arial" w:eastAsia="Arial" w:hAnsi="Arial"/>
          <w:sz w:val="19"/>
          <w:szCs w:val="19"/>
          <w:color w:val="auto"/>
        </w:rPr>
        <w:t>Any information in any of the foregoing documents will automatically be deemed to be modified or superseded to the extent that information in this prospectus supplement and the accompanying prospectus or in a later filed document that is incorporated or deemed to be incorporated herein by reference modifies or replaces such information.</w:t>
      </w:r>
    </w:p>
    <w:p>
      <w:pPr>
        <w:spacing w:after="0" w:line="194" w:lineRule="exact"/>
        <w:rPr>
          <w:sz w:val="20"/>
          <w:szCs w:val="20"/>
          <w:color w:val="auto"/>
        </w:rPr>
      </w:pPr>
    </w:p>
    <w:p>
      <w:pPr>
        <w:jc w:val="both"/>
        <w:ind w:firstLine="685"/>
        <w:spacing w:after="0" w:line="263" w:lineRule="auto"/>
        <w:rPr>
          <w:sz w:val="20"/>
          <w:szCs w:val="20"/>
          <w:color w:val="auto"/>
        </w:rPr>
      </w:pPr>
      <w:r>
        <w:rPr>
          <w:rFonts w:ascii="Arial" w:cs="Arial" w:eastAsia="Arial" w:hAnsi="Arial"/>
          <w:sz w:val="19"/>
          <w:szCs w:val="19"/>
          <w:color w:val="auto"/>
        </w:rPr>
        <w:t>You may request, orally or in writing, a copy of these documents, which will be provided to you at no cost (other than exhibits, unless such exhibits are specifically incorporate by reference), by contacting Douglas Baker, c/o OptimizeRx Corporation., at 400 Water Street, Suite 200, Rochester, MI 48307. Our telephone number is (248) 651-6568.</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4" w:name="page5"/>
    <w:bookmarkEnd w:id="4"/>
    <w:p>
      <w:pPr>
        <w:spacing w:after="0"/>
        <w:rPr>
          <w:rFonts w:ascii="Arial" w:cs="Arial" w:eastAsia="Arial" w:hAnsi="Arial"/>
          <w:sz w:val="23"/>
          <w:szCs w:val="23"/>
          <w:u w:val="single" w:color="auto"/>
          <w:color w:val="0000EE"/>
        </w:rPr>
      </w:pPr>
      <w:hyperlink w:anchor="page2">
        <w:r>
          <w:rPr>
            <w:rFonts w:ascii="Arial" w:cs="Arial" w:eastAsia="Arial" w:hAnsi="Arial"/>
            <w:sz w:val="23"/>
            <w:szCs w:val="23"/>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9360"/>
        <w:spacing w:after="0"/>
        <w:rPr>
          <w:sz w:val="20"/>
          <w:szCs w:val="20"/>
          <w:color w:val="auto"/>
        </w:rPr>
      </w:pPr>
      <w:r>
        <w:rPr>
          <w:rFonts w:ascii="Arial" w:cs="Arial" w:eastAsia="Arial" w:hAnsi="Arial"/>
          <w:sz w:val="17"/>
          <w:szCs w:val="17"/>
          <w:b w:val="1"/>
          <w:bCs w:val="1"/>
          <w:color w:val="auto"/>
        </w:rPr>
        <w:t>Item 4. Description of Securities.</w:t>
      </w:r>
    </w:p>
    <w:p>
      <w:pPr>
        <w:spacing w:after="0" w:line="267"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Interests of Named Experts and Counsel.</w:t>
      </w:r>
    </w:p>
    <w:p>
      <w:pPr>
        <w:spacing w:after="0" w:line="244" w:lineRule="exact"/>
        <w:rPr>
          <w:sz w:val="20"/>
          <w:szCs w:val="20"/>
          <w:color w:val="auto"/>
        </w:rPr>
      </w:pPr>
    </w:p>
    <w:p>
      <w:pPr>
        <w:jc w:val="both"/>
        <w:ind w:firstLine="685"/>
        <w:spacing w:after="0" w:line="256" w:lineRule="auto"/>
        <w:rPr>
          <w:sz w:val="20"/>
          <w:szCs w:val="20"/>
          <w:color w:val="auto"/>
        </w:rPr>
      </w:pPr>
      <w:r>
        <w:rPr>
          <w:rFonts w:ascii="Arial" w:cs="Arial" w:eastAsia="Arial" w:hAnsi="Arial"/>
          <w:sz w:val="19"/>
          <w:szCs w:val="19"/>
          <w:color w:val="auto"/>
        </w:rPr>
        <w:t>No expert or counsel named in this prospectus as having prepared or certified any part of it or as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Company or any of its parents or subsidiaries. Nor was any such person connected with the Company or any of its parents or subsidiaries as a promoter, managing or principal underwriter, voting trustee, director, officer, or employee.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Indemnification of Directors and Officers.</w:t>
      </w:r>
    </w:p>
    <w:p>
      <w:pPr>
        <w:spacing w:after="0" w:line="244" w:lineRule="exact"/>
        <w:rPr>
          <w:sz w:val="20"/>
          <w:szCs w:val="20"/>
          <w:color w:val="auto"/>
        </w:rPr>
      </w:pPr>
    </w:p>
    <w:p>
      <w:pPr>
        <w:jc w:val="both"/>
        <w:ind w:firstLine="685"/>
        <w:spacing w:after="0" w:line="275" w:lineRule="auto"/>
        <w:rPr>
          <w:sz w:val="20"/>
          <w:szCs w:val="20"/>
          <w:color w:val="auto"/>
        </w:rPr>
      </w:pPr>
      <w:r>
        <w:rPr>
          <w:rFonts w:ascii="Arial" w:cs="Arial" w:eastAsia="Arial" w:hAnsi="Arial"/>
          <w:sz w:val="19"/>
          <w:szCs w:val="19"/>
          <w:color w:val="auto"/>
        </w:rPr>
        <w:t>The statutes, charter provisions, bylaws, contracts or other arrangements under which controlling persons, directors or officers of the registrant are insured or indemnified in any manner against any liability which they may incur in such capacity are as follows: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Section 78.751 of the Nevada Revised Statutes provides that each corporation shall have the following powers regarding indemnification:</w:t>
      </w:r>
    </w:p>
    <w:p>
      <w:pPr>
        <w:spacing w:after="0" w:line="249" w:lineRule="exact"/>
        <w:rPr>
          <w:sz w:val="20"/>
          <w:szCs w:val="20"/>
          <w:color w:val="auto"/>
        </w:rPr>
      </w:pPr>
    </w:p>
    <w:p>
      <w:pPr>
        <w:jc w:val="both"/>
        <w:ind w:firstLine="679"/>
        <w:spacing w:after="0" w:line="269" w:lineRule="auto"/>
        <w:tabs>
          <w:tab w:leader="none" w:pos="911"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acted in good faith and in a manner which he reasonably believed to be in or not opposed to the best interest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reasonably believed to be in or not opposed to the best interests of the corporation, and that, with respect to any criminal action or proceeding, he had reasonable cause to believe that his conduct was unlawful.</w:t>
      </w:r>
    </w:p>
    <w:p>
      <w:pPr>
        <w:spacing w:after="0" w:line="190" w:lineRule="exact"/>
        <w:rPr>
          <w:rFonts w:ascii="Arial" w:cs="Arial" w:eastAsia="Arial" w:hAnsi="Arial"/>
          <w:sz w:val="18"/>
          <w:szCs w:val="18"/>
          <w:color w:val="auto"/>
        </w:rPr>
      </w:pPr>
    </w:p>
    <w:p>
      <w:pPr>
        <w:jc w:val="both"/>
        <w:ind w:firstLine="679"/>
        <w:spacing w:after="0" w:line="287" w:lineRule="auto"/>
        <w:tabs>
          <w:tab w:leader="none" w:pos="891" w:val="left"/>
        </w:tabs>
        <w:numPr>
          <w:ilvl w:val="0"/>
          <w:numId w:val="3"/>
        </w:numPr>
        <w:rPr>
          <w:rFonts w:ascii="Arial" w:cs="Arial" w:eastAsia="Arial" w:hAnsi="Arial"/>
          <w:sz w:val="17"/>
          <w:szCs w:val="17"/>
          <w:color w:val="auto"/>
        </w:rPr>
      </w:pPr>
      <w:r>
        <w:rPr>
          <w:rFonts w:ascii="Arial" w:cs="Arial" w:eastAsia="Arial" w:hAnsi="Arial"/>
          <w:sz w:val="17"/>
          <w:szCs w:val="17"/>
          <w:color w:val="auto"/>
        </w:rPr>
        <w:t>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such expenses as the court deems proper.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5" w:name="page6"/>
    <w:bookmarkEnd w:id="5"/>
    <w:p>
      <w:pPr>
        <w:spacing w:after="0"/>
        <w:rPr>
          <w:rFonts w:ascii="Arial" w:cs="Arial" w:eastAsia="Arial" w:hAnsi="Arial"/>
          <w:sz w:val="23"/>
          <w:szCs w:val="23"/>
          <w:u w:val="single" w:color="auto"/>
          <w:color w:val="0000EE"/>
        </w:rPr>
      </w:pPr>
      <w:hyperlink w:anchor="page2">
        <w:r>
          <w:rPr>
            <w:rFonts w:ascii="Arial" w:cs="Arial" w:eastAsia="Arial" w:hAnsi="Arial"/>
            <w:sz w:val="23"/>
            <w:szCs w:val="23"/>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both"/>
        <w:ind w:firstLine="679"/>
        <w:spacing w:after="0" w:line="263" w:lineRule="auto"/>
        <w:tabs>
          <w:tab w:leader="none" w:pos="898"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the extent that a director, officer, employee or agent of a corporation has been successful on the merits or otherwise in defense of any action, suit or proceeding referred to in subsections 1 and 2, or in defense of any claim, issue or matter therein, he must be indemnified by the corporation against expenses, including attorneys’ fees, actually and reasonably incurred by him in connection with the defense.</w:t>
      </w:r>
    </w:p>
    <w:p>
      <w:pPr>
        <w:spacing w:after="0" w:line="194" w:lineRule="exact"/>
        <w:rPr>
          <w:rFonts w:ascii="Arial" w:cs="Arial" w:eastAsia="Arial" w:hAnsi="Arial"/>
          <w:sz w:val="19"/>
          <w:szCs w:val="19"/>
          <w:color w:val="auto"/>
        </w:rPr>
      </w:pPr>
    </w:p>
    <w:p>
      <w:pPr>
        <w:jc w:val="both"/>
        <w:ind w:firstLine="679"/>
        <w:spacing w:after="0" w:line="263" w:lineRule="auto"/>
        <w:tabs>
          <w:tab w:leader="none" w:pos="893" w:val="left"/>
        </w:tabs>
        <w:numPr>
          <w:ilvl w:val="0"/>
          <w:numId w:val="4"/>
        </w:numPr>
        <w:rPr>
          <w:rFonts w:ascii="Arial" w:cs="Arial" w:eastAsia="Arial" w:hAnsi="Arial"/>
          <w:sz w:val="19"/>
          <w:szCs w:val="19"/>
          <w:color w:val="auto"/>
        </w:rPr>
      </w:pPr>
      <w:r>
        <w:rPr>
          <w:rFonts w:ascii="Arial" w:cs="Arial" w:eastAsia="Arial" w:hAnsi="Arial"/>
          <w:sz w:val="19"/>
          <w:szCs w:val="19"/>
          <w:color w:val="auto"/>
        </w:rPr>
        <w:t>Any indemnification under subsections 1 and 2, unless ordered by a court or advanced pursuant to subsection 5, must be made by the corporation only as authorized in the specific case upon a determination that indemnification of the director, officer, employee or agent is proper in the circumstances. The determination must be made:</w:t>
      </w:r>
    </w:p>
    <w:p>
      <w:pPr>
        <w:spacing w:after="0" w:line="194" w:lineRule="exact"/>
        <w:rPr>
          <w:sz w:val="20"/>
          <w:szCs w:val="20"/>
          <w:color w:val="auto"/>
        </w:rPr>
      </w:pPr>
    </w:p>
    <w:p>
      <w:pPr>
        <w:ind w:left="880" w:hanging="201"/>
        <w:spacing w:after="0"/>
        <w:tabs>
          <w:tab w:leader="none" w:pos="880" w:val="left"/>
        </w:tabs>
        <w:numPr>
          <w:ilvl w:val="0"/>
          <w:numId w:val="5"/>
        </w:numPr>
        <w:rPr>
          <w:rFonts w:ascii="Arial" w:cs="Arial" w:eastAsia="Arial" w:hAnsi="Arial"/>
          <w:sz w:val="19"/>
          <w:szCs w:val="19"/>
          <w:color w:val="auto"/>
        </w:rPr>
      </w:pPr>
      <w:r>
        <w:rPr>
          <w:rFonts w:ascii="Arial" w:cs="Arial" w:eastAsia="Arial" w:hAnsi="Arial"/>
          <w:sz w:val="19"/>
          <w:szCs w:val="19"/>
          <w:color w:val="auto"/>
        </w:rPr>
        <w:t>By the stockholders;</w:t>
      </w:r>
    </w:p>
    <w:p>
      <w:pPr>
        <w:spacing w:after="0" w:line="237" w:lineRule="exact"/>
        <w:rPr>
          <w:rFonts w:ascii="Arial" w:cs="Arial" w:eastAsia="Arial" w:hAnsi="Arial"/>
          <w:sz w:val="19"/>
          <w:szCs w:val="19"/>
          <w:color w:val="auto"/>
        </w:rPr>
      </w:pPr>
    </w:p>
    <w:p>
      <w:pPr>
        <w:ind w:left="880" w:hanging="201"/>
        <w:spacing w:after="0"/>
        <w:tabs>
          <w:tab w:leader="none" w:pos="880" w:val="left"/>
        </w:tabs>
        <w:numPr>
          <w:ilvl w:val="0"/>
          <w:numId w:val="5"/>
        </w:numPr>
        <w:rPr>
          <w:rFonts w:ascii="Arial" w:cs="Arial" w:eastAsia="Arial" w:hAnsi="Arial"/>
          <w:sz w:val="19"/>
          <w:szCs w:val="19"/>
          <w:color w:val="auto"/>
        </w:rPr>
      </w:pPr>
      <w:r>
        <w:rPr>
          <w:rFonts w:ascii="Arial" w:cs="Arial" w:eastAsia="Arial" w:hAnsi="Arial"/>
          <w:sz w:val="19"/>
          <w:szCs w:val="19"/>
          <w:color w:val="auto"/>
        </w:rPr>
        <w:t>By the board of directors by majority vote of a quorum consisting of directors who were not parties to the act, suit or proceeding;</w:t>
      </w:r>
    </w:p>
    <w:p>
      <w:pPr>
        <w:spacing w:after="0" w:line="237" w:lineRule="exact"/>
        <w:rPr>
          <w:rFonts w:ascii="Arial" w:cs="Arial" w:eastAsia="Arial" w:hAnsi="Arial"/>
          <w:sz w:val="19"/>
          <w:szCs w:val="19"/>
          <w:color w:val="auto"/>
        </w:rPr>
      </w:pPr>
    </w:p>
    <w:p>
      <w:pPr>
        <w:jc w:val="both"/>
        <w:ind w:firstLine="679"/>
        <w:spacing w:after="0" w:line="263" w:lineRule="auto"/>
        <w:tabs>
          <w:tab w:leader="none" w:pos="885" w:val="left"/>
        </w:tabs>
        <w:numPr>
          <w:ilvl w:val="0"/>
          <w:numId w:val="5"/>
        </w:numPr>
        <w:rPr>
          <w:rFonts w:ascii="Arial" w:cs="Arial" w:eastAsia="Arial" w:hAnsi="Arial"/>
          <w:sz w:val="19"/>
          <w:szCs w:val="19"/>
          <w:color w:val="auto"/>
        </w:rPr>
      </w:pPr>
      <w:r>
        <w:rPr>
          <w:rFonts w:ascii="Arial" w:cs="Arial" w:eastAsia="Arial" w:hAnsi="Arial"/>
          <w:sz w:val="19"/>
          <w:szCs w:val="19"/>
          <w:color w:val="auto"/>
        </w:rPr>
        <w:t>If a majority vote of a quorum consisting of directors who were not parties to the act, suit or proceeding so orders, by independent legal counsel, in a written opinion; or if a quorum consisting of directors who were not parties to the act, suit or proceeding cannot be obtained, by independent legal counsel in a written opinion.</w:t>
      </w:r>
    </w:p>
    <w:p>
      <w:pPr>
        <w:spacing w:after="0" w:line="194" w:lineRule="exact"/>
        <w:rPr>
          <w:rFonts w:ascii="Arial" w:cs="Arial" w:eastAsia="Arial" w:hAnsi="Arial"/>
          <w:sz w:val="19"/>
          <w:szCs w:val="19"/>
          <w:color w:val="auto"/>
        </w:rPr>
      </w:pPr>
    </w:p>
    <w:p>
      <w:pPr>
        <w:jc w:val="both"/>
        <w:ind w:firstLine="679"/>
        <w:spacing w:after="0" w:line="294" w:lineRule="auto"/>
        <w:tabs>
          <w:tab w:leader="none" w:pos="90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certificate or articles of incorporation, the bylaws or an agreement made by the corporation may provide that the expenses of officers and directors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is not entitled to be indemnified by the corporation. The provisions of this subsection do not affect any rights to advancement of expenses to which corporate personnel other than directors or officers may be entitled under any contract or otherwise by law.</w:t>
      </w:r>
    </w:p>
    <w:p>
      <w:pPr>
        <w:spacing w:after="0" w:line="172" w:lineRule="exact"/>
        <w:rPr>
          <w:sz w:val="20"/>
          <w:szCs w:val="20"/>
          <w:color w:val="auto"/>
        </w:rPr>
      </w:pPr>
    </w:p>
    <w:p>
      <w:pPr>
        <w:ind w:left="680"/>
        <w:spacing w:after="0"/>
        <w:rPr>
          <w:sz w:val="20"/>
          <w:szCs w:val="20"/>
          <w:color w:val="auto"/>
        </w:rPr>
      </w:pPr>
      <w:r>
        <w:rPr>
          <w:rFonts w:ascii="Arial" w:cs="Arial" w:eastAsia="Arial" w:hAnsi="Arial"/>
          <w:sz w:val="19"/>
          <w:szCs w:val="19"/>
          <w:color w:val="auto"/>
        </w:rPr>
        <w:t>5) The indemnification and advancement of expenses authorized in or ordered by a court pursuant to this section:</w:t>
      </w:r>
    </w:p>
    <w:p>
      <w:pPr>
        <w:spacing w:after="0" w:line="238" w:lineRule="exact"/>
        <w:rPr>
          <w:sz w:val="20"/>
          <w:szCs w:val="20"/>
          <w:color w:val="auto"/>
        </w:rPr>
      </w:pPr>
    </w:p>
    <w:p>
      <w:pPr>
        <w:jc w:val="both"/>
        <w:ind w:firstLine="679"/>
        <w:spacing w:after="0" w:line="274" w:lineRule="auto"/>
        <w:tabs>
          <w:tab w:leader="none" w:pos="884" w:val="left"/>
        </w:tabs>
        <w:numPr>
          <w:ilvl w:val="0"/>
          <w:numId w:val="6"/>
        </w:numPr>
        <w:rPr>
          <w:rFonts w:ascii="Arial" w:cs="Arial" w:eastAsia="Arial" w:hAnsi="Arial"/>
          <w:sz w:val="18"/>
          <w:szCs w:val="18"/>
          <w:color w:val="auto"/>
        </w:rPr>
      </w:pPr>
      <w:r>
        <w:rPr>
          <w:rFonts w:ascii="Arial" w:cs="Arial" w:eastAsia="Arial" w:hAnsi="Arial"/>
          <w:sz w:val="18"/>
          <w:szCs w:val="18"/>
          <w:color w:val="auto"/>
        </w:rPr>
        <w:t>Does not exclude any other rights to which a person seeking indemnification or advancement of expenses may be entitled under the certificate or articles of incorporation or any bylaw, agreement, vote of stockholders of disinterested directors or otherwise, for either an action in his official capacity or an action in another capacity while holding his office, except that indemnification, unless ordered by a court pursuant to subsection 2 or for the advancement of expenses made pursuant to subsection 5, may not be made to or on behalf of any director or officer if a final adjudication establishes that his acts or omissions involved intentional misconduct, fraud or a knowing violation of the law and was material to the cause of action.</w:t>
      </w:r>
    </w:p>
    <w:p>
      <w:pPr>
        <w:spacing w:after="0" w:line="187" w:lineRule="exact"/>
        <w:rPr>
          <w:rFonts w:ascii="Arial" w:cs="Arial" w:eastAsia="Arial" w:hAnsi="Arial"/>
          <w:sz w:val="18"/>
          <w:szCs w:val="18"/>
          <w:color w:val="auto"/>
        </w:rPr>
      </w:pPr>
    </w:p>
    <w:p>
      <w:pPr>
        <w:ind w:right="20" w:firstLine="679"/>
        <w:spacing w:after="0" w:line="275" w:lineRule="auto"/>
        <w:tabs>
          <w:tab w:leader="none" w:pos="928" w:val="left"/>
        </w:tabs>
        <w:numPr>
          <w:ilvl w:val="0"/>
          <w:numId w:val="6"/>
        </w:numPr>
        <w:rPr>
          <w:rFonts w:ascii="Arial" w:cs="Arial" w:eastAsia="Arial" w:hAnsi="Arial"/>
          <w:sz w:val="19"/>
          <w:szCs w:val="19"/>
          <w:color w:val="auto"/>
        </w:rPr>
      </w:pPr>
      <w:r>
        <w:rPr>
          <w:rFonts w:ascii="Arial" w:cs="Arial" w:eastAsia="Arial" w:hAnsi="Arial"/>
          <w:sz w:val="19"/>
          <w:szCs w:val="19"/>
          <w:color w:val="auto"/>
        </w:rPr>
        <w:t>Continues for a person who has ceased to be a director, officer, employee or agent and inures to the benefit of the heirs, executors and administrators of such a person.</w:t>
      </w:r>
    </w:p>
    <w:p>
      <w:pPr>
        <w:spacing w:after="0" w:line="184" w:lineRule="exact"/>
        <w:rPr>
          <w:sz w:val="20"/>
          <w:szCs w:val="20"/>
          <w:color w:val="auto"/>
        </w:rPr>
      </w:pPr>
    </w:p>
    <w:p>
      <w:pPr>
        <w:ind w:firstLine="685"/>
        <w:spacing w:after="0" w:line="275" w:lineRule="auto"/>
        <w:rPr>
          <w:sz w:val="20"/>
          <w:szCs w:val="20"/>
          <w:color w:val="auto"/>
        </w:rPr>
      </w:pPr>
      <w:r>
        <w:rPr>
          <w:rFonts w:ascii="Arial" w:cs="Arial" w:eastAsia="Arial" w:hAnsi="Arial"/>
          <w:sz w:val="19"/>
          <w:szCs w:val="19"/>
          <w:color w:val="auto"/>
        </w:rPr>
        <w:t>Article VI of our Amended and Restated Bylaws also provides specific indemnification provisions for our officers, directors, employees and or agents to the fullest extent of the law.</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 Exemption from Registration Claimed.</w:t>
      </w:r>
    </w:p>
    <w:p>
      <w:pPr>
        <w:spacing w:after="0" w:line="244" w:lineRule="exact"/>
        <w:rPr>
          <w:sz w:val="20"/>
          <w:szCs w:val="20"/>
          <w:color w:val="auto"/>
        </w:rPr>
      </w:pPr>
    </w:p>
    <w:p>
      <w:pPr>
        <w:ind w:left="680"/>
        <w:spacing w:after="0"/>
        <w:rPr>
          <w:sz w:val="20"/>
          <w:szCs w:val="20"/>
          <w:color w:val="auto"/>
        </w:rPr>
      </w:pPr>
      <w:r>
        <w:rPr>
          <w:rFonts w:ascii="Arial" w:cs="Arial" w:eastAsia="Arial" w:hAnsi="Arial"/>
          <w:sz w:val="19"/>
          <w:szCs w:val="19"/>
          <w:color w:val="auto"/>
        </w:rPr>
        <w:t>Not applicable.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90" w:right="120" w:bottom="1440" w:gutter="0" w:footer="0" w:header="0"/>
        </w:sectPr>
      </w:pPr>
    </w:p>
    <w:bookmarkStart w:id="6" w:name="page7"/>
    <w:bookmarkEnd w:id="6"/>
    <w:p>
      <w:pPr>
        <w:ind w:left="6"/>
        <w:spacing w:after="0"/>
        <w:rPr>
          <w:rFonts w:ascii="Arial" w:cs="Arial" w:eastAsia="Arial" w:hAnsi="Arial"/>
          <w:sz w:val="20"/>
          <w:szCs w:val="20"/>
          <w:u w:val="single" w:color="auto"/>
          <w:color w:val="0000EE"/>
        </w:rPr>
      </w:pPr>
      <w:hyperlink w:anchor="page2">
        <w:r>
          <w:rPr>
            <w:rFonts w:ascii="Arial" w:cs="Arial" w:eastAsia="Arial" w:hAnsi="Arial"/>
            <w:sz w:val="20"/>
            <w:szCs w:val="20"/>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8. Exhibits.</w:t>
      </w:r>
    </w:p>
    <w:p>
      <w:pPr>
        <w:sectPr>
          <w:pgSz w:w="12240" w:h="15840" w:orient="portrait"/>
          <w:cols w:equalWidth="0" w:num="1">
            <w:col w:w="11986"/>
          </w:cols>
          <w:pgMar w:left="114" w:top="90" w:right="140" w:bottom="1440" w:gutter="0" w:footer="0" w:header="0"/>
        </w:sectPr>
      </w:pPr>
    </w:p>
    <w:p>
      <w:pPr>
        <w:spacing w:after="0" w:line="238"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Exhibit</w:t>
      </w:r>
    </w:p>
    <w:p>
      <w:pPr>
        <w:spacing w:after="0" w:line="29"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Number</w:t>
      </w:r>
    </w:p>
    <w:p>
      <w:pPr>
        <w:spacing w:after="0" w:line="48" w:lineRule="exact"/>
        <w:rPr>
          <w:sz w:val="20"/>
          <w:szCs w:val="20"/>
          <w:color w:val="auto"/>
        </w:rPr>
      </w:pPr>
    </w:p>
    <w:p>
      <w:pPr>
        <w:ind w:left="6"/>
        <w:spacing w:after="0"/>
        <w:rPr>
          <w:sz w:val="20"/>
          <w:szCs w:val="20"/>
          <w:color w:val="auto"/>
        </w:rPr>
      </w:pPr>
      <w:r>
        <w:rPr>
          <w:rFonts w:ascii="Arial" w:cs="Arial" w:eastAsia="Arial" w:hAnsi="Arial"/>
          <w:sz w:val="19"/>
          <w:szCs w:val="19"/>
          <w:color w:val="auto"/>
        </w:rPr>
        <w:t>3.1</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9"/>
          <w:szCs w:val="19"/>
          <w:color w:val="auto"/>
        </w:rPr>
        <w:t>3.2</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3.3</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3.4</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3.5</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3.6</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4.1**</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5.1**</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10.1</w:t>
      </w:r>
    </w:p>
    <w:p>
      <w:pPr>
        <w:spacing w:after="0" w:line="267" w:lineRule="exact"/>
        <w:rPr>
          <w:sz w:val="20"/>
          <w:szCs w:val="20"/>
          <w:color w:val="auto"/>
        </w:rPr>
      </w:pPr>
    </w:p>
    <w:p>
      <w:pPr>
        <w:ind w:left="6"/>
        <w:spacing w:after="0"/>
        <w:rPr>
          <w:sz w:val="20"/>
          <w:szCs w:val="20"/>
          <w:color w:val="auto"/>
        </w:rPr>
      </w:pPr>
      <w:r>
        <w:rPr>
          <w:rFonts w:ascii="Arial" w:cs="Arial" w:eastAsia="Arial" w:hAnsi="Arial"/>
          <w:sz w:val="19"/>
          <w:szCs w:val="19"/>
          <w:color w:val="auto"/>
        </w:rPr>
        <w:t>10.2</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10.3</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10.4</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10.5</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10.6</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10.7</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10.8</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14.1</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21.1</w:t>
      </w:r>
    </w:p>
    <w:p>
      <w:pPr>
        <w:spacing w:after="0" w:line="52" w:lineRule="exact"/>
        <w:rPr>
          <w:sz w:val="20"/>
          <w:szCs w:val="20"/>
          <w:color w:val="auto"/>
        </w:rPr>
      </w:pPr>
    </w:p>
    <w:p>
      <w:pPr>
        <w:ind w:left="6"/>
        <w:spacing w:after="0"/>
        <w:rPr>
          <w:sz w:val="20"/>
          <w:szCs w:val="20"/>
          <w:color w:val="auto"/>
        </w:rPr>
      </w:pPr>
      <w:r>
        <w:rPr>
          <w:rFonts w:ascii="Arial" w:cs="Arial" w:eastAsia="Arial" w:hAnsi="Arial"/>
          <w:sz w:val="19"/>
          <w:szCs w:val="19"/>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19050</wp:posOffset>
            </wp:positionV>
            <wp:extent cx="7625080" cy="180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25080" cy="180975"/>
                    </a:xfrm>
                    <a:prstGeom prst="rect">
                      <a:avLst/>
                    </a:prstGeom>
                    <a:noFill/>
                  </pic:spPr>
                </pic:pic>
              </a:graphicData>
            </a:graphic>
          </wp:anchor>
        </w:drawing>
      </w:r>
    </w:p>
    <w:p>
      <w:pPr>
        <w:spacing w:after="0" w:line="213" w:lineRule="auto"/>
        <w:rPr>
          <w:rFonts w:ascii="Arial" w:cs="Arial" w:eastAsia="Arial" w:hAnsi="Arial"/>
          <w:sz w:val="19"/>
          <w:szCs w:val="19"/>
          <w:u w:val="single" w:color="auto"/>
          <w:color w:val="0000EE"/>
        </w:rPr>
      </w:pPr>
      <w:hyperlink r:id="rId19">
        <w:r>
          <w:rPr>
            <w:rFonts w:ascii="Arial" w:cs="Arial" w:eastAsia="Arial" w:hAnsi="Arial"/>
            <w:sz w:val="19"/>
            <w:szCs w:val="19"/>
            <w:u w:val="single" w:color="auto"/>
            <w:color w:val="0000EE"/>
          </w:rPr>
          <w:t>Articles of Incorporation of OptimizeRx Corporation (the “Company”)</w:t>
        </w:r>
        <w:r>
          <w:rPr>
            <w:rFonts w:ascii="Arial" w:cs="Arial" w:eastAsia="Arial" w:hAnsi="Arial"/>
            <w:sz w:val="31"/>
            <w:szCs w:val="31"/>
            <w:u w:val="single" w:color="auto"/>
            <w:color w:val="0000EE"/>
            <w:vertAlign w:val="superscript"/>
          </w:rPr>
          <w:t>1</w:t>
        </w:r>
      </w:hyperlink>
    </w:p>
    <w:p>
      <w:pPr>
        <w:spacing w:after="0" w:line="182" w:lineRule="auto"/>
        <w:rPr>
          <w:rFonts w:ascii="Arial" w:cs="Arial" w:eastAsia="Arial" w:hAnsi="Arial"/>
          <w:sz w:val="19"/>
          <w:szCs w:val="19"/>
          <w:u w:val="single" w:color="auto"/>
          <w:color w:val="0000EE"/>
        </w:rPr>
      </w:pPr>
      <w:hyperlink r:id="rId20">
        <w:r>
          <w:rPr>
            <w:rFonts w:ascii="Arial" w:cs="Arial" w:eastAsia="Arial" w:hAnsi="Arial"/>
            <w:sz w:val="19"/>
            <w:szCs w:val="19"/>
            <w:u w:val="single" w:color="auto"/>
            <w:color w:val="0000EE"/>
          </w:rPr>
          <w:t>Amended and Restated Bylaws of the Company</w:t>
        </w:r>
        <w:r>
          <w:rPr>
            <w:rFonts w:ascii="Arial" w:cs="Arial" w:eastAsia="Arial" w:hAnsi="Arial"/>
            <w:sz w:val="31"/>
            <w:szCs w:val="31"/>
            <w:u w:val="single" w:color="auto"/>
            <w:color w:val="0000EE"/>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0</wp:posOffset>
            </wp:positionV>
            <wp:extent cx="7625080" cy="1720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625080" cy="172085"/>
                    </a:xfrm>
                    <a:prstGeom prst="rect">
                      <a:avLst/>
                    </a:prstGeom>
                    <a:noFill/>
                  </pic:spPr>
                </pic:pic>
              </a:graphicData>
            </a:graphic>
          </wp:anchor>
        </w:drawing>
      </w:r>
    </w:p>
    <w:p>
      <w:pPr>
        <w:spacing w:after="0" w:line="183" w:lineRule="auto"/>
        <w:rPr>
          <w:rFonts w:ascii="Arial" w:cs="Arial" w:eastAsia="Arial" w:hAnsi="Arial"/>
          <w:sz w:val="19"/>
          <w:szCs w:val="19"/>
          <w:u w:val="single" w:color="auto"/>
          <w:color w:val="0000EE"/>
        </w:rPr>
      </w:pPr>
      <w:hyperlink r:id="rId19">
        <w:r>
          <w:rPr>
            <w:rFonts w:ascii="Arial" w:cs="Arial" w:eastAsia="Arial" w:hAnsi="Arial"/>
            <w:sz w:val="19"/>
            <w:szCs w:val="19"/>
            <w:u w:val="single" w:color="auto"/>
            <w:color w:val="0000EE"/>
          </w:rPr>
          <w:t>Certificate of Designation, filed on September 5, 2008 with the Secretary of State of the State of Nevada by the Company</w:t>
        </w:r>
        <w:r>
          <w:rPr>
            <w:rFonts w:ascii="Arial" w:cs="Arial" w:eastAsia="Arial" w:hAnsi="Arial"/>
            <w:sz w:val="31"/>
            <w:szCs w:val="31"/>
            <w:u w:val="single" w:color="auto"/>
            <w:color w:val="0000EE"/>
            <w:vertAlign w:val="superscript"/>
          </w:rPr>
          <w:t>1</w:t>
        </w:r>
      </w:hyperlink>
    </w:p>
    <w:p>
      <w:pPr>
        <w:spacing w:after="0" w:line="182" w:lineRule="auto"/>
        <w:rPr>
          <w:rFonts w:ascii="Arial" w:cs="Arial" w:eastAsia="Arial" w:hAnsi="Arial"/>
          <w:sz w:val="19"/>
          <w:szCs w:val="19"/>
          <w:u w:val="single" w:color="auto"/>
          <w:color w:val="0000EE"/>
        </w:rPr>
      </w:pPr>
      <w:hyperlink r:id="rId22">
        <w:r>
          <w:rPr>
            <w:rFonts w:ascii="Arial" w:cs="Arial" w:eastAsia="Arial" w:hAnsi="Arial"/>
            <w:sz w:val="19"/>
            <w:szCs w:val="19"/>
            <w:u w:val="single" w:color="auto"/>
            <w:color w:val="0000EE"/>
          </w:rPr>
          <w:t>Certificate of Designation, filed on June 3, 2010 with the Secretary of State of the State of Nevada by the Company</w:t>
        </w:r>
        <w:r>
          <w:rPr>
            <w:rFonts w:ascii="Arial" w:cs="Arial" w:eastAsia="Arial" w:hAnsi="Arial"/>
            <w:sz w:val="31"/>
            <w:szCs w:val="31"/>
            <w:u w:val="single" w:color="auto"/>
            <w:color w:val="0000EE"/>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0</wp:posOffset>
            </wp:positionV>
            <wp:extent cx="7625080" cy="172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625080" cy="172085"/>
                    </a:xfrm>
                    <a:prstGeom prst="rect">
                      <a:avLst/>
                    </a:prstGeom>
                    <a:noFill/>
                  </pic:spPr>
                </pic:pic>
              </a:graphicData>
            </a:graphic>
          </wp:anchor>
        </w:drawing>
      </w:r>
    </w:p>
    <w:p>
      <w:pPr>
        <w:spacing w:after="0" w:line="182" w:lineRule="auto"/>
        <w:rPr>
          <w:rFonts w:ascii="Arial" w:cs="Arial" w:eastAsia="Arial" w:hAnsi="Arial"/>
          <w:sz w:val="19"/>
          <w:szCs w:val="19"/>
          <w:u w:val="single" w:color="auto"/>
          <w:color w:val="0000EE"/>
        </w:rPr>
      </w:pPr>
      <w:hyperlink r:id="rId24">
        <w:r>
          <w:rPr>
            <w:rFonts w:ascii="Arial" w:cs="Arial" w:eastAsia="Arial" w:hAnsi="Arial"/>
            <w:sz w:val="19"/>
            <w:szCs w:val="19"/>
            <w:u w:val="single" w:color="auto"/>
            <w:color w:val="0000EE"/>
          </w:rPr>
          <w:t>Certificate of Correction, dated April 30, 2018</w:t>
        </w:r>
        <w:r>
          <w:rPr>
            <w:rFonts w:ascii="Arial" w:cs="Arial" w:eastAsia="Arial" w:hAnsi="Arial"/>
            <w:sz w:val="31"/>
            <w:szCs w:val="31"/>
            <w:u w:val="single" w:color="auto"/>
            <w:color w:val="0000EE"/>
            <w:vertAlign w:val="superscript"/>
          </w:rPr>
          <w:t>11</w:t>
        </w:r>
      </w:hyperlink>
    </w:p>
    <w:p>
      <w:pPr>
        <w:spacing w:after="0" w:line="1" w:lineRule="exact"/>
        <w:rPr>
          <w:sz w:val="20"/>
          <w:szCs w:val="20"/>
          <w:color w:val="auto"/>
        </w:rPr>
      </w:pPr>
    </w:p>
    <w:p>
      <w:pPr>
        <w:ind w:right="4840"/>
        <w:spacing w:after="0" w:line="219" w:lineRule="auto"/>
        <w:rPr>
          <w:rFonts w:ascii="Arial" w:cs="Arial" w:eastAsia="Arial" w:hAnsi="Arial"/>
          <w:sz w:val="19"/>
          <w:szCs w:val="19"/>
          <w:u w:val="single" w:color="auto"/>
          <w:color w:val="0000EE"/>
        </w:rPr>
      </w:pPr>
      <w:hyperlink r:id="rId25">
        <w:r>
          <w:rPr>
            <w:rFonts w:ascii="Arial" w:cs="Arial" w:eastAsia="Arial" w:hAnsi="Arial"/>
            <w:sz w:val="19"/>
            <w:szCs w:val="19"/>
            <w:u w:val="single" w:color="auto"/>
            <w:color w:val="0000EE"/>
          </w:rPr>
          <w:t>Certificate of Withdrawal of Certificate of Designation, dated May 10, 2018</w:t>
        </w:r>
      </w:hyperlink>
      <w:r>
        <w:rPr>
          <w:rFonts w:ascii="Arial" w:cs="Arial" w:eastAsia="Arial" w:hAnsi="Arial"/>
          <w:sz w:val="31"/>
          <w:szCs w:val="31"/>
          <w:u w:val="single" w:color="auto"/>
          <w:color w:val="0000EE"/>
          <w:vertAlign w:val="superscript"/>
        </w:rPr>
        <w:t>11</w:t>
      </w:r>
      <w:r>
        <w:rPr>
          <w:rFonts w:ascii="Arial" w:cs="Arial" w:eastAsia="Arial" w:hAnsi="Arial"/>
          <w:sz w:val="19"/>
          <w:szCs w:val="19"/>
          <w:u w:val="single" w:color="auto"/>
          <w:color w:val="0000EE"/>
        </w:rPr>
        <w:t xml:space="preserve"> Third Amended and Restated 2013 Equity Incentive Plan The Doney Law Firm Opinion and consent to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-288290</wp:posOffset>
            </wp:positionV>
            <wp:extent cx="7625080" cy="144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625080" cy="144780"/>
                    </a:xfrm>
                    <a:prstGeom prst="rect">
                      <a:avLst/>
                    </a:prstGeom>
                    <a:noFill/>
                  </pic:spPr>
                </pic:pic>
              </a:graphicData>
            </a:graphic>
          </wp:anchor>
        </w:drawing>
      </w:r>
    </w:p>
    <w:p>
      <w:pPr>
        <w:spacing w:after="0" w:line="209" w:lineRule="auto"/>
        <w:rPr>
          <w:rFonts w:ascii="Arial" w:cs="Arial" w:eastAsia="Arial" w:hAnsi="Arial"/>
          <w:sz w:val="19"/>
          <w:szCs w:val="19"/>
          <w:u w:val="single" w:color="auto"/>
          <w:color w:val="0000EE"/>
        </w:rPr>
      </w:pPr>
      <w:hyperlink r:id="rId27">
        <w:r>
          <w:rPr>
            <w:rFonts w:ascii="Arial" w:cs="Arial" w:eastAsia="Arial" w:hAnsi="Arial"/>
            <w:sz w:val="19"/>
            <w:szCs w:val="19"/>
            <w:u w:val="single" w:color="auto"/>
            <w:color w:val="0000EE"/>
          </w:rPr>
          <w:t>Separation Agreement, Corporate Consulting Agreement and Confidentiality Agreement between the Company and David Harrell dated May</w:t>
        </w:r>
      </w:hyperlink>
      <w:r>
        <w:rPr>
          <w:rFonts w:ascii="Arial" w:cs="Arial" w:eastAsia="Arial" w:hAnsi="Arial"/>
          <w:sz w:val="19"/>
          <w:szCs w:val="19"/>
          <w:u w:val="single" w:color="auto"/>
          <w:color w:val="0000EE"/>
        </w:rPr>
        <w:t xml:space="preserve"> </w:t>
      </w:r>
      <w:hyperlink r:id="rId27">
        <w:r>
          <w:rPr>
            <w:rFonts w:ascii="Arial" w:cs="Arial" w:eastAsia="Arial" w:hAnsi="Arial"/>
            <w:sz w:val="19"/>
            <w:szCs w:val="19"/>
            <w:u w:val="single" w:color="auto"/>
            <w:color w:val="0000EE"/>
          </w:rPr>
          <w:t>5, 2016</w:t>
        </w:r>
        <w:r>
          <w:rPr>
            <w:rFonts w:ascii="Arial" w:cs="Arial" w:eastAsia="Arial" w:hAnsi="Arial"/>
            <w:sz w:val="31"/>
            <w:szCs w:val="31"/>
            <w:u w:val="single" w:color="auto"/>
            <w:color w:val="0000EE"/>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-316865</wp:posOffset>
            </wp:positionV>
            <wp:extent cx="7625080" cy="316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625080" cy="316865"/>
                    </a:xfrm>
                    <a:prstGeom prst="rect">
                      <a:avLst/>
                    </a:prstGeom>
                    <a:noFill/>
                  </pic:spPr>
                </pic:pic>
              </a:graphicData>
            </a:graphic>
          </wp:anchor>
        </w:drawing>
      </w:r>
    </w:p>
    <w:p>
      <w:pPr>
        <w:spacing w:after="0" w:line="183" w:lineRule="auto"/>
        <w:rPr>
          <w:rFonts w:ascii="Arial" w:cs="Arial" w:eastAsia="Arial" w:hAnsi="Arial"/>
          <w:sz w:val="19"/>
          <w:szCs w:val="19"/>
          <w:u w:val="single" w:color="auto"/>
          <w:color w:val="0000EE"/>
        </w:rPr>
      </w:pPr>
      <w:hyperlink r:id="rId29">
        <w:r>
          <w:rPr>
            <w:rFonts w:ascii="Arial" w:cs="Arial" w:eastAsia="Arial" w:hAnsi="Arial"/>
            <w:sz w:val="19"/>
            <w:szCs w:val="19"/>
            <w:u w:val="single" w:color="auto"/>
            <w:color w:val="0000EE"/>
          </w:rPr>
          <w:t>Amendment to Employment Agreement with Miriam Paramore, dated September 10, 2018</w:t>
        </w:r>
        <w:r>
          <w:rPr>
            <w:rFonts w:ascii="Arial" w:cs="Arial" w:eastAsia="Arial" w:hAnsi="Arial"/>
            <w:sz w:val="31"/>
            <w:szCs w:val="31"/>
            <w:u w:val="single" w:color="auto"/>
            <w:color w:val="0000EE"/>
            <w:vertAlign w:val="superscript"/>
          </w:rPr>
          <w:t>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0</wp:posOffset>
            </wp:positionV>
            <wp:extent cx="7625080" cy="1720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625080" cy="172085"/>
                    </a:xfrm>
                    <a:prstGeom prst="rect">
                      <a:avLst/>
                    </a:prstGeom>
                    <a:noFill/>
                  </pic:spPr>
                </pic:pic>
              </a:graphicData>
            </a:graphic>
          </wp:anchor>
        </w:drawing>
      </w:r>
    </w:p>
    <w:p>
      <w:pPr>
        <w:spacing w:after="0" w:line="182" w:lineRule="auto"/>
        <w:rPr>
          <w:rFonts w:ascii="Arial" w:cs="Arial" w:eastAsia="Arial" w:hAnsi="Arial"/>
          <w:sz w:val="19"/>
          <w:szCs w:val="19"/>
          <w:u w:val="single" w:color="auto"/>
          <w:color w:val="0000EE"/>
        </w:rPr>
      </w:pPr>
      <w:hyperlink r:id="rId31">
        <w:r>
          <w:rPr>
            <w:rFonts w:ascii="Arial" w:cs="Arial" w:eastAsia="Arial" w:hAnsi="Arial"/>
            <w:sz w:val="19"/>
            <w:szCs w:val="19"/>
            <w:u w:val="single" w:color="auto"/>
            <w:color w:val="0000EE"/>
          </w:rPr>
          <w:t>Purchase Agreement, dated May 2, 2018</w:t>
        </w:r>
        <w:r>
          <w:rPr>
            <w:rFonts w:ascii="Arial" w:cs="Arial" w:eastAsia="Arial" w:hAnsi="Arial"/>
            <w:sz w:val="31"/>
            <w:szCs w:val="31"/>
            <w:u w:val="single" w:color="auto"/>
            <w:color w:val="0000EE"/>
            <w:vertAlign w:val="superscript"/>
          </w:rPr>
          <w:t>6</w:t>
        </w:r>
      </w:hyperlink>
    </w:p>
    <w:p>
      <w:pPr>
        <w:spacing w:after="0" w:line="182" w:lineRule="auto"/>
        <w:rPr>
          <w:rFonts w:ascii="Arial" w:cs="Arial" w:eastAsia="Arial" w:hAnsi="Arial"/>
          <w:sz w:val="19"/>
          <w:szCs w:val="19"/>
          <w:u w:val="single" w:color="auto"/>
          <w:color w:val="0000EE"/>
        </w:rPr>
      </w:pPr>
      <w:hyperlink r:id="rId32">
        <w:r>
          <w:rPr>
            <w:rFonts w:ascii="Arial" w:cs="Arial" w:eastAsia="Arial" w:hAnsi="Arial"/>
            <w:sz w:val="19"/>
            <w:szCs w:val="19"/>
            <w:u w:val="single" w:color="auto"/>
            <w:color w:val="0000EE"/>
          </w:rPr>
          <w:t>Registration Rights Agreement, dated May 2, 2018</w:t>
        </w:r>
        <w:r>
          <w:rPr>
            <w:rFonts w:ascii="Arial" w:cs="Arial" w:eastAsia="Arial" w:hAnsi="Arial"/>
            <w:sz w:val="31"/>
            <w:szCs w:val="31"/>
            <w:u w:val="single" w:color="auto"/>
            <w:color w:val="0000EE"/>
            <w:vertAlign w:val="superscript"/>
          </w:rPr>
          <w:t>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0</wp:posOffset>
            </wp:positionV>
            <wp:extent cx="7625080" cy="172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625080" cy="172085"/>
                    </a:xfrm>
                    <a:prstGeom prst="rect">
                      <a:avLst/>
                    </a:prstGeom>
                    <a:noFill/>
                  </pic:spPr>
                </pic:pic>
              </a:graphicData>
            </a:graphic>
          </wp:anchor>
        </w:drawing>
      </w:r>
    </w:p>
    <w:p>
      <w:pPr>
        <w:spacing w:after="0" w:line="183" w:lineRule="auto"/>
        <w:rPr>
          <w:rFonts w:ascii="Arial" w:cs="Arial" w:eastAsia="Arial" w:hAnsi="Arial"/>
          <w:sz w:val="19"/>
          <w:szCs w:val="19"/>
          <w:u w:val="single" w:color="auto"/>
          <w:color w:val="0000EE"/>
        </w:rPr>
      </w:pPr>
      <w:hyperlink r:id="rId34">
        <w:r>
          <w:rPr>
            <w:rFonts w:ascii="Arial" w:cs="Arial" w:eastAsia="Arial" w:hAnsi="Arial"/>
            <w:sz w:val="19"/>
            <w:szCs w:val="19"/>
            <w:u w:val="single" w:color="auto"/>
            <w:color w:val="0000EE"/>
          </w:rPr>
          <w:t>Stock Purchase Agreement, dated October 17, 2018</w:t>
        </w:r>
        <w:r>
          <w:rPr>
            <w:rFonts w:ascii="Arial" w:cs="Arial" w:eastAsia="Arial" w:hAnsi="Arial"/>
            <w:sz w:val="31"/>
            <w:szCs w:val="31"/>
            <w:u w:val="single" w:color="auto"/>
            <w:color w:val="0000EE"/>
            <w:vertAlign w:val="superscript"/>
          </w:rPr>
          <w:t>7</w:t>
        </w:r>
      </w:hyperlink>
    </w:p>
    <w:p>
      <w:pPr>
        <w:spacing w:after="0" w:line="182" w:lineRule="auto"/>
        <w:rPr>
          <w:rFonts w:ascii="Arial" w:cs="Arial" w:eastAsia="Arial" w:hAnsi="Arial"/>
          <w:sz w:val="19"/>
          <w:szCs w:val="19"/>
          <w:u w:val="single" w:color="auto"/>
          <w:color w:val="0000EE"/>
        </w:rPr>
      </w:pPr>
      <w:hyperlink r:id="rId35">
        <w:r>
          <w:rPr>
            <w:rFonts w:ascii="Arial" w:cs="Arial" w:eastAsia="Arial" w:hAnsi="Arial"/>
            <w:sz w:val="19"/>
            <w:szCs w:val="19"/>
            <w:u w:val="single" w:color="auto"/>
            <w:color w:val="0000EE"/>
          </w:rPr>
          <w:t>Amendment to Employment Agreement with Terry Hamilton, dated February 7, 2019</w:t>
        </w:r>
        <w:r>
          <w:rPr>
            <w:rFonts w:ascii="Arial" w:cs="Arial" w:eastAsia="Arial" w:hAnsi="Arial"/>
            <w:sz w:val="31"/>
            <w:szCs w:val="31"/>
            <w:u w:val="single" w:color="auto"/>
            <w:color w:val="0000EE"/>
            <w:vertAlign w:val="superscript"/>
          </w:rPr>
          <w:t>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0</wp:posOffset>
            </wp:positionV>
            <wp:extent cx="7625080" cy="1720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7625080" cy="172085"/>
                    </a:xfrm>
                    <a:prstGeom prst="rect">
                      <a:avLst/>
                    </a:prstGeom>
                    <a:noFill/>
                  </pic:spPr>
                </pic:pic>
              </a:graphicData>
            </a:graphic>
          </wp:anchor>
        </w:drawing>
      </w:r>
    </w:p>
    <w:p>
      <w:pPr>
        <w:spacing w:after="0" w:line="183" w:lineRule="auto"/>
        <w:rPr>
          <w:rFonts w:ascii="Arial" w:cs="Arial" w:eastAsia="Arial" w:hAnsi="Arial"/>
          <w:sz w:val="19"/>
          <w:szCs w:val="19"/>
          <w:u w:val="single" w:color="auto"/>
          <w:color w:val="0000EE"/>
        </w:rPr>
      </w:pPr>
      <w:hyperlink r:id="rId37">
        <w:r>
          <w:rPr>
            <w:rFonts w:ascii="Arial" w:cs="Arial" w:eastAsia="Arial" w:hAnsi="Arial"/>
            <w:sz w:val="19"/>
            <w:szCs w:val="19"/>
            <w:u w:val="single" w:color="auto"/>
            <w:color w:val="0000EE"/>
          </w:rPr>
          <w:t>Amendment to Employment Agreement with Doug Baker, dated February 7, 2019</w:t>
        </w:r>
        <w:r>
          <w:rPr>
            <w:rFonts w:ascii="Arial" w:cs="Arial" w:eastAsia="Arial" w:hAnsi="Arial"/>
            <w:sz w:val="31"/>
            <w:szCs w:val="31"/>
            <w:u w:val="single" w:color="auto"/>
            <w:color w:val="0000EE"/>
            <w:vertAlign w:val="superscript"/>
          </w:rPr>
          <w:t>8</w:t>
        </w:r>
      </w:hyperlink>
    </w:p>
    <w:p>
      <w:pPr>
        <w:spacing w:after="0" w:line="182" w:lineRule="auto"/>
        <w:rPr>
          <w:rFonts w:ascii="Arial" w:cs="Arial" w:eastAsia="Arial" w:hAnsi="Arial"/>
          <w:sz w:val="19"/>
          <w:szCs w:val="19"/>
          <w:u w:val="single" w:color="auto"/>
          <w:color w:val="0000EE"/>
        </w:rPr>
      </w:pPr>
      <w:hyperlink r:id="rId38">
        <w:r>
          <w:rPr>
            <w:rFonts w:ascii="Arial" w:cs="Arial" w:eastAsia="Arial" w:hAnsi="Arial"/>
            <w:sz w:val="19"/>
            <w:szCs w:val="19"/>
            <w:u w:val="single" w:color="auto"/>
            <w:color w:val="0000EE"/>
          </w:rPr>
          <w:t>Amendment to Employment Agreement with William Febbo, dated February 25, 2019</w:t>
        </w:r>
        <w:r>
          <w:rPr>
            <w:rFonts w:ascii="Arial" w:cs="Arial" w:eastAsia="Arial" w:hAnsi="Arial"/>
            <w:sz w:val="31"/>
            <w:szCs w:val="31"/>
            <w:u w:val="single" w:color="auto"/>
            <w:color w:val="0000EE"/>
            <w:vertAlign w:val="superscript"/>
          </w:rPr>
          <w:t>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0</wp:posOffset>
            </wp:positionV>
            <wp:extent cx="7625080" cy="1720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625080" cy="172085"/>
                    </a:xfrm>
                    <a:prstGeom prst="rect">
                      <a:avLst/>
                    </a:prstGeom>
                    <a:noFill/>
                  </pic:spPr>
                </pic:pic>
              </a:graphicData>
            </a:graphic>
          </wp:anchor>
        </w:drawing>
      </w:r>
    </w:p>
    <w:p>
      <w:pPr>
        <w:spacing w:after="0" w:line="183" w:lineRule="auto"/>
        <w:rPr>
          <w:rFonts w:ascii="Arial" w:cs="Arial" w:eastAsia="Arial" w:hAnsi="Arial"/>
          <w:sz w:val="19"/>
          <w:szCs w:val="19"/>
          <w:u w:val="single" w:color="auto"/>
          <w:color w:val="0000EE"/>
        </w:rPr>
      </w:pPr>
      <w:hyperlink r:id="rId40">
        <w:r>
          <w:rPr>
            <w:rFonts w:ascii="Arial" w:cs="Arial" w:eastAsia="Arial" w:hAnsi="Arial"/>
            <w:sz w:val="19"/>
            <w:szCs w:val="19"/>
            <w:u w:val="single" w:color="auto"/>
            <w:color w:val="0000EE"/>
          </w:rPr>
          <w:t>Code of Business Conduct and Ethics</w:t>
        </w:r>
        <w:r>
          <w:rPr>
            <w:rFonts w:ascii="Arial" w:cs="Arial" w:eastAsia="Arial" w:hAnsi="Arial"/>
            <w:sz w:val="31"/>
            <w:szCs w:val="31"/>
            <w:u w:val="single" w:color="auto"/>
            <w:color w:val="0000EE"/>
            <w:vertAlign w:val="superscript"/>
          </w:rPr>
          <w:t>10</w:t>
        </w:r>
      </w:hyperlink>
    </w:p>
    <w:p>
      <w:pPr>
        <w:spacing w:after="0" w:line="182" w:lineRule="auto"/>
        <w:rPr>
          <w:rFonts w:ascii="Arial" w:cs="Arial" w:eastAsia="Arial" w:hAnsi="Arial"/>
          <w:sz w:val="19"/>
          <w:szCs w:val="19"/>
          <w:color w:val="0000EE"/>
        </w:rPr>
      </w:pPr>
      <w:hyperlink r:id="rId41">
        <w:r>
          <w:rPr>
            <w:rFonts w:ascii="Arial" w:cs="Arial" w:eastAsia="Arial" w:hAnsi="Arial"/>
            <w:sz w:val="19"/>
            <w:szCs w:val="19"/>
            <w:u w:val="single" w:color="auto"/>
            <w:color w:val="0000EE"/>
          </w:rPr>
          <w:t>List of Subsidiarie</w:t>
        </w:r>
      </w:hyperlink>
      <w:r>
        <w:rPr>
          <w:rFonts w:ascii="Arial" w:cs="Arial" w:eastAsia="Arial" w:hAnsi="Arial"/>
          <w:sz w:val="31"/>
          <w:szCs w:val="31"/>
          <w:color w:val="000000"/>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0</wp:posOffset>
            </wp:positionV>
            <wp:extent cx="7625080" cy="144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2">
                      <a:extLst>
                        <a:ext uri="{28A0092B-C50C-407E-A947-70E740481C1C}"/>
                      </a:extLst>
                    </a:blip>
                    <a:srcRect/>
                    <a:stretch>
                      <a:fillRect/>
                    </a:stretch>
                  </pic:blipFill>
                  <pic:spPr bwMode="auto">
                    <a:xfrm>
                      <a:off x="0" y="0"/>
                      <a:ext cx="7625080" cy="14478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u w:val="single" w:color="auto"/>
          <w:color w:val="0000EE"/>
        </w:rPr>
        <w:t>Consent of Sadler, Gibb &amp; Associates, LLC**</w:t>
      </w:r>
    </w:p>
    <w:p>
      <w:pPr>
        <w:spacing w:after="0" w:line="200" w:lineRule="exact"/>
        <w:rPr>
          <w:sz w:val="20"/>
          <w:szCs w:val="20"/>
          <w:color w:val="auto"/>
        </w:rPr>
      </w:pPr>
    </w:p>
    <w:p>
      <w:pPr>
        <w:sectPr>
          <w:pgSz w:w="12240" w:h="15840" w:orient="portrait"/>
          <w:cols w:equalWidth="0" w:num="2">
            <w:col w:w="666" w:space="540"/>
            <w:col w:w="10780"/>
          </w:cols>
          <w:pgMar w:left="114" w:top="90" w:right="140" w:bottom="1440" w:gutter="0" w:footer="0" w:header="0"/>
          <w:type w:val="continuous"/>
        </w:sectPr>
      </w:pPr>
    </w:p>
    <w:p>
      <w:pPr>
        <w:spacing w:after="0" w:line="169" w:lineRule="exact"/>
        <w:rPr>
          <w:sz w:val="20"/>
          <w:szCs w:val="20"/>
          <w:color w:val="auto"/>
        </w:rPr>
      </w:pPr>
    </w:p>
    <w:p>
      <w:pPr>
        <w:ind w:left="346" w:hanging="346"/>
        <w:spacing w:after="0"/>
        <w:tabs>
          <w:tab w:leader="none" w:pos="346"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Incorporated by reference to the Form S-1, filed by the Company with the Securities and Exchange Commission on November 12, 2008.</w:t>
      </w:r>
    </w:p>
    <w:p>
      <w:pPr>
        <w:ind w:left="346" w:hanging="346"/>
        <w:spacing w:after="0" w:line="183" w:lineRule="auto"/>
        <w:tabs>
          <w:tab w:leader="none" w:pos="346"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8-K, filed by the Company with the Securities and Exchange Commission on July 16, 2010.</w:t>
      </w:r>
    </w:p>
    <w:p>
      <w:pPr>
        <w:ind w:left="346" w:hanging="346"/>
        <w:spacing w:after="0" w:line="183" w:lineRule="auto"/>
        <w:tabs>
          <w:tab w:leader="none" w:pos="346"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8-K, filed by the Company with the Securities and Exchange Commission on June 11, 2010.</w:t>
      </w:r>
    </w:p>
    <w:p>
      <w:pPr>
        <w:ind w:left="346" w:hanging="346"/>
        <w:spacing w:after="0" w:line="183" w:lineRule="auto"/>
        <w:tabs>
          <w:tab w:leader="none" w:pos="346" w:val="left"/>
        </w:tabs>
        <w:numPr>
          <w:ilvl w:val="0"/>
          <w:numId w:val="10"/>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10-Q, filed by the Company with the Securities and Exchange Commission on May 9, 2016.</w:t>
      </w:r>
    </w:p>
    <w:p>
      <w:pPr>
        <w:ind w:left="346" w:hanging="346"/>
        <w:spacing w:after="0" w:line="183" w:lineRule="auto"/>
        <w:tabs>
          <w:tab w:leader="none" w:pos="346"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14, 2018.</w:t>
      </w:r>
    </w:p>
    <w:p>
      <w:pPr>
        <w:ind w:left="346" w:hanging="346"/>
        <w:spacing w:after="0" w:line="183" w:lineRule="auto"/>
        <w:tabs>
          <w:tab w:leader="none" w:pos="346" w:val="left"/>
        </w:tabs>
        <w:numPr>
          <w:ilvl w:val="0"/>
          <w:numId w:val="12"/>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10-Q filed by the Company with the Securities and Exchange Commission on May 2, 2018.</w:t>
      </w:r>
    </w:p>
    <w:p>
      <w:pPr>
        <w:ind w:left="346" w:hanging="346"/>
        <w:spacing w:after="0" w:line="183" w:lineRule="auto"/>
        <w:tabs>
          <w:tab w:leader="none" w:pos="346"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8-K filed by the Company with the Securities and Exchange Commission on October 17, 2018.</w:t>
      </w:r>
    </w:p>
    <w:p>
      <w:pPr>
        <w:ind w:left="346" w:hanging="346"/>
        <w:spacing w:after="0" w:line="184" w:lineRule="auto"/>
        <w:tabs>
          <w:tab w:leader="none" w:pos="346"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8-K filed by the Company with the Securities and Exchange Commission on February 7, 2019.</w:t>
      </w:r>
    </w:p>
    <w:p>
      <w:pPr>
        <w:ind w:left="346" w:hanging="346"/>
        <w:spacing w:after="0" w:line="183" w:lineRule="auto"/>
        <w:tabs>
          <w:tab w:leader="none" w:pos="346" w:val="left"/>
        </w:tabs>
        <w:numPr>
          <w:ilvl w:val="0"/>
          <w:numId w:val="15"/>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8-K filed by the Company with the Securities and Exchange Commission on February 26, 2019.</w:t>
      </w:r>
    </w:p>
    <w:p>
      <w:pPr>
        <w:ind w:left="346" w:hanging="346"/>
        <w:spacing w:after="0" w:line="183" w:lineRule="auto"/>
        <w:tabs>
          <w:tab w:leader="none" w:pos="346"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10-K filed by the Company with the Securities and Exchange Commission on March 8, 2018.</w:t>
      </w:r>
    </w:p>
    <w:p>
      <w:pPr>
        <w:spacing w:after="0" w:line="3" w:lineRule="exact"/>
        <w:rPr>
          <w:rFonts w:ascii="Arial" w:cs="Arial" w:eastAsia="Arial" w:hAnsi="Arial"/>
          <w:sz w:val="26"/>
          <w:szCs w:val="26"/>
          <w:color w:val="auto"/>
          <w:vertAlign w:val="superscript"/>
        </w:rPr>
      </w:pPr>
    </w:p>
    <w:p>
      <w:pPr>
        <w:ind w:left="346" w:hanging="346"/>
        <w:spacing w:after="0" w:line="180" w:lineRule="auto"/>
        <w:tabs>
          <w:tab w:leader="none" w:pos="346"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10-K filed by the Company with the Securities and Exchange Commission on March 12, 2019.</w:t>
      </w:r>
    </w:p>
    <w:p>
      <w:pPr>
        <w:spacing w:after="0" w:line="216" w:lineRule="exact"/>
        <w:rPr>
          <w:sz w:val="20"/>
          <w:szCs w:val="20"/>
          <w:color w:val="auto"/>
        </w:rPr>
      </w:pPr>
    </w:p>
    <w:p>
      <w:pPr>
        <w:ind w:left="6"/>
        <w:spacing w:after="0"/>
        <w:rPr>
          <w:sz w:val="20"/>
          <w:szCs w:val="20"/>
          <w:color w:val="auto"/>
        </w:rPr>
      </w:pPr>
      <w:r>
        <w:rPr>
          <w:rFonts w:ascii="Arial" w:cs="Arial" w:eastAsia="Arial" w:hAnsi="Arial"/>
          <w:sz w:val="19"/>
          <w:szCs w:val="19"/>
          <w:color w:val="auto"/>
        </w:rPr>
        <w:t>** provided herewith</w:t>
      </w:r>
    </w:p>
    <w:p>
      <w:pPr>
        <w:spacing w:after="0" w:line="200" w:lineRule="exact"/>
        <w:rPr>
          <w:sz w:val="20"/>
          <w:szCs w:val="20"/>
          <w:color w:val="auto"/>
        </w:rPr>
      </w:pPr>
    </w:p>
    <w:p>
      <w:pPr>
        <w:spacing w:after="0" w:line="257" w:lineRule="exact"/>
        <w:rPr>
          <w:sz w:val="20"/>
          <w:szCs w:val="20"/>
          <w:color w:val="auto"/>
        </w:rPr>
      </w:pPr>
    </w:p>
    <w:p>
      <w:pPr>
        <w:jc w:val="center"/>
        <w:ind w:right="-5"/>
        <w:spacing w:after="0"/>
        <w:rPr>
          <w:sz w:val="20"/>
          <w:szCs w:val="20"/>
          <w:color w:val="auto"/>
        </w:rPr>
      </w:pPr>
      <w:r>
        <w:rPr>
          <w:rFonts w:ascii="Arial" w:cs="Arial" w:eastAsia="Arial" w:hAnsi="Arial"/>
          <w:sz w:val="23"/>
          <w:szCs w:val="2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62508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986"/>
          </w:cols>
          <w:pgMar w:left="114" w:top="90" w:right="140" w:bottom="1440" w:gutter="0" w:footer="0" w:header="0"/>
          <w:type w:val="continuous"/>
        </w:sectPr>
      </w:pPr>
    </w:p>
    <w:bookmarkStart w:id="7" w:name="page8"/>
    <w:bookmarkEnd w:id="7"/>
    <w:p>
      <w:pPr>
        <w:ind w:left="6"/>
        <w:spacing w:after="0"/>
        <w:rPr>
          <w:rFonts w:ascii="Arial" w:cs="Arial" w:eastAsia="Arial" w:hAnsi="Arial"/>
          <w:sz w:val="23"/>
          <w:szCs w:val="23"/>
          <w:u w:val="single" w:color="auto"/>
          <w:color w:val="0000EE"/>
        </w:rPr>
      </w:pPr>
      <w:hyperlink w:anchor="page2">
        <w:r>
          <w:rPr>
            <w:rFonts w:ascii="Arial" w:cs="Arial" w:eastAsia="Arial" w:hAnsi="Arial"/>
            <w:sz w:val="23"/>
            <w:szCs w:val="23"/>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Item 9. Undertakings</w:t>
      </w:r>
    </w:p>
    <w:p>
      <w:pPr>
        <w:spacing w:after="0" w:line="244" w:lineRule="exact"/>
        <w:rPr>
          <w:sz w:val="20"/>
          <w:szCs w:val="20"/>
          <w:color w:val="auto"/>
        </w:rPr>
      </w:pPr>
    </w:p>
    <w:p>
      <w:pPr>
        <w:ind w:left="686"/>
        <w:spacing w:after="0"/>
        <w:rPr>
          <w:sz w:val="20"/>
          <w:szCs w:val="20"/>
          <w:color w:val="auto"/>
        </w:rPr>
      </w:pPr>
      <w:r>
        <w:rPr>
          <w:rFonts w:ascii="Arial" w:cs="Arial" w:eastAsia="Arial" w:hAnsi="Arial"/>
          <w:sz w:val="19"/>
          <w:szCs w:val="19"/>
          <w:color w:val="auto"/>
        </w:rPr>
        <w:t>The undersigned registrant hereby undertakes:</w:t>
      </w:r>
    </w:p>
    <w:p>
      <w:pPr>
        <w:spacing w:after="0" w:line="238" w:lineRule="exact"/>
        <w:rPr>
          <w:sz w:val="20"/>
          <w:szCs w:val="20"/>
          <w:color w:val="auto"/>
        </w:rPr>
      </w:pPr>
    </w:p>
    <w:p>
      <w:pPr>
        <w:ind w:left="946" w:hanging="261"/>
        <w:spacing w:after="0"/>
        <w:tabs>
          <w:tab w:leader="none" w:pos="946" w:val="left"/>
        </w:tabs>
        <w:numPr>
          <w:ilvl w:val="1"/>
          <w:numId w:val="17"/>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 statement to:</w:t>
      </w:r>
    </w:p>
    <w:p>
      <w:pPr>
        <w:spacing w:after="0" w:line="237" w:lineRule="exact"/>
        <w:rPr>
          <w:rFonts w:ascii="Arial" w:cs="Arial" w:eastAsia="Arial" w:hAnsi="Arial"/>
          <w:sz w:val="19"/>
          <w:szCs w:val="19"/>
          <w:color w:val="auto"/>
        </w:rPr>
      </w:pPr>
    </w:p>
    <w:p>
      <w:pPr>
        <w:ind w:left="226" w:hanging="226"/>
        <w:spacing w:after="0"/>
        <w:tabs>
          <w:tab w:leader="none" w:pos="226"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include any Prospectus required by Section 10(a)(3) of the Securities Act of 1933, as amended;</w:t>
      </w:r>
    </w:p>
    <w:p>
      <w:pPr>
        <w:spacing w:after="0" w:line="237" w:lineRule="exact"/>
        <w:rPr>
          <w:rFonts w:ascii="Arial" w:cs="Arial" w:eastAsia="Arial" w:hAnsi="Arial"/>
          <w:sz w:val="19"/>
          <w:szCs w:val="19"/>
          <w:color w:val="auto"/>
        </w:rPr>
      </w:pPr>
    </w:p>
    <w:p>
      <w:pPr>
        <w:jc w:val="both"/>
        <w:ind w:left="6" w:hanging="6"/>
        <w:spacing w:after="0" w:line="291" w:lineRule="auto"/>
        <w:tabs>
          <w:tab w:leader="none" w:pos="304"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75" w:lineRule="exact"/>
        <w:rPr>
          <w:rFonts w:ascii="Arial" w:cs="Arial" w:eastAsia="Arial" w:hAnsi="Arial"/>
          <w:sz w:val="17"/>
          <w:szCs w:val="17"/>
          <w:color w:val="auto"/>
        </w:rPr>
      </w:pPr>
    </w:p>
    <w:p>
      <w:pPr>
        <w:ind w:left="6" w:hanging="6"/>
        <w:spacing w:after="0" w:line="275" w:lineRule="auto"/>
        <w:tabs>
          <w:tab w:leader="none" w:pos="347" w:val="left"/>
        </w:tabs>
        <w:numPr>
          <w:ilvl w:val="0"/>
          <w:numId w:val="18"/>
        </w:numPr>
        <w:rPr>
          <w:rFonts w:ascii="Arial" w:cs="Arial" w:eastAsia="Arial" w:hAnsi="Arial"/>
          <w:sz w:val="19"/>
          <w:szCs w:val="19"/>
          <w:color w:val="auto"/>
        </w:rPr>
      </w:pPr>
      <w:r>
        <w:rPr>
          <w:rFonts w:ascii="Arial" w:cs="Arial" w:eastAsia="Arial" w:hAnsi="Arial"/>
          <w:sz w:val="19"/>
          <w:szCs w:val="19"/>
          <w:color w:val="auto"/>
        </w:rPr>
        <w:t>include any material information with respect to the plan of distribution not previously disclosed in the registration statement or any material change to such information in the registration statement;</w:t>
      </w:r>
    </w:p>
    <w:p>
      <w:pPr>
        <w:spacing w:after="0" w:line="183" w:lineRule="exact"/>
        <w:rPr>
          <w:rFonts w:ascii="Arial" w:cs="Arial" w:eastAsia="Arial" w:hAnsi="Arial"/>
          <w:sz w:val="19"/>
          <w:szCs w:val="19"/>
          <w:color w:val="auto"/>
        </w:rPr>
      </w:pPr>
    </w:p>
    <w:p>
      <w:pPr>
        <w:jc w:val="both"/>
        <w:ind w:left="6" w:firstLine="679"/>
        <w:spacing w:after="0" w:line="263" w:lineRule="auto"/>
        <w:tabs>
          <w:tab w:leader="none" w:pos="975"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9"/>
          <w:szCs w:val="19"/>
          <w:color w:val="auto"/>
        </w:rPr>
      </w:pPr>
    </w:p>
    <w:p>
      <w:pPr>
        <w:ind w:left="6" w:firstLine="679"/>
        <w:spacing w:after="0" w:line="275" w:lineRule="auto"/>
        <w:tabs>
          <w:tab w:leader="none" w:pos="999" w:val="left"/>
        </w:tabs>
        <w:numPr>
          <w:ilvl w:val="1"/>
          <w:numId w:val="18"/>
        </w:numPr>
        <w:rPr>
          <w:rFonts w:ascii="Arial" w:cs="Arial" w:eastAsia="Arial" w:hAnsi="Arial"/>
          <w:sz w:val="19"/>
          <w:szCs w:val="19"/>
          <w:color w:val="auto"/>
        </w:rPr>
      </w:pPr>
      <w:r>
        <w:rPr>
          <w:rFonts w:ascii="Arial" w:cs="Arial" w:eastAsia="Arial" w:hAnsi="Arial"/>
          <w:sz w:val="19"/>
          <w:szCs w:val="19"/>
          <w:color w:val="auto"/>
        </w:rPr>
        <w:t>To remove from registration by means of a post-effective amendment any of the securities being registered which remain unsold at the termination of the offering.</w:t>
      </w:r>
    </w:p>
    <w:p>
      <w:pPr>
        <w:spacing w:after="0" w:line="183" w:lineRule="exact"/>
        <w:rPr>
          <w:rFonts w:ascii="Arial" w:cs="Arial" w:eastAsia="Arial" w:hAnsi="Arial"/>
          <w:sz w:val="19"/>
          <w:szCs w:val="19"/>
          <w:color w:val="auto"/>
        </w:rPr>
      </w:pPr>
    </w:p>
    <w:p>
      <w:pPr>
        <w:ind w:left="946" w:hanging="261"/>
        <w:spacing w:after="0"/>
        <w:tabs>
          <w:tab w:leader="none" w:pos="946" w:val="left"/>
        </w:tabs>
        <w:numPr>
          <w:ilvl w:val="1"/>
          <w:numId w:val="18"/>
        </w:numPr>
        <w:rPr>
          <w:rFonts w:ascii="Arial" w:cs="Arial" w:eastAsia="Arial" w:hAnsi="Arial"/>
          <w:sz w:val="19"/>
          <w:szCs w:val="19"/>
          <w:color w:val="auto"/>
        </w:rPr>
      </w:pPr>
      <w:r>
        <w:rPr>
          <w:rFonts w:ascii="Arial" w:cs="Arial" w:eastAsia="Arial" w:hAnsi="Arial"/>
          <w:sz w:val="19"/>
          <w:szCs w:val="19"/>
          <w:color w:val="auto"/>
        </w:rPr>
        <w:t>For purposes of determining liability under the Securities Act of 1933 to any purchaser:</w:t>
      </w:r>
    </w:p>
    <w:p>
      <w:pPr>
        <w:spacing w:after="0" w:line="238" w:lineRule="exact"/>
        <w:rPr>
          <w:sz w:val="20"/>
          <w:szCs w:val="20"/>
          <w:color w:val="auto"/>
        </w:rPr>
      </w:pPr>
    </w:p>
    <w:p>
      <w:pPr>
        <w:jc w:val="both"/>
        <w:ind w:left="6" w:hanging="6"/>
        <w:spacing w:after="0" w:line="291" w:lineRule="auto"/>
        <w:tabs>
          <w:tab w:leader="none" w:pos="233"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5" w:lineRule="exact"/>
        <w:rPr>
          <w:rFonts w:ascii="Arial" w:cs="Arial" w:eastAsia="Arial" w:hAnsi="Arial"/>
          <w:sz w:val="17"/>
          <w:szCs w:val="17"/>
          <w:color w:val="auto"/>
        </w:rPr>
      </w:pPr>
    </w:p>
    <w:p>
      <w:pPr>
        <w:ind w:left="966" w:hanging="281"/>
        <w:spacing w:after="0"/>
        <w:tabs>
          <w:tab w:leader="none" w:pos="966" w:val="left"/>
        </w:tabs>
        <w:numPr>
          <w:ilvl w:val="1"/>
          <w:numId w:val="19"/>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w:t>
      </w:r>
    </w:p>
    <w:p>
      <w:pPr>
        <w:spacing w:after="0" w:line="45"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9"/>
          <w:szCs w:val="19"/>
          <w:color w:val="auto"/>
        </w:rPr>
        <w:t>securities:</w:t>
      </w:r>
    </w:p>
    <w:p>
      <w:pPr>
        <w:spacing w:after="0" w:line="225" w:lineRule="exact"/>
        <w:rPr>
          <w:sz w:val="20"/>
          <w:szCs w:val="20"/>
          <w:color w:val="auto"/>
        </w:rPr>
      </w:pPr>
    </w:p>
    <w:p>
      <w:pPr>
        <w:jc w:val="both"/>
        <w:ind w:left="6" w:firstLine="685"/>
        <w:spacing w:after="0" w:line="259" w:lineRule="auto"/>
        <w:rPr>
          <w:sz w:val="20"/>
          <w:szCs w:val="20"/>
          <w:color w:val="auto"/>
        </w:rPr>
      </w:pPr>
      <w:r>
        <w:rPr>
          <w:rFonts w:ascii="Arial" w:cs="Arial" w:eastAsia="Arial" w:hAnsi="Arial"/>
          <w:sz w:val="19"/>
          <w:szCs w:val="19"/>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8" w:lineRule="exact"/>
        <w:rPr>
          <w:sz w:val="20"/>
          <w:szCs w:val="20"/>
          <w:color w:val="auto"/>
        </w:rPr>
      </w:pPr>
    </w:p>
    <w:p>
      <w:pPr>
        <w:ind w:left="226" w:hanging="226"/>
        <w:spacing w:after="0"/>
        <w:tabs>
          <w:tab w:leader="none" w:pos="22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preliminary Prospectus or Prospectus of the undersigned registrant relating to the offering required to be filed pursuant to Rule 424;</w:t>
      </w:r>
    </w:p>
    <w:p>
      <w:pPr>
        <w:spacing w:after="0" w:line="237" w:lineRule="exact"/>
        <w:rPr>
          <w:rFonts w:ascii="Arial" w:cs="Arial" w:eastAsia="Arial" w:hAnsi="Arial"/>
          <w:sz w:val="19"/>
          <w:szCs w:val="19"/>
          <w:color w:val="auto"/>
        </w:rPr>
      </w:pPr>
    </w:p>
    <w:p>
      <w:pPr>
        <w:ind w:left="6" w:hanging="6"/>
        <w:spacing w:after="0" w:line="275" w:lineRule="auto"/>
        <w:tabs>
          <w:tab w:leader="none" w:pos="307"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free writing Prospectus relating to the offering prepared by or on behalf of the undersigned registrant or used or referred to by the undersigned registrant;</w:t>
      </w:r>
    </w:p>
    <w:p>
      <w:pPr>
        <w:spacing w:after="0" w:line="183" w:lineRule="exact"/>
        <w:rPr>
          <w:rFonts w:ascii="Arial" w:cs="Arial" w:eastAsia="Arial" w:hAnsi="Arial"/>
          <w:sz w:val="19"/>
          <w:szCs w:val="19"/>
          <w:color w:val="auto"/>
        </w:rPr>
      </w:pPr>
    </w:p>
    <w:p>
      <w:pPr>
        <w:ind w:left="6" w:hanging="6"/>
        <w:spacing w:after="0" w:line="275" w:lineRule="auto"/>
        <w:tabs>
          <w:tab w:leader="none" w:pos="343"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3" w:lineRule="exact"/>
        <w:rPr>
          <w:rFonts w:ascii="Arial" w:cs="Arial" w:eastAsia="Arial" w:hAnsi="Arial"/>
          <w:sz w:val="19"/>
          <w:szCs w:val="19"/>
          <w:color w:val="auto"/>
        </w:rPr>
      </w:pPr>
    </w:p>
    <w:p>
      <w:pPr>
        <w:ind w:left="326" w:hanging="326"/>
        <w:spacing w:after="0"/>
        <w:tabs>
          <w:tab w:leader="none" w:pos="32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other communication that is an offer in the offering made by the undersigned registrant to the purchaser.</w:t>
      </w:r>
    </w:p>
    <w:p>
      <w:pPr>
        <w:spacing w:after="0" w:line="238" w:lineRule="exact"/>
        <w:rPr>
          <w:sz w:val="20"/>
          <w:szCs w:val="20"/>
          <w:color w:val="auto"/>
        </w:rPr>
      </w:pPr>
    </w:p>
    <w:p>
      <w:pPr>
        <w:jc w:val="both"/>
        <w:ind w:left="6" w:firstLine="685"/>
        <w:spacing w:after="0" w:line="270"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provisions described under Item 24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2240" w:h="15840" w:orient="portrait"/>
          <w:cols w:equalWidth="0" w:num="1">
            <w:col w:w="12006"/>
          </w:cols>
          <w:pgMar w:left="114" w:top="90" w:right="120" w:bottom="84"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762508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6"/>
          </w:cols>
          <w:pgMar w:left="114" w:top="90" w:right="120" w:bottom="84" w:gutter="0" w:footer="0" w:header="0"/>
          <w:type w:val="continuous"/>
        </w:sectPr>
      </w:pPr>
    </w:p>
    <w:bookmarkStart w:id="8" w:name="page9"/>
    <w:bookmarkEnd w:id="8"/>
    <w:p>
      <w:pPr>
        <w:spacing w:after="0"/>
        <w:rPr>
          <w:rFonts w:ascii="Arial" w:cs="Arial" w:eastAsia="Arial" w:hAnsi="Arial"/>
          <w:sz w:val="23"/>
          <w:szCs w:val="23"/>
          <w:u w:val="single" w:color="auto"/>
          <w:color w:val="0000EE"/>
        </w:rPr>
      </w:pPr>
      <w:hyperlink w:anchor="page2">
        <w:r>
          <w:rPr>
            <w:rFonts w:ascii="Arial" w:cs="Arial" w:eastAsia="Arial" w:hAnsi="Arial"/>
            <w:sz w:val="23"/>
            <w:szCs w:val="23"/>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jc w:val="both"/>
        <w:ind w:firstLine="685"/>
        <w:spacing w:after="0" w:line="263" w:lineRule="auto"/>
        <w:rPr>
          <w:sz w:val="20"/>
          <w:szCs w:val="20"/>
          <w:color w:val="auto"/>
        </w:rPr>
      </w:pPr>
      <w:r>
        <w:rPr>
          <w:rFonts w:ascii="Arial" w:cs="Arial" w:eastAsia="Arial" w:hAnsi="Arial"/>
          <w:sz w:val="19"/>
          <w:szCs w:val="19"/>
          <w:color w:val="auto"/>
        </w:rPr>
        <w:t>In accordance with the requirements of the Securities Act of 1933, the registrant certifies that it has reasonable grounds to believe that it meets all of the requirements to a filing on Form S-8 and authorized this filing to be signed on its behalf by the undersigned, thereunto duly authorized, in the City of Rochester, Michigan on March 12, 2019.</w:t>
      </w:r>
    </w:p>
    <w:p>
      <w:pPr>
        <w:spacing w:after="0" w:line="188" w:lineRule="exact"/>
        <w:rPr>
          <w:sz w:val="20"/>
          <w:szCs w:val="20"/>
          <w:color w:val="auto"/>
        </w:rPr>
      </w:pPr>
    </w:p>
    <w:p>
      <w:pPr>
        <w:ind w:left="7220"/>
        <w:spacing w:after="0"/>
        <w:rPr>
          <w:sz w:val="20"/>
          <w:szCs w:val="20"/>
          <w:color w:val="auto"/>
        </w:rPr>
      </w:pPr>
      <w:r>
        <w:rPr>
          <w:rFonts w:ascii="Arial" w:cs="Arial" w:eastAsia="Arial" w:hAnsi="Arial"/>
          <w:sz w:val="19"/>
          <w:szCs w:val="19"/>
          <w:b w:val="1"/>
          <w:bCs w:val="1"/>
          <w:color w:val="auto"/>
        </w:rPr>
        <w:t>OPTIMIZERX CORPORATION</w:t>
      </w:r>
    </w:p>
    <w:p>
      <w:pPr>
        <w:spacing w:after="0" w:line="244" w:lineRule="exact"/>
        <w:rPr>
          <w:sz w:val="20"/>
          <w:szCs w:val="20"/>
          <w:color w:val="auto"/>
        </w:rPr>
      </w:pPr>
    </w:p>
    <w:p>
      <w:pPr>
        <w:ind w:left="7220"/>
        <w:spacing w:after="0"/>
        <w:tabs>
          <w:tab w:leader="none" w:pos="7660" w:val="left"/>
        </w:tabs>
        <w:rPr>
          <w:sz w:val="20"/>
          <w:szCs w:val="20"/>
          <w:color w:val="auto"/>
        </w:rPr>
      </w:pPr>
      <w:r>
        <w:rPr>
          <w:rFonts w:ascii="Arial" w:cs="Arial" w:eastAsia="Arial" w:hAnsi="Arial"/>
          <w:sz w:val="19"/>
          <w:szCs w:val="19"/>
          <w:color w:val="auto"/>
        </w:rPr>
        <w:t>By:</w:t>
        <w:tab/>
        <w:t>/s/ William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4877435</wp:posOffset>
            </wp:positionH>
            <wp:positionV relativeFrom="paragraph">
              <wp:posOffset>15240</wp:posOffset>
            </wp:positionV>
            <wp:extent cx="274383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5">
                      <a:extLst>
                        <a:ext uri="{28A0092B-C50C-407E-A947-70E740481C1C}"/>
                      </a:extLst>
                    </a:blip>
                    <a:srcRect/>
                    <a:stretch>
                      <a:fillRect/>
                    </a:stretch>
                  </pic:blipFill>
                  <pic:spPr bwMode="auto">
                    <a:xfrm>
                      <a:off x="0" y="0"/>
                      <a:ext cx="2743835" cy="18415"/>
                    </a:xfrm>
                    <a:prstGeom prst="rect">
                      <a:avLst/>
                    </a:prstGeom>
                    <a:noFill/>
                  </pic:spPr>
                </pic:pic>
              </a:graphicData>
            </a:graphic>
          </wp:anchor>
        </w:drawing>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9"/>
          <w:szCs w:val="19"/>
          <w:color w:val="auto"/>
        </w:rPr>
        <w:t>William Febbo</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Executive Officer (Principal Executive Officer)</w:t>
      </w:r>
    </w:p>
    <w:p>
      <w:pPr>
        <w:spacing w:after="0" w:line="21" w:lineRule="exact"/>
        <w:rPr>
          <w:sz w:val="20"/>
          <w:szCs w:val="20"/>
          <w:color w:val="auto"/>
        </w:rPr>
      </w:pPr>
    </w:p>
    <w:p>
      <w:pPr>
        <w:ind w:left="7680"/>
        <w:spacing w:after="0"/>
        <w:rPr>
          <w:sz w:val="20"/>
          <w:szCs w:val="20"/>
          <w:color w:val="auto"/>
        </w:rPr>
      </w:pPr>
      <w:r>
        <w:rPr>
          <w:rFonts w:ascii="Arial" w:cs="Arial" w:eastAsia="Arial" w:hAnsi="Arial"/>
          <w:sz w:val="19"/>
          <w:szCs w:val="19"/>
          <w:color w:val="auto"/>
        </w:rPr>
        <w:t>and Director</w:t>
      </w:r>
    </w:p>
    <w:p>
      <w:pPr>
        <w:spacing w:after="0" w:line="225" w:lineRule="exact"/>
        <w:rPr>
          <w:sz w:val="20"/>
          <w:szCs w:val="20"/>
          <w:color w:val="auto"/>
        </w:rPr>
      </w:pPr>
    </w:p>
    <w:p>
      <w:pPr>
        <w:ind w:left="7220"/>
        <w:spacing w:after="0"/>
        <w:tabs>
          <w:tab w:leader="none" w:pos="7660" w:val="left"/>
        </w:tabs>
        <w:rPr>
          <w:sz w:val="20"/>
          <w:szCs w:val="20"/>
          <w:color w:val="auto"/>
        </w:rPr>
      </w:pPr>
      <w:r>
        <w:rPr>
          <w:rFonts w:ascii="Arial" w:cs="Arial" w:eastAsia="Arial" w:hAnsi="Arial"/>
          <w:sz w:val="19"/>
          <w:szCs w:val="19"/>
          <w:color w:val="auto"/>
        </w:rPr>
        <w:t>By:</w:t>
        <w:tab/>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4877435</wp:posOffset>
            </wp:positionH>
            <wp:positionV relativeFrom="paragraph">
              <wp:posOffset>15240</wp:posOffset>
            </wp:positionV>
            <wp:extent cx="274383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6">
                      <a:extLst>
                        <a:ext uri="{28A0092B-C50C-407E-A947-70E740481C1C}"/>
                      </a:extLst>
                    </a:blip>
                    <a:srcRect/>
                    <a:stretch>
                      <a:fillRect/>
                    </a:stretch>
                  </pic:blipFill>
                  <pic:spPr bwMode="auto">
                    <a:xfrm>
                      <a:off x="0" y="0"/>
                      <a:ext cx="2743835" cy="18415"/>
                    </a:xfrm>
                    <a:prstGeom prst="rect">
                      <a:avLst/>
                    </a:prstGeom>
                    <a:noFill/>
                  </pic:spPr>
                </pic:pic>
              </a:graphicData>
            </a:graphic>
          </wp:anchor>
        </w:drawing>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9"/>
          <w:szCs w:val="19"/>
          <w:color w:val="auto"/>
        </w:rPr>
        <w:t>Doug Baker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9"/>
          <w:szCs w:val="19"/>
          <w:color w:val="auto"/>
        </w:rPr>
        <w:t>Chief Financial Officer (Principal Financial and</w:t>
      </w:r>
    </w:p>
    <w:p>
      <w:pPr>
        <w:spacing w:after="0" w:line="10" w:lineRule="exact"/>
        <w:rPr>
          <w:sz w:val="20"/>
          <w:szCs w:val="20"/>
          <w:color w:val="auto"/>
        </w:rPr>
      </w:pPr>
    </w:p>
    <w:p>
      <w:pPr>
        <w:ind w:left="7680"/>
        <w:spacing w:after="0"/>
        <w:rPr>
          <w:sz w:val="20"/>
          <w:szCs w:val="20"/>
          <w:color w:val="auto"/>
        </w:rPr>
      </w:pPr>
      <w:r>
        <w:rPr>
          <w:rFonts w:ascii="Arial" w:cs="Arial" w:eastAsia="Arial" w:hAnsi="Arial"/>
          <w:sz w:val="19"/>
          <w:szCs w:val="19"/>
          <w:color w:val="auto"/>
        </w:rPr>
        <w:t>Accounting Officer)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44" w:lineRule="exact"/>
        <w:rPr>
          <w:sz w:val="20"/>
          <w:szCs w:val="20"/>
          <w:color w:val="auto"/>
        </w:rPr>
      </w:pPr>
    </w:p>
    <w:p>
      <w:pPr>
        <w:jc w:val="both"/>
        <w:ind w:firstLine="685"/>
        <w:spacing w:after="0" w:line="271" w:lineRule="auto"/>
        <w:rPr>
          <w:sz w:val="20"/>
          <w:szCs w:val="20"/>
          <w:color w:val="auto"/>
        </w:rPr>
      </w:pPr>
      <w:r>
        <w:rPr>
          <w:rFonts w:ascii="Arial" w:cs="Arial" w:eastAsia="Arial" w:hAnsi="Arial"/>
          <w:sz w:val="18"/>
          <w:szCs w:val="18"/>
          <w:color w:val="auto"/>
        </w:rPr>
        <w:t>KNOW ALL MEN BY THESE PRESENTS, that the undersigned officers and directors of the Company, hereby constitute and appoint William Febbo and Doug Baker and each of them, the true and lawful agents and attorneys-in-fact of the undersigned with full power and authority in said agents and attorneys-in-fact, and in any one or more of them, to sign for the undersigned and in their respective names as an officer/director of the Company, a registration statement on Form S-8 (or other appropriate form) relating to the offer and sale of common stock of the Company pursuant to the Plans (or any and all amendments, including post-effective amendments, to such registration statement) and file the same, with all exhibits thereto and other documents in connection therewith, with the Securities and Exchange Commission, and with full power of substitution; hereby ratifying and confirming all that each of said attorneys-in-fact, or his substitute or substitutes, may do or cause to be done by virtue hereof.</w:t>
      </w:r>
    </w:p>
    <w:p>
      <w:pPr>
        <w:spacing w:after="0" w:line="189" w:lineRule="exact"/>
        <w:rPr>
          <w:sz w:val="20"/>
          <w:szCs w:val="20"/>
          <w:color w:val="auto"/>
        </w:rPr>
      </w:pPr>
    </w:p>
    <w:p>
      <w:pPr>
        <w:jc w:val="both"/>
        <w:ind w:firstLine="685"/>
        <w:spacing w:after="0" w:line="275" w:lineRule="auto"/>
        <w:rPr>
          <w:sz w:val="20"/>
          <w:szCs w:val="20"/>
          <w:color w:val="auto"/>
        </w:rPr>
      </w:pPr>
      <w:r>
        <w:rPr>
          <w:rFonts w:ascii="Arial" w:cs="Arial" w:eastAsia="Arial" w:hAnsi="Arial"/>
          <w:sz w:val="19"/>
          <w:szCs w:val="19"/>
          <w:color w:val="auto"/>
        </w:rPr>
        <w:t>Pursuant to the requirements of the Securities Act of 1933, as amended,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William Febbo</w:t>
            </w:r>
          </w:p>
        </w:tc>
        <w:tc>
          <w:tcPr>
            <w:tcW w:w="4720" w:type="dxa"/>
            <w:vAlign w:val="bottom"/>
          </w:tcPr>
          <w:p>
            <w:pPr>
              <w:ind w:left="120"/>
              <w:spacing w:after="0"/>
              <w:rPr>
                <w:sz w:val="20"/>
                <w:szCs w:val="20"/>
                <w:color w:val="auto"/>
              </w:rPr>
            </w:pPr>
            <w:r>
              <w:rPr>
                <w:rFonts w:ascii="Arial" w:cs="Arial" w:eastAsia="Arial" w:hAnsi="Arial"/>
                <w:sz w:val="19"/>
                <w:szCs w:val="19"/>
                <w:color w:val="auto"/>
              </w:rPr>
              <w:t>Chief Executive Officer</w:t>
            </w:r>
          </w:p>
        </w:tc>
        <w:tc>
          <w:tcPr>
            <w:tcW w:w="3700" w:type="dxa"/>
            <w:vAlign w:val="bottom"/>
          </w:tcPr>
          <w:p>
            <w:pPr>
              <w:ind w:left="1200"/>
              <w:spacing w:after="0"/>
              <w:rPr>
                <w:sz w:val="20"/>
                <w:szCs w:val="20"/>
                <w:color w:val="auto"/>
              </w:rPr>
            </w:pPr>
            <w:r>
              <w:rPr>
                <w:rFonts w:ascii="Arial" w:cs="Arial" w:eastAsia="Arial" w:hAnsi="Arial"/>
                <w:sz w:val="19"/>
                <w:szCs w:val="19"/>
                <w:color w:val="auto"/>
              </w:rPr>
              <w:t>March 12, 2019</w:t>
            </w:r>
          </w:p>
        </w:tc>
      </w:tr>
      <w:tr>
        <w:trPr>
          <w:trHeight w:val="241"/>
        </w:trPr>
        <w:tc>
          <w:tcPr>
            <w:tcW w:w="3580" w:type="dxa"/>
            <w:vAlign w:val="bottom"/>
          </w:tcPr>
          <w:p>
            <w:pPr>
              <w:spacing w:after="0"/>
              <w:rPr>
                <w:sz w:val="20"/>
                <w:szCs w:val="20"/>
                <w:color w:val="auto"/>
              </w:rPr>
            </w:pPr>
            <w:r>
              <w:rPr>
                <w:rFonts w:ascii="Arial" w:cs="Arial" w:eastAsia="Arial" w:hAnsi="Arial"/>
                <w:sz w:val="19"/>
                <w:szCs w:val="19"/>
                <w:color w:val="auto"/>
              </w:rPr>
              <w:t>William Febbo</w:t>
            </w:r>
          </w:p>
        </w:tc>
        <w:tc>
          <w:tcPr>
            <w:tcW w:w="4720" w:type="dxa"/>
            <w:vAlign w:val="bottom"/>
          </w:tcPr>
          <w:p>
            <w:pPr>
              <w:ind w:left="120"/>
              <w:spacing w:after="0" w:line="213" w:lineRule="exact"/>
              <w:rPr>
                <w:sz w:val="20"/>
                <w:szCs w:val="20"/>
                <w:color w:val="auto"/>
              </w:rPr>
            </w:pPr>
            <w:r>
              <w:rPr>
                <w:rFonts w:ascii="Arial" w:cs="Arial" w:eastAsia="Arial" w:hAnsi="Arial"/>
                <w:sz w:val="19"/>
                <w:szCs w:val="19"/>
                <w:color w:val="auto"/>
              </w:rPr>
              <w:t>(Principal Executive Officer) and Director</w:t>
            </w:r>
          </w:p>
        </w:tc>
        <w:tc>
          <w:tcPr>
            <w:tcW w:w="3700" w:type="dxa"/>
            <w:vAlign w:val="bottom"/>
          </w:tcPr>
          <w:p>
            <w:pPr>
              <w:spacing w:after="0"/>
              <w:rPr>
                <w:sz w:val="20"/>
                <w:szCs w:val="20"/>
                <w:color w:val="auto"/>
              </w:rPr>
            </w:pPr>
          </w:p>
        </w:tc>
      </w:tr>
      <w:tr>
        <w:trPr>
          <w:trHeight w:val="452"/>
        </w:trPr>
        <w:tc>
          <w:tcPr>
            <w:tcW w:w="3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Doug Baker</w:t>
            </w:r>
          </w:p>
        </w:tc>
        <w:tc>
          <w:tcPr>
            <w:tcW w:w="4720" w:type="dxa"/>
            <w:vAlign w:val="bottom"/>
          </w:tcPr>
          <w:p>
            <w:pPr>
              <w:ind w:left="120"/>
              <w:spacing w:after="0"/>
              <w:rPr>
                <w:sz w:val="20"/>
                <w:szCs w:val="20"/>
                <w:color w:val="auto"/>
              </w:rPr>
            </w:pPr>
            <w:r>
              <w:rPr>
                <w:rFonts w:ascii="Arial" w:cs="Arial" w:eastAsia="Arial" w:hAnsi="Arial"/>
                <w:sz w:val="19"/>
                <w:szCs w:val="19"/>
                <w:color w:val="auto"/>
              </w:rPr>
              <w:t>Chief Financial Officer</w:t>
            </w:r>
          </w:p>
        </w:tc>
        <w:tc>
          <w:tcPr>
            <w:tcW w:w="3700" w:type="dxa"/>
            <w:vAlign w:val="bottom"/>
          </w:tcPr>
          <w:p>
            <w:pPr>
              <w:ind w:left="1200"/>
              <w:spacing w:after="0"/>
              <w:rPr>
                <w:sz w:val="20"/>
                <w:szCs w:val="20"/>
                <w:color w:val="auto"/>
              </w:rPr>
            </w:pPr>
            <w:r>
              <w:rPr>
                <w:rFonts w:ascii="Arial" w:cs="Arial" w:eastAsia="Arial" w:hAnsi="Arial"/>
                <w:sz w:val="19"/>
                <w:szCs w:val="19"/>
                <w:color w:val="auto"/>
              </w:rPr>
              <w:t>March 12, 2019</w:t>
            </w:r>
          </w:p>
        </w:tc>
      </w:tr>
      <w:tr>
        <w:trPr>
          <w:trHeight w:val="241"/>
        </w:trPr>
        <w:tc>
          <w:tcPr>
            <w:tcW w:w="3580" w:type="dxa"/>
            <w:vAlign w:val="bottom"/>
          </w:tcPr>
          <w:p>
            <w:pPr>
              <w:spacing w:after="0"/>
              <w:rPr>
                <w:sz w:val="20"/>
                <w:szCs w:val="20"/>
                <w:color w:val="auto"/>
              </w:rPr>
            </w:pPr>
            <w:r>
              <w:rPr>
                <w:rFonts w:ascii="Arial" w:cs="Arial" w:eastAsia="Arial" w:hAnsi="Arial"/>
                <w:sz w:val="19"/>
                <w:szCs w:val="19"/>
                <w:color w:val="auto"/>
              </w:rPr>
              <w:t>Doug Baker</w:t>
            </w:r>
          </w:p>
        </w:tc>
        <w:tc>
          <w:tcPr>
            <w:tcW w:w="4720" w:type="dxa"/>
            <w:vAlign w:val="bottom"/>
          </w:tcPr>
          <w:p>
            <w:pPr>
              <w:ind w:left="120"/>
              <w:spacing w:after="0" w:line="213" w:lineRule="exact"/>
              <w:rPr>
                <w:sz w:val="20"/>
                <w:szCs w:val="20"/>
                <w:color w:val="auto"/>
              </w:rPr>
            </w:pPr>
            <w:r>
              <w:rPr>
                <w:rFonts w:ascii="Arial" w:cs="Arial" w:eastAsia="Arial" w:hAnsi="Arial"/>
                <w:sz w:val="19"/>
                <w:szCs w:val="19"/>
                <w:color w:val="auto"/>
              </w:rPr>
              <w:t>(Principal Financial and Accounting Officer)</w:t>
            </w:r>
          </w:p>
        </w:tc>
        <w:tc>
          <w:tcPr>
            <w:tcW w:w="3700" w:type="dxa"/>
            <w:vAlign w:val="bottom"/>
          </w:tcPr>
          <w:p>
            <w:pPr>
              <w:spacing w:after="0"/>
              <w:rPr>
                <w:sz w:val="20"/>
                <w:szCs w:val="20"/>
                <w:color w:val="auto"/>
              </w:rPr>
            </w:pPr>
          </w:p>
        </w:tc>
      </w:tr>
      <w:tr>
        <w:trPr>
          <w:trHeight w:val="452"/>
        </w:trPr>
        <w:tc>
          <w:tcPr>
            <w:tcW w:w="3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Lynn Vos</w:t>
            </w:r>
          </w:p>
        </w:tc>
        <w:tc>
          <w:tcPr>
            <w:tcW w:w="4720" w:type="dxa"/>
            <w:vAlign w:val="bottom"/>
          </w:tcPr>
          <w:p>
            <w:pPr>
              <w:ind w:left="120"/>
              <w:spacing w:after="0"/>
              <w:rPr>
                <w:sz w:val="20"/>
                <w:szCs w:val="20"/>
                <w:color w:val="auto"/>
              </w:rPr>
            </w:pPr>
            <w:r>
              <w:rPr>
                <w:rFonts w:ascii="Arial" w:cs="Arial" w:eastAsia="Arial" w:hAnsi="Arial"/>
                <w:sz w:val="19"/>
                <w:szCs w:val="19"/>
                <w:color w:val="auto"/>
              </w:rPr>
              <w:t>Director</w:t>
            </w:r>
          </w:p>
        </w:tc>
        <w:tc>
          <w:tcPr>
            <w:tcW w:w="3700" w:type="dxa"/>
            <w:vAlign w:val="bottom"/>
          </w:tcPr>
          <w:p>
            <w:pPr>
              <w:ind w:left="1200"/>
              <w:spacing w:after="0"/>
              <w:rPr>
                <w:sz w:val="20"/>
                <w:szCs w:val="20"/>
                <w:color w:val="auto"/>
              </w:rPr>
            </w:pPr>
            <w:r>
              <w:rPr>
                <w:rFonts w:ascii="Arial" w:cs="Arial" w:eastAsia="Arial" w:hAnsi="Arial"/>
                <w:sz w:val="19"/>
                <w:szCs w:val="19"/>
                <w:color w:val="auto"/>
              </w:rPr>
              <w:t>March 12, 2019</w:t>
            </w:r>
          </w:p>
        </w:tc>
      </w:tr>
      <w:tr>
        <w:trPr>
          <w:trHeight w:val="241"/>
        </w:trPr>
        <w:tc>
          <w:tcPr>
            <w:tcW w:w="3580" w:type="dxa"/>
            <w:vAlign w:val="bottom"/>
          </w:tcPr>
          <w:p>
            <w:pPr>
              <w:spacing w:after="0"/>
              <w:rPr>
                <w:sz w:val="20"/>
                <w:szCs w:val="20"/>
                <w:color w:val="auto"/>
              </w:rPr>
            </w:pPr>
            <w:r>
              <w:rPr>
                <w:rFonts w:ascii="Arial" w:cs="Arial" w:eastAsia="Arial" w:hAnsi="Arial"/>
                <w:sz w:val="19"/>
                <w:szCs w:val="19"/>
                <w:color w:val="auto"/>
              </w:rPr>
              <w:t>Lynn Vos</w:t>
            </w:r>
          </w:p>
        </w:tc>
        <w:tc>
          <w:tcPr>
            <w:tcW w:w="47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52"/>
        </w:trPr>
        <w:tc>
          <w:tcPr>
            <w:tcW w:w="3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Patrick Spangler</w:t>
            </w:r>
          </w:p>
        </w:tc>
        <w:tc>
          <w:tcPr>
            <w:tcW w:w="4720" w:type="dxa"/>
            <w:vAlign w:val="bottom"/>
          </w:tcPr>
          <w:p>
            <w:pPr>
              <w:ind w:left="120"/>
              <w:spacing w:after="0"/>
              <w:rPr>
                <w:sz w:val="20"/>
                <w:szCs w:val="20"/>
                <w:color w:val="auto"/>
              </w:rPr>
            </w:pPr>
            <w:r>
              <w:rPr>
                <w:rFonts w:ascii="Arial" w:cs="Arial" w:eastAsia="Arial" w:hAnsi="Arial"/>
                <w:sz w:val="19"/>
                <w:szCs w:val="19"/>
                <w:color w:val="auto"/>
              </w:rPr>
              <w:t>Director</w:t>
            </w:r>
          </w:p>
        </w:tc>
        <w:tc>
          <w:tcPr>
            <w:tcW w:w="3700" w:type="dxa"/>
            <w:vAlign w:val="bottom"/>
          </w:tcPr>
          <w:p>
            <w:pPr>
              <w:ind w:left="1200"/>
              <w:spacing w:after="0"/>
              <w:rPr>
                <w:sz w:val="20"/>
                <w:szCs w:val="20"/>
                <w:color w:val="auto"/>
              </w:rPr>
            </w:pPr>
            <w:r>
              <w:rPr>
                <w:rFonts w:ascii="Arial" w:cs="Arial" w:eastAsia="Arial" w:hAnsi="Arial"/>
                <w:sz w:val="19"/>
                <w:szCs w:val="19"/>
                <w:color w:val="auto"/>
              </w:rPr>
              <w:t>March 12, 2019</w:t>
            </w:r>
          </w:p>
        </w:tc>
      </w:tr>
      <w:tr>
        <w:trPr>
          <w:trHeight w:val="241"/>
        </w:trPr>
        <w:tc>
          <w:tcPr>
            <w:tcW w:w="3580" w:type="dxa"/>
            <w:vAlign w:val="bottom"/>
          </w:tcPr>
          <w:p>
            <w:pPr>
              <w:spacing w:after="0"/>
              <w:rPr>
                <w:sz w:val="20"/>
                <w:szCs w:val="20"/>
                <w:color w:val="auto"/>
              </w:rPr>
            </w:pPr>
            <w:r>
              <w:rPr>
                <w:rFonts w:ascii="Arial" w:cs="Arial" w:eastAsia="Arial" w:hAnsi="Arial"/>
                <w:sz w:val="19"/>
                <w:szCs w:val="19"/>
                <w:color w:val="auto"/>
              </w:rPr>
              <w:t>Patrick Spangler</w:t>
            </w:r>
          </w:p>
        </w:tc>
        <w:tc>
          <w:tcPr>
            <w:tcW w:w="47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52"/>
        </w:trPr>
        <w:tc>
          <w:tcPr>
            <w:tcW w:w="3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James Lang</w:t>
            </w:r>
          </w:p>
        </w:tc>
        <w:tc>
          <w:tcPr>
            <w:tcW w:w="4720" w:type="dxa"/>
            <w:vAlign w:val="bottom"/>
          </w:tcPr>
          <w:p>
            <w:pPr>
              <w:ind w:left="120"/>
              <w:spacing w:after="0"/>
              <w:rPr>
                <w:sz w:val="20"/>
                <w:szCs w:val="20"/>
                <w:color w:val="auto"/>
              </w:rPr>
            </w:pPr>
            <w:r>
              <w:rPr>
                <w:rFonts w:ascii="Arial" w:cs="Arial" w:eastAsia="Arial" w:hAnsi="Arial"/>
                <w:sz w:val="19"/>
                <w:szCs w:val="19"/>
                <w:color w:val="auto"/>
              </w:rPr>
              <w:t>Director</w:t>
            </w:r>
          </w:p>
        </w:tc>
        <w:tc>
          <w:tcPr>
            <w:tcW w:w="3700" w:type="dxa"/>
            <w:vAlign w:val="bottom"/>
          </w:tcPr>
          <w:p>
            <w:pPr>
              <w:ind w:left="1200"/>
              <w:spacing w:after="0"/>
              <w:rPr>
                <w:sz w:val="20"/>
                <w:szCs w:val="20"/>
                <w:color w:val="auto"/>
              </w:rPr>
            </w:pPr>
            <w:r>
              <w:rPr>
                <w:rFonts w:ascii="Arial" w:cs="Arial" w:eastAsia="Arial" w:hAnsi="Arial"/>
                <w:sz w:val="19"/>
                <w:szCs w:val="19"/>
                <w:color w:val="auto"/>
              </w:rPr>
              <w:t>March 12, 2019</w:t>
            </w:r>
          </w:p>
        </w:tc>
      </w:tr>
      <w:tr>
        <w:trPr>
          <w:trHeight w:val="241"/>
        </w:trPr>
        <w:tc>
          <w:tcPr>
            <w:tcW w:w="3580" w:type="dxa"/>
            <w:vAlign w:val="bottom"/>
          </w:tcPr>
          <w:p>
            <w:pPr>
              <w:spacing w:after="0"/>
              <w:rPr>
                <w:sz w:val="20"/>
                <w:szCs w:val="20"/>
                <w:color w:val="auto"/>
              </w:rPr>
            </w:pPr>
            <w:r>
              <w:rPr>
                <w:rFonts w:ascii="Arial" w:cs="Arial" w:eastAsia="Arial" w:hAnsi="Arial"/>
                <w:sz w:val="19"/>
                <w:szCs w:val="19"/>
                <w:color w:val="auto"/>
              </w:rPr>
              <w:t>James Lang</w:t>
            </w:r>
          </w:p>
        </w:tc>
        <w:tc>
          <w:tcPr>
            <w:tcW w:w="47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52"/>
        </w:trPr>
        <w:tc>
          <w:tcPr>
            <w:tcW w:w="35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Gus D. Halas</w:t>
            </w:r>
          </w:p>
        </w:tc>
        <w:tc>
          <w:tcPr>
            <w:tcW w:w="4720" w:type="dxa"/>
            <w:vAlign w:val="bottom"/>
          </w:tcPr>
          <w:p>
            <w:pPr>
              <w:ind w:left="120"/>
              <w:spacing w:after="0"/>
              <w:rPr>
                <w:sz w:val="20"/>
                <w:szCs w:val="20"/>
                <w:color w:val="auto"/>
              </w:rPr>
            </w:pPr>
            <w:r>
              <w:rPr>
                <w:rFonts w:ascii="Arial" w:cs="Arial" w:eastAsia="Arial" w:hAnsi="Arial"/>
                <w:sz w:val="19"/>
                <w:szCs w:val="19"/>
                <w:color w:val="auto"/>
              </w:rPr>
              <w:t>Director</w:t>
            </w:r>
          </w:p>
        </w:tc>
        <w:tc>
          <w:tcPr>
            <w:tcW w:w="3700" w:type="dxa"/>
            <w:vAlign w:val="bottom"/>
          </w:tcPr>
          <w:p>
            <w:pPr>
              <w:ind w:left="1200"/>
              <w:spacing w:after="0"/>
              <w:rPr>
                <w:sz w:val="20"/>
                <w:szCs w:val="20"/>
                <w:color w:val="auto"/>
              </w:rPr>
            </w:pPr>
            <w:r>
              <w:rPr>
                <w:rFonts w:ascii="Arial" w:cs="Arial" w:eastAsia="Arial" w:hAnsi="Arial"/>
                <w:sz w:val="19"/>
                <w:szCs w:val="19"/>
                <w:color w:val="auto"/>
              </w:rPr>
              <w:t>March 12, 2019</w:t>
            </w:r>
          </w:p>
        </w:tc>
      </w:tr>
      <w:tr>
        <w:trPr>
          <w:trHeight w:val="241"/>
        </w:trPr>
        <w:tc>
          <w:tcPr>
            <w:tcW w:w="3580" w:type="dxa"/>
            <w:vAlign w:val="bottom"/>
          </w:tcPr>
          <w:p>
            <w:pPr>
              <w:spacing w:after="0"/>
              <w:rPr>
                <w:sz w:val="20"/>
                <w:szCs w:val="20"/>
                <w:color w:val="auto"/>
              </w:rPr>
            </w:pPr>
            <w:r>
              <w:rPr>
                <w:rFonts w:ascii="Arial" w:cs="Arial" w:eastAsia="Arial" w:hAnsi="Arial"/>
                <w:sz w:val="19"/>
                <w:szCs w:val="19"/>
                <w:color w:val="auto"/>
              </w:rPr>
              <w:t>Gus D. Halas</w:t>
            </w:r>
          </w:p>
        </w:tc>
        <w:tc>
          <w:tcPr>
            <w:tcW w:w="472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680"/>
        </w:trPr>
        <w:tc>
          <w:tcPr>
            <w:tcW w:w="358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2380"/>
              <w:spacing w:after="0"/>
              <w:rPr>
                <w:sz w:val="20"/>
                <w:szCs w:val="20"/>
                <w:color w:val="auto"/>
              </w:rPr>
            </w:pPr>
            <w:r>
              <w:rPr>
                <w:rFonts w:ascii="Arial" w:cs="Arial" w:eastAsia="Arial" w:hAnsi="Arial"/>
                <w:sz w:val="19"/>
                <w:szCs w:val="19"/>
                <w:color w:val="auto"/>
              </w:rPr>
              <w:t>7</w:t>
            </w:r>
          </w:p>
        </w:tc>
        <w:tc>
          <w:tcPr>
            <w:tcW w:w="3700" w:type="dxa"/>
            <w:vAlign w:val="bottom"/>
            <w:tcBorders>
              <w:bottom w:val="single" w:sz="8" w:color="auto"/>
            </w:tcBorders>
          </w:tcPr>
          <w:p>
            <w:pPr>
              <w:spacing w:after="0"/>
              <w:rPr>
                <w:sz w:val="24"/>
                <w:szCs w:val="24"/>
                <w:color w:val="auto"/>
              </w:rPr>
            </w:pPr>
          </w:p>
        </w:tc>
      </w:tr>
    </w:tbl>
    <w:p>
      <w:pPr>
        <w:sectPr>
          <w:pgSz w:w="12240" w:h="15840" w:orient="portrait"/>
          <w:cols w:equalWidth="0" w:num="1">
            <w:col w:w="12000"/>
          </w:cols>
          <w:pgMar w:left="120" w:top="90" w:right="120" w:bottom="1440" w:gutter="0" w:footer="0" w:header="0"/>
        </w:sectPr>
      </w:pPr>
    </w:p>
    <w:bookmarkStart w:id="9" w:name="page10"/>
    <w:bookmarkEnd w:id="9"/>
    <w:p>
      <w:pPr>
        <w:jc w:val="right"/>
        <w:spacing w:after="0"/>
        <w:rPr>
          <w:sz w:val="20"/>
          <w:szCs w:val="20"/>
          <w:color w:val="auto"/>
        </w:rPr>
      </w:pPr>
      <w:r>
        <w:rPr>
          <w:rFonts w:ascii="Arial" w:cs="Arial" w:eastAsia="Arial" w:hAnsi="Arial"/>
          <w:sz w:val="19"/>
          <w:szCs w:val="19"/>
          <w:b w:val="1"/>
          <w:bCs w:val="1"/>
          <w:color w:val="auto"/>
        </w:rPr>
        <w:t>Exhibit 4.1</w:t>
      </w:r>
    </w:p>
    <w:p>
      <w:pPr>
        <w:spacing w:after="0" w:line="218" w:lineRule="exact"/>
        <w:rPr>
          <w:sz w:val="20"/>
          <w:szCs w:val="20"/>
          <w:color w:val="auto"/>
        </w:rPr>
      </w:pPr>
    </w:p>
    <w:p>
      <w:pPr>
        <w:ind w:left="5240"/>
        <w:spacing w:after="0"/>
        <w:rPr>
          <w:sz w:val="20"/>
          <w:szCs w:val="20"/>
          <w:color w:val="auto"/>
        </w:rPr>
      </w:pPr>
      <w:r>
        <w:rPr>
          <w:rFonts w:ascii="Arial" w:cs="Arial" w:eastAsia="Arial" w:hAnsi="Arial"/>
          <w:sz w:val="19"/>
          <w:szCs w:val="19"/>
          <w:b w:val="1"/>
          <w:bCs w:val="1"/>
          <w:color w:val="auto"/>
        </w:rPr>
        <w:t>OptimizeRx Corp.</w:t>
      </w:r>
    </w:p>
    <w:p>
      <w:pPr>
        <w:spacing w:after="0" w:line="29" w:lineRule="exact"/>
        <w:rPr>
          <w:sz w:val="20"/>
          <w:szCs w:val="20"/>
          <w:color w:val="auto"/>
        </w:rPr>
      </w:pPr>
    </w:p>
    <w:p>
      <w:pPr>
        <w:ind w:left="5260"/>
        <w:spacing w:after="0"/>
        <w:rPr>
          <w:sz w:val="20"/>
          <w:szCs w:val="20"/>
          <w:color w:val="auto"/>
        </w:rPr>
      </w:pPr>
      <w:r>
        <w:rPr>
          <w:rFonts w:ascii="Arial" w:cs="Arial" w:eastAsia="Arial" w:hAnsi="Arial"/>
          <w:sz w:val="19"/>
          <w:szCs w:val="19"/>
          <w:b w:val="1"/>
          <w:bCs w:val="1"/>
          <w:color w:val="auto"/>
        </w:rPr>
        <w:t>(the “Company”)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THIRD AMENDED AND RESTATED 2013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 PURPOSE</w:t>
      </w:r>
    </w:p>
    <w:p>
      <w:pPr>
        <w:spacing w:after="0" w:line="2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purpose of the Third Amended and Restated OptimizeRx Corp. 2013 Incentive Plan (the “Plan”) is to attract, retain and motivate employees, officers, directors, consultants, agents, advisors and independent contractors of the Company and its Related Companies by providing them the opportunity to acquire a proprietary interest in the Company and to align their interests and efforts to the long-term interests of the Company’s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2. DEFINITIONS</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Certain capitalized terms used in the Plan have the meanings set forth in Appendix A.</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3. ADMINISTRATION</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3.1</w:t>
      </w:r>
      <w:r>
        <w:rPr>
          <w:sz w:val="20"/>
          <w:szCs w:val="20"/>
          <w:color w:val="auto"/>
        </w:rPr>
        <w:tab/>
      </w:r>
      <w:r>
        <w:rPr>
          <w:rFonts w:ascii="Arial" w:cs="Arial" w:eastAsia="Arial" w:hAnsi="Arial"/>
          <w:sz w:val="17"/>
          <w:szCs w:val="17"/>
          <w:u w:val="single" w:color="auto"/>
          <w:color w:val="auto"/>
        </w:rPr>
        <w:t>Administration of the Plan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Plan shall be administered by the Board or its Compensation Committee. The Compensation Committee shall be composed of two or more directors, each of whom is a “non-employee director” within the meaning of Rule 16b-3(b)(3) promulgated under the Exchange Act, or any successor definition adopted by the Securities and Exchange Commission. As used in this Plan, the term “Compensation Committee” shall be construed as if followed by the words “(if any)”; nothing in this Plan requires the Board to have a Compensation Committee.</w:t>
      </w:r>
    </w:p>
    <w:p>
      <w:pPr>
        <w:spacing w:after="0" w:line="19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7"/>
          <w:szCs w:val="17"/>
          <w:u w:val="single" w:color="auto"/>
          <w:color w:val="auto"/>
        </w:rPr>
        <w:t>Delegation</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Notwithstanding the foregoing, the Board may delegate responsibility for administering the Plan with respect to designated classes of Eligible Persons to different committees consisting of one or more members of the Board, subject to such limitations as the Board deems appropriate, except with respect to Awards to any Participants who are then subject to Section 16 of the Exchange Act. Members of any committee shall serve for such term as the Board may determine, subject to removal by the Board at any time. To the extent consistent with applicable law, the Board or the Compensation Committee may authorize one or more officers of the Company to grant Awards to designated classes of Eligible Persons, within limits specifically prescribed by the Board or the Compensation Committee; provided, however, that no such officer shall have or obtain authority to grant Awards to himself or herself or to any person then subject to Section 16 of the Exchange Act. All references in the Plan to the “Committee” shall be, as applicable, to the Board, the Compensation Committee or any other committee or any officer to whom the Board or the Compensation Committee has delegated authority to administer the Plan.</w:t>
      </w:r>
    </w:p>
    <w:p>
      <w:pPr>
        <w:spacing w:after="0" w:line="177"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u w:val="single" w:color="auto"/>
          <w:color w:val="auto"/>
        </w:rPr>
        <w:t>Administration and Interpretation by Committee</w:t>
      </w:r>
    </w:p>
    <w:p>
      <w:pPr>
        <w:spacing w:after="0" w:line="238" w:lineRule="exact"/>
        <w:rPr>
          <w:sz w:val="20"/>
          <w:szCs w:val="20"/>
          <w:color w:val="auto"/>
        </w:rPr>
      </w:pPr>
    </w:p>
    <w:p>
      <w:pPr>
        <w:jc w:val="both"/>
        <w:ind w:left="340" w:firstLine="339"/>
        <w:spacing w:after="0" w:line="263" w:lineRule="auto"/>
        <w:tabs>
          <w:tab w:leader="none" w:pos="95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Except for the terms and conditions explicitly set forth in the Plan and to the extent permitted by applicable law, the Committee shall have full power and exclusive authority, subject to such orders or resolutions not inconsistent with the provisions of the Plan as may from time to time be adopted by the Board, to</w:t>
      </w:r>
    </w:p>
    <w:p>
      <w:pPr>
        <w:spacing w:after="0" w:line="194" w:lineRule="exact"/>
        <w:rPr>
          <w:rFonts w:ascii="Arial" w:cs="Arial" w:eastAsia="Arial" w:hAnsi="Arial"/>
          <w:sz w:val="19"/>
          <w:szCs w:val="19"/>
          <w:color w:val="auto"/>
        </w:rPr>
      </w:pPr>
    </w:p>
    <w:p>
      <w:pPr>
        <w:ind w:left="1240" w:hanging="219"/>
        <w:spacing w:after="0"/>
        <w:tabs>
          <w:tab w:leader="none" w:pos="1240" w:val="left"/>
        </w:tabs>
        <w:numPr>
          <w:ilvl w:val="1"/>
          <w:numId w:val="21"/>
        </w:numPr>
        <w:rPr>
          <w:rFonts w:ascii="Arial" w:cs="Arial" w:eastAsia="Arial" w:hAnsi="Arial"/>
          <w:sz w:val="19"/>
          <w:szCs w:val="19"/>
          <w:color w:val="auto"/>
        </w:rPr>
      </w:pPr>
      <w:r>
        <w:rPr>
          <w:rFonts w:ascii="Arial" w:cs="Arial" w:eastAsia="Arial" w:hAnsi="Arial"/>
          <w:sz w:val="19"/>
          <w:szCs w:val="19"/>
          <w:color w:val="auto"/>
        </w:rPr>
        <w:t>select the Eligible Persons to whom Awards may from time to time be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62508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10" w:name="page11"/>
    <w:bookmarkEnd w:id="10"/>
    <w:p>
      <w:pPr>
        <w:ind w:left="960" w:hanging="279"/>
        <w:spacing w:after="0"/>
        <w:tabs>
          <w:tab w:leader="none" w:pos="9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determine the type or types of Awards to be granted to each Participant under the Plan;</w:t>
      </w:r>
    </w:p>
    <w:p>
      <w:pPr>
        <w:spacing w:after="0" w:line="237" w:lineRule="exact"/>
        <w:rPr>
          <w:rFonts w:ascii="Arial" w:cs="Arial" w:eastAsia="Arial" w:hAnsi="Arial"/>
          <w:sz w:val="19"/>
          <w:szCs w:val="19"/>
          <w:color w:val="auto"/>
        </w:rPr>
      </w:pPr>
    </w:p>
    <w:p>
      <w:pPr>
        <w:ind w:left="1020" w:hanging="339"/>
        <w:spacing w:after="0"/>
        <w:tabs>
          <w:tab w:leader="none" w:pos="1020"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determine the number of shares of Common Stock, if any, to be covered by each Award granted under the Plan;</w:t>
      </w:r>
    </w:p>
    <w:p>
      <w:pPr>
        <w:spacing w:after="0" w:line="237" w:lineRule="exact"/>
        <w:rPr>
          <w:rFonts w:ascii="Arial" w:cs="Arial" w:eastAsia="Arial" w:hAnsi="Arial"/>
          <w:sz w:val="19"/>
          <w:szCs w:val="19"/>
          <w:color w:val="auto"/>
        </w:rPr>
      </w:pPr>
    </w:p>
    <w:p>
      <w:pPr>
        <w:ind w:left="1000" w:hanging="319"/>
        <w:spacing w:after="0"/>
        <w:tabs>
          <w:tab w:leader="none" w:pos="1000"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determine the terms and conditions of any Award granted under the Plan;</w:t>
      </w:r>
    </w:p>
    <w:p>
      <w:pPr>
        <w:spacing w:after="0" w:line="237" w:lineRule="exact"/>
        <w:rPr>
          <w:rFonts w:ascii="Arial" w:cs="Arial" w:eastAsia="Arial" w:hAnsi="Arial"/>
          <w:sz w:val="19"/>
          <w:szCs w:val="19"/>
          <w:color w:val="auto"/>
        </w:rPr>
      </w:pPr>
    </w:p>
    <w:p>
      <w:pPr>
        <w:ind w:left="960" w:hanging="279"/>
        <w:spacing w:after="0"/>
        <w:tabs>
          <w:tab w:leader="none" w:pos="9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approve the forms of notice or agreement for use under the Plan;</w:t>
      </w:r>
    </w:p>
    <w:p>
      <w:pPr>
        <w:spacing w:after="0" w:line="237" w:lineRule="exact"/>
        <w:rPr>
          <w:rFonts w:ascii="Arial" w:cs="Arial" w:eastAsia="Arial" w:hAnsi="Arial"/>
          <w:sz w:val="19"/>
          <w:szCs w:val="19"/>
          <w:color w:val="auto"/>
        </w:rPr>
      </w:pPr>
    </w:p>
    <w:p>
      <w:pPr>
        <w:ind w:left="340" w:firstLine="341"/>
        <w:spacing w:after="0" w:line="275" w:lineRule="auto"/>
        <w:tabs>
          <w:tab w:leader="none" w:pos="1006"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determine whether, to what extent and under what circumstances Awards may be settled in cash, shares of Common Stock or other property or canceled or suspended;</w:t>
      </w:r>
    </w:p>
    <w:p>
      <w:pPr>
        <w:spacing w:after="0" w:line="183" w:lineRule="exact"/>
        <w:rPr>
          <w:rFonts w:ascii="Arial" w:cs="Arial" w:eastAsia="Arial" w:hAnsi="Arial"/>
          <w:sz w:val="19"/>
          <w:szCs w:val="19"/>
          <w:color w:val="auto"/>
        </w:rPr>
      </w:pPr>
    </w:p>
    <w:p>
      <w:pPr>
        <w:ind w:left="340" w:firstLine="341"/>
        <w:spacing w:after="0" w:line="275" w:lineRule="auto"/>
        <w:tabs>
          <w:tab w:leader="none" w:pos="1058"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determine whether, to what extent and under what circumstances cash, shares of Common Stock, other property and other amounts payable with respect to an Award shall be deferred either automatically or at the election of the Participant;</w:t>
      </w:r>
    </w:p>
    <w:p>
      <w:pPr>
        <w:spacing w:after="0" w:line="183" w:lineRule="exact"/>
        <w:rPr>
          <w:rFonts w:ascii="Arial" w:cs="Arial" w:eastAsia="Arial" w:hAnsi="Arial"/>
          <w:sz w:val="19"/>
          <w:szCs w:val="19"/>
          <w:color w:val="auto"/>
        </w:rPr>
      </w:pPr>
    </w:p>
    <w:p>
      <w:pPr>
        <w:ind w:left="1100" w:hanging="419"/>
        <w:spacing w:after="0"/>
        <w:tabs>
          <w:tab w:leader="none" w:pos="11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interpret and administer the Plan and any instrument evidencing an Award, notice or agreement executed or entered into under the Plan;</w:t>
      </w:r>
    </w:p>
    <w:p>
      <w:pPr>
        <w:spacing w:after="0" w:line="260" w:lineRule="exact"/>
        <w:rPr>
          <w:rFonts w:ascii="Arial" w:cs="Arial" w:eastAsia="Arial" w:hAnsi="Arial"/>
          <w:sz w:val="17"/>
          <w:szCs w:val="17"/>
          <w:color w:val="auto"/>
        </w:rPr>
      </w:pPr>
    </w:p>
    <w:p>
      <w:pPr>
        <w:ind w:left="1000" w:hanging="319"/>
        <w:spacing w:after="0"/>
        <w:tabs>
          <w:tab w:leader="none" w:pos="1000" w:val="left"/>
        </w:tabs>
        <w:numPr>
          <w:ilvl w:val="1"/>
          <w:numId w:val="22"/>
        </w:numPr>
        <w:rPr>
          <w:rFonts w:ascii="Arial" w:cs="Arial" w:eastAsia="Arial" w:hAnsi="Arial"/>
          <w:sz w:val="19"/>
          <w:szCs w:val="19"/>
          <w:color w:val="auto"/>
        </w:rPr>
      </w:pPr>
      <w:r>
        <w:rPr>
          <w:rFonts w:ascii="Arial" w:cs="Arial" w:eastAsia="Arial" w:hAnsi="Arial"/>
          <w:sz w:val="19"/>
          <w:szCs w:val="19"/>
          <w:color w:val="auto"/>
        </w:rPr>
        <w:t>establish such rules and regulations as it shall deem appropriate for the proper administration of the Plan;</w:t>
      </w:r>
    </w:p>
    <w:p>
      <w:pPr>
        <w:spacing w:after="0" w:line="237" w:lineRule="exact"/>
        <w:rPr>
          <w:rFonts w:ascii="Arial" w:cs="Arial" w:eastAsia="Arial" w:hAnsi="Arial"/>
          <w:sz w:val="19"/>
          <w:szCs w:val="19"/>
          <w:color w:val="auto"/>
        </w:rPr>
      </w:pPr>
    </w:p>
    <w:p>
      <w:pPr>
        <w:ind w:left="960" w:hanging="279"/>
        <w:spacing w:after="0"/>
        <w:tabs>
          <w:tab w:leader="none" w:pos="960" w:val="left"/>
        </w:tabs>
        <w:numPr>
          <w:ilvl w:val="1"/>
          <w:numId w:val="22"/>
        </w:numPr>
        <w:rPr>
          <w:rFonts w:ascii="Arial" w:cs="Arial" w:eastAsia="Arial" w:hAnsi="Arial"/>
          <w:sz w:val="19"/>
          <w:szCs w:val="19"/>
          <w:color w:val="auto"/>
        </w:rPr>
      </w:pPr>
      <w:r>
        <w:rPr>
          <w:rFonts w:ascii="Arial" w:cs="Arial" w:eastAsia="Arial" w:hAnsi="Arial"/>
          <w:sz w:val="19"/>
          <w:szCs w:val="19"/>
          <w:color w:val="auto"/>
        </w:rPr>
        <w:t>delegate ministerial duties to such of the Company’s employees as it so determines; and</w:t>
      </w:r>
    </w:p>
    <w:p>
      <w:pPr>
        <w:spacing w:after="0" w:line="237" w:lineRule="exact"/>
        <w:rPr>
          <w:rFonts w:ascii="Arial" w:cs="Arial" w:eastAsia="Arial" w:hAnsi="Arial"/>
          <w:sz w:val="19"/>
          <w:szCs w:val="19"/>
          <w:color w:val="auto"/>
        </w:rPr>
      </w:pPr>
    </w:p>
    <w:p>
      <w:pPr>
        <w:ind w:left="1000" w:hanging="319"/>
        <w:spacing w:after="0"/>
        <w:tabs>
          <w:tab w:leader="none" w:pos="10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make any other determination and take any other action that the Committee deems necessary or desirable for administration of the Plan.</w:t>
      </w:r>
    </w:p>
    <w:p>
      <w:pPr>
        <w:spacing w:after="0" w:line="260" w:lineRule="exact"/>
        <w:rPr>
          <w:rFonts w:ascii="Arial" w:cs="Arial" w:eastAsia="Arial" w:hAnsi="Arial"/>
          <w:sz w:val="17"/>
          <w:szCs w:val="17"/>
          <w:color w:val="auto"/>
        </w:rPr>
      </w:pPr>
    </w:p>
    <w:p>
      <w:pPr>
        <w:jc w:val="both"/>
        <w:ind w:firstLine="339"/>
        <w:spacing w:after="0" w:line="263" w:lineRule="auto"/>
        <w:tabs>
          <w:tab w:leader="none" w:pos="61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Committee shall have the right, without stockholder approval, to cancel or amend outstanding Options or SARs for the purpose of repricing, replacing or regranting such Options or SARs with Options or SARs that have a purchase or grant price that is less than the purchase or grant price for the original Options or SARs except in connection with adjustments provided in Section 15.</w:t>
      </w:r>
    </w:p>
    <w:p>
      <w:pPr>
        <w:spacing w:after="0" w:line="194" w:lineRule="exact"/>
        <w:rPr>
          <w:rFonts w:ascii="Arial" w:cs="Arial" w:eastAsia="Arial" w:hAnsi="Arial"/>
          <w:sz w:val="19"/>
          <w:szCs w:val="19"/>
          <w:color w:val="auto"/>
        </w:rPr>
      </w:pPr>
    </w:p>
    <w:p>
      <w:pPr>
        <w:jc w:val="both"/>
        <w:ind w:firstLine="339"/>
        <w:spacing w:after="0" w:line="263" w:lineRule="auto"/>
        <w:tabs>
          <w:tab w:leader="none" w:pos="598"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effect on the vesting of an Award of a Company-approved leave of absence or a Participant’s working less than full-time shall be determined by the Company’s chief human resources officer or other person performing that function or, with respect to directors or executive officers, by the Committee, whose determination shall be final.</w:t>
      </w:r>
    </w:p>
    <w:p>
      <w:pPr>
        <w:spacing w:after="0" w:line="194" w:lineRule="exact"/>
        <w:rPr>
          <w:rFonts w:ascii="Arial" w:cs="Arial" w:eastAsia="Arial" w:hAnsi="Arial"/>
          <w:sz w:val="19"/>
          <w:szCs w:val="19"/>
          <w:color w:val="auto"/>
        </w:rPr>
      </w:pPr>
    </w:p>
    <w:p>
      <w:pPr>
        <w:ind w:firstLine="339"/>
        <w:spacing w:after="0" w:line="275" w:lineRule="auto"/>
        <w:tabs>
          <w:tab w:leader="none" w:pos="621" w:val="left"/>
        </w:tabs>
        <w:numPr>
          <w:ilvl w:val="0"/>
          <w:numId w:val="23"/>
        </w:numPr>
        <w:rPr>
          <w:rFonts w:ascii="Arial" w:cs="Arial" w:eastAsia="Arial" w:hAnsi="Arial"/>
          <w:sz w:val="19"/>
          <w:szCs w:val="19"/>
          <w:color w:val="auto"/>
        </w:rPr>
      </w:pPr>
      <w:r>
        <w:rPr>
          <w:rFonts w:ascii="Arial" w:cs="Arial" w:eastAsia="Arial" w:hAnsi="Arial"/>
          <w:sz w:val="19"/>
          <w:szCs w:val="19"/>
          <w:color w:val="auto"/>
        </w:rPr>
        <w:t>Decisions of the Committee shall be final, conclusive and binding on all persons, including the Company, any Participant, any stockholder and any Eligible Person. A majority of the members of the Committee may determine its actions.</w:t>
      </w:r>
    </w:p>
    <w:p>
      <w:pPr>
        <w:spacing w:after="0" w:line="200" w:lineRule="exact"/>
        <w:rPr>
          <w:sz w:val="20"/>
          <w:szCs w:val="20"/>
          <w:color w:val="auto"/>
        </w:rPr>
      </w:pPr>
    </w:p>
    <w:p>
      <w:pPr>
        <w:spacing w:after="0" w:line="203" w:lineRule="exact"/>
        <w:rPr>
          <w:sz w:val="20"/>
          <w:szCs w:val="20"/>
          <w:color w:val="auto"/>
        </w:rPr>
      </w:pPr>
    </w:p>
    <w:p>
      <w:pPr>
        <w:jc w:val="center"/>
        <w:ind w:right="340"/>
        <w:spacing w:after="0"/>
        <w:rPr>
          <w:sz w:val="20"/>
          <w:szCs w:val="20"/>
          <w:color w:val="auto"/>
        </w:rPr>
      </w:pPr>
      <w:r>
        <w:rPr>
          <w:rFonts w:ascii="Arial" w:cs="Arial" w:eastAsia="Arial" w:hAnsi="Arial"/>
          <w:sz w:val="23"/>
          <w:szCs w:val="2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10160</wp:posOffset>
            </wp:positionV>
            <wp:extent cx="7625080"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1660"/>
          </w:cols>
          <w:pgMar w:left="460" w:top="812" w:right="120" w:bottom="1440" w:gutter="0" w:footer="0" w:header="0"/>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SECTION 4. SHARES SUBJECT TO THE PLAN</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4.1</w:t>
      </w:r>
      <w:r>
        <w:rPr>
          <w:sz w:val="20"/>
          <w:szCs w:val="20"/>
          <w:color w:val="auto"/>
        </w:rPr>
        <w:tab/>
      </w:r>
      <w:r>
        <w:rPr>
          <w:rFonts w:ascii="Arial" w:cs="Arial" w:eastAsia="Arial" w:hAnsi="Arial"/>
          <w:sz w:val="17"/>
          <w:szCs w:val="17"/>
          <w:u w:val="single" w:color="auto"/>
          <w:color w:val="auto"/>
        </w:rPr>
        <w:t>Authorized Number of Shares</w:t>
      </w:r>
    </w:p>
    <w:p>
      <w:pPr>
        <w:spacing w:after="0" w:line="238"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Under the Company’s Second Amended and Restated 2013 Incentive Plan, the Company reserved a maximum of 5,500,000 shares of Common Stock available for issuance under the Plan. Thereafter, the Company conducted a 1 for 3 share reverse split, adjusting the reserve to 1,833,333 million shares of Common Stock as a result of the adjustment features in Section 15.1 of the Plan. Subject to further adjustment from time to time as provided in subsection 15.1, the Company shall now have a maximum of 2,500,000 shares of Common Stock available for issuance under the Plan. Shares issued under the Plan shall be drawn from authorized and unissued shares or shares now held or subsequently acquired by the Company as treasury shares.</w:t>
      </w:r>
    </w:p>
    <w:p>
      <w:pPr>
        <w:spacing w:after="0" w:line="172"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4.2</w:t>
      </w:r>
      <w:r>
        <w:rPr>
          <w:sz w:val="20"/>
          <w:szCs w:val="20"/>
          <w:color w:val="auto"/>
        </w:rPr>
        <w:tab/>
      </w:r>
      <w:r>
        <w:rPr>
          <w:rFonts w:ascii="Arial" w:cs="Arial" w:eastAsia="Arial" w:hAnsi="Arial"/>
          <w:sz w:val="16"/>
          <w:szCs w:val="16"/>
          <w:u w:val="single" w:color="auto"/>
          <w:color w:val="auto"/>
        </w:rPr>
        <w:t>Share Usage</w:t>
      </w:r>
    </w:p>
    <w:p>
      <w:pPr>
        <w:spacing w:after="0" w:line="238" w:lineRule="exact"/>
        <w:rPr>
          <w:sz w:val="20"/>
          <w:szCs w:val="20"/>
          <w:color w:val="auto"/>
        </w:rPr>
      </w:pPr>
    </w:p>
    <w:p>
      <w:pPr>
        <w:jc w:val="both"/>
        <w:ind w:left="340" w:firstLine="339"/>
        <w:spacing w:after="0" w:line="277" w:lineRule="auto"/>
        <w:tabs>
          <w:tab w:leader="none" w:pos="973"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Common Stock covered by an Award shall not be counted as used unless and until they are actually issued and delivered to a Participant. If any Award lapses, expires, terminates or is canceled prior to the issuance of shares thereunder or if shares of Common Stock are issued under the Plan to a Participant and thereafter are forfeited to or otherwise reacquired by the Company, the shares subject to such Awards and the forfeited or reacquired shares shall again be available for issuance under the Plan. Any shares of Common Stock</w:t>
      </w:r>
    </w:p>
    <w:p>
      <w:pPr>
        <w:spacing w:after="0" w:line="185" w:lineRule="exact"/>
        <w:rPr>
          <w:rFonts w:ascii="Arial" w:cs="Arial" w:eastAsia="Arial" w:hAnsi="Arial"/>
          <w:sz w:val="18"/>
          <w:szCs w:val="18"/>
          <w:color w:val="auto"/>
        </w:rPr>
      </w:pPr>
    </w:p>
    <w:p>
      <w:pPr>
        <w:ind w:left="680" w:firstLine="341"/>
        <w:spacing w:after="0" w:line="275" w:lineRule="auto"/>
        <w:tabs>
          <w:tab w:leader="none" w:pos="1264" w:val="left"/>
        </w:tabs>
        <w:numPr>
          <w:ilvl w:val="1"/>
          <w:numId w:val="24"/>
        </w:numPr>
        <w:rPr>
          <w:rFonts w:ascii="Arial" w:cs="Arial" w:eastAsia="Arial" w:hAnsi="Arial"/>
          <w:sz w:val="19"/>
          <w:szCs w:val="19"/>
          <w:color w:val="auto"/>
        </w:rPr>
      </w:pPr>
      <w:r>
        <w:rPr>
          <w:rFonts w:ascii="Arial" w:cs="Arial" w:eastAsia="Arial" w:hAnsi="Arial"/>
          <w:sz w:val="19"/>
          <w:szCs w:val="19"/>
          <w:color w:val="auto"/>
        </w:rPr>
        <w:t>tendered by a Participant or retained by the Company as full or partial payment to the Company for the purchase price of an Award or to satisfy tax withholding obligations in connection with an Award, or</w:t>
      </w:r>
    </w:p>
    <w:p>
      <w:pPr>
        <w:spacing w:after="0" w:line="183" w:lineRule="exact"/>
        <w:rPr>
          <w:rFonts w:ascii="Arial" w:cs="Arial" w:eastAsia="Arial" w:hAnsi="Arial"/>
          <w:sz w:val="19"/>
          <w:szCs w:val="19"/>
          <w:color w:val="auto"/>
        </w:rPr>
      </w:pPr>
    </w:p>
    <w:p>
      <w:pPr>
        <w:ind w:left="680" w:firstLine="341"/>
        <w:spacing w:after="0" w:line="275" w:lineRule="auto"/>
        <w:tabs>
          <w:tab w:leader="none" w:pos="1309" w:val="left"/>
        </w:tabs>
        <w:numPr>
          <w:ilvl w:val="1"/>
          <w:numId w:val="24"/>
        </w:numPr>
        <w:rPr>
          <w:rFonts w:ascii="Arial" w:cs="Arial" w:eastAsia="Arial" w:hAnsi="Arial"/>
          <w:sz w:val="19"/>
          <w:szCs w:val="19"/>
          <w:color w:val="auto"/>
        </w:rPr>
      </w:pPr>
      <w:r>
        <w:rPr>
          <w:rFonts w:ascii="Arial" w:cs="Arial" w:eastAsia="Arial" w:hAnsi="Arial"/>
          <w:sz w:val="19"/>
          <w:szCs w:val="19"/>
          <w:color w:val="auto"/>
        </w:rPr>
        <w:t>covered by an Award that is settled in cash, or in a manner such that some or all of the shares of Common Stock covered by the Award are not issued,</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9"/>
          <w:szCs w:val="19"/>
          <w:color w:val="auto"/>
        </w:rPr>
        <w:t>shall be available for Awards under the Plan. The number of shares of Common Stock available for issuance under the Plan shall not be reduced to reflect any dividends or dividend equivalents that are reinvested into additional shares of Common Stock or credited as additional shares of Common Stock subject or paid with respect to an Award.</w:t>
      </w:r>
    </w:p>
    <w:p>
      <w:pPr>
        <w:spacing w:after="0" w:line="194" w:lineRule="exact"/>
        <w:rPr>
          <w:sz w:val="20"/>
          <w:szCs w:val="20"/>
          <w:color w:val="auto"/>
        </w:rPr>
      </w:pPr>
    </w:p>
    <w:p>
      <w:pPr>
        <w:ind w:left="340" w:firstLine="339"/>
        <w:spacing w:after="0" w:line="275" w:lineRule="auto"/>
        <w:tabs>
          <w:tab w:leader="none" w:pos="96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Committee shall also, without limitation, have the authority to grant Awards as an alternative to or as the form of payment for grants or rights earned or due under other compensation plans or arrangements of the Company.</w:t>
      </w:r>
    </w:p>
    <w:p>
      <w:pPr>
        <w:spacing w:after="0" w:line="183" w:lineRule="exact"/>
        <w:rPr>
          <w:rFonts w:ascii="Arial" w:cs="Arial" w:eastAsia="Arial" w:hAnsi="Arial"/>
          <w:sz w:val="19"/>
          <w:szCs w:val="19"/>
          <w:color w:val="auto"/>
        </w:rPr>
      </w:pPr>
    </w:p>
    <w:p>
      <w:pPr>
        <w:jc w:val="both"/>
        <w:ind w:left="340" w:firstLine="339"/>
        <w:spacing w:after="0" w:line="284" w:lineRule="auto"/>
        <w:tabs>
          <w:tab w:leader="none" w:pos="9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Notwithstanding anything in the Plan to the contrary, the Committee may grant Substitute Awards under the Plan. Substitute Awards shall not reduce the number of shares authorized for issuance under the Plan. In the event that an Acquired Entity has shares available for awards or grants under one or more preexisting plans not adopted in contemplation of such acquisition or combination, then, to the extent determined by the Committee, the shares available for grant pursuant to the terms of such preexisting plan (as adjusted, to the extent appropriate, using the exchange ratio or other adjustment or valuation ratio or formula used in such acquisition or combination to determine the consideration payable to holders of common stock of the entities that are parties to such acquisition or combination) may be used for Awards under the Plan and shall not reduce the number of shares of Common Stock authorized for issuance under the Plan; provided, however, that Awards using such available shares shall not be made after the date awards or grants could have been made under the terms of such preexisting plans, absent the acquisition or combination, and shall only be made to individuals who were not employees or directors of the Company or a Related Company prior to such acquisition or combination. In the event that a written agreement between the Company and an Acquired Entity pursuant to which a merger or consolidation is completed is approved by the Board and that agreement sets forth the terms and conditions of the substitution for or assumption of outstanding awards of the Acquired Entity, those terms and conditions shall be deemed to be the action of the Committee without any further action by the Committee, except as may be required for compliance with Rule 16b-3 under the Exchange Act, and the persons holding such awards shall be deemed to be Participants.</w:t>
      </w:r>
    </w:p>
    <w:p>
      <w:pPr>
        <w:spacing w:after="0" w:line="187" w:lineRule="exact"/>
        <w:rPr>
          <w:rFonts w:ascii="Arial" w:cs="Arial" w:eastAsia="Arial" w:hAnsi="Arial"/>
          <w:sz w:val="17"/>
          <w:szCs w:val="17"/>
          <w:color w:val="auto"/>
        </w:rPr>
      </w:pPr>
    </w:p>
    <w:p>
      <w:pPr>
        <w:ind w:left="340" w:right="20" w:firstLine="339"/>
        <w:spacing w:after="0" w:line="304" w:lineRule="auto"/>
        <w:tabs>
          <w:tab w:leader="none" w:pos="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Notwithstanding the other provisions in this subsection, the maximum number of shares that may be issued upon the exercise of Incentive Stock Options shall equal the aggregate share number stated in subsection 4.1, subject to adjustment as provided in subsection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418465</wp:posOffset>
            </wp:positionV>
            <wp:extent cx="762508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12" w:name="page13"/>
    <w:bookmarkEnd w:id="12"/>
    <w:p>
      <w:pPr>
        <w:spacing w:after="0"/>
        <w:rPr>
          <w:sz w:val="20"/>
          <w:szCs w:val="20"/>
          <w:color w:val="auto"/>
        </w:rPr>
      </w:pPr>
      <w:r>
        <w:rPr>
          <w:rFonts w:ascii="Arial" w:cs="Arial" w:eastAsia="Arial" w:hAnsi="Arial"/>
          <w:sz w:val="19"/>
          <w:szCs w:val="19"/>
          <w:b w:val="1"/>
          <w:bCs w:val="1"/>
          <w:color w:val="auto"/>
        </w:rPr>
        <w:t>SECTION 5. ELIGIBILITY</w:t>
      </w: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An Award may be granted to any employee, officer or director of the Company or a Related Company whom the Committee from time to time selects. An Award may also be granted to any consultant, agent, advisor or independent contractor for bona fide services rendered to the Company or any Related Company that:</w:t>
      </w:r>
    </w:p>
    <w:p>
      <w:pPr>
        <w:spacing w:after="0" w:line="194" w:lineRule="exact"/>
        <w:rPr>
          <w:sz w:val="20"/>
          <w:szCs w:val="20"/>
          <w:color w:val="auto"/>
        </w:rPr>
      </w:pPr>
    </w:p>
    <w:p>
      <w:pPr>
        <w:ind w:left="940" w:hanging="261"/>
        <w:spacing w:after="0"/>
        <w:tabs>
          <w:tab w:leader="none" w:pos="9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are not in connection with the offer and sale of the Company’s securities in a capital-raising transaction, and</w:t>
      </w:r>
    </w:p>
    <w:p>
      <w:pPr>
        <w:spacing w:after="0" w:line="237" w:lineRule="exact"/>
        <w:rPr>
          <w:rFonts w:ascii="Arial" w:cs="Arial" w:eastAsia="Arial" w:hAnsi="Arial"/>
          <w:sz w:val="19"/>
          <w:szCs w:val="19"/>
          <w:color w:val="auto"/>
        </w:rPr>
      </w:pPr>
    </w:p>
    <w:p>
      <w:pPr>
        <w:ind w:left="940" w:hanging="261"/>
        <w:spacing w:after="0"/>
        <w:tabs>
          <w:tab w:leader="none" w:pos="9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do not directly or indirectly promote or maintain a market for the Company’s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6. AWARDS</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6.1</w:t>
      </w:r>
      <w:r>
        <w:rPr>
          <w:sz w:val="20"/>
          <w:szCs w:val="20"/>
          <w:color w:val="auto"/>
        </w:rPr>
        <w:tab/>
      </w:r>
      <w:r>
        <w:rPr>
          <w:rFonts w:ascii="Arial" w:cs="Arial" w:eastAsia="Arial" w:hAnsi="Arial"/>
          <w:sz w:val="17"/>
          <w:szCs w:val="17"/>
          <w:u w:val="single" w:color="auto"/>
          <w:color w:val="auto"/>
        </w:rPr>
        <w:t>Form, Grant and Settlement of Awards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Committee shall have the authority, in its sole discretion, to determine the type or types of Awards to be granted under the Plan. Such Awards may be granted either alone or in addition to or in tandem with any other type of Award. Any Award settlement may be subject to such conditions, restrictions and contingencies as the Committee shall determine.</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6.2</w:t>
      </w:r>
      <w:r>
        <w:rPr>
          <w:sz w:val="20"/>
          <w:szCs w:val="20"/>
          <w:color w:val="auto"/>
        </w:rPr>
        <w:tab/>
      </w:r>
      <w:r>
        <w:rPr>
          <w:rFonts w:ascii="Arial" w:cs="Arial" w:eastAsia="Arial" w:hAnsi="Arial"/>
          <w:sz w:val="17"/>
          <w:szCs w:val="17"/>
          <w:u w:val="single" w:color="auto"/>
          <w:color w:val="auto"/>
        </w:rPr>
        <w:t>Evidence of Awards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Awards granted under the Plan shall be evidenced by a written, including an electronic, notice or agreement that shall contain such terms, conditions, limitations and restrictions as the Committee shall deem advisable and that are not inconsistent with the Plan.</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6.3</w:t>
      </w:r>
      <w:r>
        <w:rPr>
          <w:sz w:val="20"/>
          <w:szCs w:val="20"/>
          <w:color w:val="auto"/>
        </w:rPr>
        <w:tab/>
      </w:r>
      <w:r>
        <w:rPr>
          <w:rFonts w:ascii="Arial" w:cs="Arial" w:eastAsia="Arial" w:hAnsi="Arial"/>
          <w:sz w:val="17"/>
          <w:szCs w:val="17"/>
          <w:u w:val="single" w:color="auto"/>
          <w:color w:val="auto"/>
        </w:rPr>
        <w:t>Deferrals</w:t>
      </w:r>
    </w:p>
    <w:p>
      <w:pPr>
        <w:spacing w:after="0" w:line="23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The Committee may permit or require a Participant to defer receipt of the payment of any Award if and to the extent set forth in the instrument evidencing the Award at the time of grant. If any such deferral election is permitted or required, the Committee, in its sole discretion, shall establish rules and procedures for such payment deferrals, which may include the grant of additional Awards or provisions for the payment or crediting of interest or dividend equivalents, including converting such credits to deferred stock unit equivalents; provided, however, that the terms of any deferrals under this subsection shall comply with all applicable law, rules and regulations, including, without limitation, Section 409A of the Code.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13" w:name="page14"/>
    <w:bookmarkEnd w:id="13"/>
    <w:p>
      <w:pPr>
        <w:spacing w:after="0"/>
        <w:tabs>
          <w:tab w:leader="none" w:pos="660" w:val="left"/>
        </w:tabs>
        <w:rPr>
          <w:sz w:val="20"/>
          <w:szCs w:val="20"/>
          <w:color w:val="auto"/>
        </w:rPr>
      </w:pPr>
      <w:r>
        <w:rPr>
          <w:rFonts w:ascii="Arial" w:cs="Arial" w:eastAsia="Arial" w:hAnsi="Arial"/>
          <w:sz w:val="19"/>
          <w:szCs w:val="19"/>
          <w:color w:val="auto"/>
        </w:rPr>
        <w:t>6.4</w:t>
      </w:r>
      <w:r>
        <w:rPr>
          <w:sz w:val="20"/>
          <w:szCs w:val="20"/>
          <w:color w:val="auto"/>
        </w:rPr>
        <w:tab/>
      </w:r>
      <w:r>
        <w:rPr>
          <w:rFonts w:ascii="Arial" w:cs="Arial" w:eastAsia="Arial" w:hAnsi="Arial"/>
          <w:sz w:val="17"/>
          <w:szCs w:val="17"/>
          <w:u w:val="single" w:color="auto"/>
          <w:color w:val="auto"/>
        </w:rPr>
        <w:t>Dividends and Distributions</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Participants may, if and to the extent the Committee so determines and sets forth in the instrument evidencing the Award at the time of grant, be credited with dividends paid with respect to shares of Common Stock underlying an Award in a manner determined by the Committee in its sole discretion. The Committee may apply any restrictions to the dividends or dividend equivalents that the Committee deems appropriate. The Committee, in its sole discretion, may determine the form of payment of dividends or dividend equivalents, including cash, shares of Common Stock, Restricted Stock or Stock Units.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7. OPTIONS</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7.1</w:t>
      </w:r>
      <w:r>
        <w:rPr>
          <w:sz w:val="20"/>
          <w:szCs w:val="20"/>
          <w:color w:val="auto"/>
        </w:rPr>
        <w:tab/>
      </w:r>
      <w:r>
        <w:rPr>
          <w:rFonts w:ascii="Arial" w:cs="Arial" w:eastAsia="Arial" w:hAnsi="Arial"/>
          <w:sz w:val="17"/>
          <w:szCs w:val="17"/>
          <w:u w:val="single" w:color="auto"/>
          <w:color w:val="auto"/>
        </w:rPr>
        <w:t>Grant of Options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The Committee may grant Options designated as Incentive Stock Options or Nonqualified Stock Options.</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7.2</w:t>
      </w:r>
      <w:r>
        <w:rPr>
          <w:sz w:val="20"/>
          <w:szCs w:val="20"/>
          <w:color w:val="auto"/>
        </w:rPr>
        <w:tab/>
      </w:r>
      <w:r>
        <w:rPr>
          <w:rFonts w:ascii="Arial" w:cs="Arial" w:eastAsia="Arial" w:hAnsi="Arial"/>
          <w:sz w:val="17"/>
          <w:szCs w:val="17"/>
          <w:u w:val="single" w:color="auto"/>
          <w:color w:val="auto"/>
        </w:rPr>
        <w:t>Option Exercise Price</w:t>
      </w:r>
    </w:p>
    <w:p>
      <w:pPr>
        <w:spacing w:after="0" w:line="238"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The exercise price for shares purchased under an Option shall be at least 100% of the Fair Market Value on the Grant Date (and shall not be less than the minimum exercise price required by Section 422 of the Code with respect to Incentive Stock Options), except in the case of Substitute Awards.</w:t>
      </w:r>
    </w:p>
    <w:p>
      <w:pPr>
        <w:spacing w:after="0" w:line="16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7"/>
          <w:szCs w:val="17"/>
          <w:u w:val="single" w:color="auto"/>
          <w:color w:val="auto"/>
        </w:rPr>
        <w:t>Term of Options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Subject to earlier termination in accordance with the terms of the Plan and the instrument evidencing the Option, the maximum term of a Nonqualified Stock Option shall be ten years from the Grant Date.</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7.4</w:t>
      </w:r>
      <w:r>
        <w:rPr>
          <w:sz w:val="20"/>
          <w:szCs w:val="20"/>
          <w:color w:val="auto"/>
        </w:rPr>
        <w:tab/>
      </w:r>
      <w:r>
        <w:rPr>
          <w:rFonts w:ascii="Arial" w:cs="Arial" w:eastAsia="Arial" w:hAnsi="Arial"/>
          <w:sz w:val="17"/>
          <w:szCs w:val="17"/>
          <w:u w:val="single" w:color="auto"/>
          <w:color w:val="auto"/>
        </w:rPr>
        <w:t>Exercise of Options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Committee shall establish and set forth in each instrument that evidences an Option the time at which, or the installments in which, the Option shall vest and become exercisable, any of which provisions may be waived or modified by the Committee at any time.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To the extent an Option has vested and become exercisable, the Option may be exercised in whole or from time to time in part by delivery to or as directed or approved by the Company of a properly executed stock option exercise agreement or notice, in a form and in accordance with procedures established by the Committee, setting forth the number of shares with respect to which the Option is being exercised, the restrictions imposed on the shares purchased under such exercise agreement, if any, and such representations and agreements as may be required by the Committee, accompanied by payment in full as described in subsection 7.5 and Section 13. An Option may be exercised only for whole shares and may not be exercised for less than a reasonable number of shares at any one time, as determined by the Committee.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4" w:name="page15"/>
    <w:bookmarkEnd w:id="14"/>
    <w:p>
      <w:pPr>
        <w:spacing w:after="0"/>
        <w:tabs>
          <w:tab w:leader="none" w:pos="660" w:val="left"/>
        </w:tabs>
        <w:rPr>
          <w:sz w:val="20"/>
          <w:szCs w:val="20"/>
          <w:color w:val="auto"/>
        </w:rPr>
      </w:pPr>
      <w:r>
        <w:rPr>
          <w:rFonts w:ascii="Arial" w:cs="Arial" w:eastAsia="Arial" w:hAnsi="Arial"/>
          <w:sz w:val="19"/>
          <w:szCs w:val="19"/>
          <w:color w:val="auto"/>
        </w:rPr>
        <w:t>7.5</w:t>
      </w:r>
      <w:r>
        <w:rPr>
          <w:sz w:val="20"/>
          <w:szCs w:val="20"/>
          <w:color w:val="auto"/>
        </w:rPr>
        <w:tab/>
      </w:r>
      <w:r>
        <w:rPr>
          <w:rFonts w:ascii="Arial" w:cs="Arial" w:eastAsia="Arial" w:hAnsi="Arial"/>
          <w:sz w:val="17"/>
          <w:szCs w:val="17"/>
          <w:u w:val="single" w:color="auto"/>
          <w:color w:val="auto"/>
        </w:rPr>
        <w:t>Payment of Exercise Price</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exercise price for shares purchased under an Option shall be paid in full to the Company by delivery of consideration equal to the product of the Option exercise price and the number of shares purchased. Such consideration must be paid before the Company will issue the shares being purchased and must be in a form or a combination of forms acceptable to the Committee for that purchase, which forms may include:</w:t>
      </w:r>
    </w:p>
    <w:p>
      <w:pPr>
        <w:spacing w:after="0" w:line="194" w:lineRule="exact"/>
        <w:rPr>
          <w:sz w:val="20"/>
          <w:szCs w:val="20"/>
          <w:color w:val="auto"/>
        </w:rPr>
      </w:pPr>
    </w:p>
    <w:p>
      <w:pPr>
        <w:ind w:left="940" w:hanging="261"/>
        <w:spacing w:after="0"/>
        <w:tabs>
          <w:tab w:leader="none" w:pos="9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cash;</w:t>
      </w:r>
    </w:p>
    <w:p>
      <w:pPr>
        <w:spacing w:after="0" w:line="237" w:lineRule="exact"/>
        <w:rPr>
          <w:rFonts w:ascii="Arial" w:cs="Arial" w:eastAsia="Arial" w:hAnsi="Arial"/>
          <w:sz w:val="19"/>
          <w:szCs w:val="19"/>
          <w:color w:val="auto"/>
        </w:rPr>
      </w:pPr>
    </w:p>
    <w:p>
      <w:pPr>
        <w:ind w:left="940" w:hanging="261"/>
        <w:spacing w:after="0"/>
        <w:tabs>
          <w:tab w:leader="none" w:pos="9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check or wire transfer;</w:t>
      </w:r>
    </w:p>
    <w:p>
      <w:pPr>
        <w:spacing w:after="0" w:line="237" w:lineRule="exact"/>
        <w:rPr>
          <w:rFonts w:ascii="Arial" w:cs="Arial" w:eastAsia="Arial" w:hAnsi="Arial"/>
          <w:sz w:val="19"/>
          <w:szCs w:val="19"/>
          <w:color w:val="auto"/>
        </w:rPr>
      </w:pPr>
    </w:p>
    <w:p>
      <w:pPr>
        <w:ind w:left="340" w:firstLine="339"/>
        <w:spacing w:after="0" w:line="275" w:lineRule="auto"/>
        <w:tabs>
          <w:tab w:leader="none" w:pos="955" w:val="left"/>
        </w:tabs>
        <w:numPr>
          <w:ilvl w:val="0"/>
          <w:numId w:val="27"/>
        </w:numPr>
        <w:rPr>
          <w:rFonts w:ascii="Arial" w:cs="Arial" w:eastAsia="Arial" w:hAnsi="Arial"/>
          <w:sz w:val="19"/>
          <w:szCs w:val="19"/>
          <w:color w:val="auto"/>
        </w:rPr>
      </w:pPr>
      <w:r>
        <w:rPr>
          <w:rFonts w:ascii="Arial" w:cs="Arial" w:eastAsia="Arial" w:hAnsi="Arial"/>
          <w:sz w:val="19"/>
          <w:szCs w:val="19"/>
          <w:color w:val="auto"/>
        </w:rPr>
        <w:t>having the Company withhold shares of Common Stock that would otherwise be issued on exercise of the Option that have an aggregate Fair Market Value equal to the aggregate exercise price of the shares being purchased under the Option;</w:t>
      </w:r>
    </w:p>
    <w:p>
      <w:pPr>
        <w:spacing w:after="0" w:line="183" w:lineRule="exact"/>
        <w:rPr>
          <w:rFonts w:ascii="Arial" w:cs="Arial" w:eastAsia="Arial" w:hAnsi="Arial"/>
          <w:sz w:val="19"/>
          <w:szCs w:val="19"/>
          <w:color w:val="auto"/>
        </w:rPr>
      </w:pPr>
    </w:p>
    <w:p>
      <w:pPr>
        <w:jc w:val="both"/>
        <w:ind w:left="340" w:firstLine="339"/>
        <w:spacing w:after="0" w:line="263" w:lineRule="auto"/>
        <w:tabs>
          <w:tab w:leader="none" w:pos="954" w:val="left"/>
        </w:tabs>
        <w:numPr>
          <w:ilvl w:val="0"/>
          <w:numId w:val="27"/>
        </w:numPr>
        <w:rPr>
          <w:rFonts w:ascii="Arial" w:cs="Arial" w:eastAsia="Arial" w:hAnsi="Arial"/>
          <w:sz w:val="19"/>
          <w:szCs w:val="19"/>
          <w:color w:val="auto"/>
        </w:rPr>
      </w:pPr>
      <w:r>
        <w:rPr>
          <w:rFonts w:ascii="Arial" w:cs="Arial" w:eastAsia="Arial" w:hAnsi="Arial"/>
          <w:sz w:val="19"/>
          <w:szCs w:val="19"/>
          <w:color w:val="auto"/>
        </w:rPr>
        <w:t>tendering (either actually or, so long as the Common Stock is registered under Section 12(b) or 12(g) of the Exchange Act, by attestation) shares of Common Stock owned by the Participant that have an aggregate Fair Market Value equal to the aggregate exercise price of the shares being purchased under the Option;</w:t>
      </w:r>
    </w:p>
    <w:p>
      <w:pPr>
        <w:spacing w:after="0" w:line="194" w:lineRule="exact"/>
        <w:rPr>
          <w:rFonts w:ascii="Arial" w:cs="Arial" w:eastAsia="Arial" w:hAnsi="Arial"/>
          <w:sz w:val="19"/>
          <w:szCs w:val="19"/>
          <w:color w:val="auto"/>
        </w:rPr>
      </w:pPr>
    </w:p>
    <w:p>
      <w:pPr>
        <w:jc w:val="both"/>
        <w:ind w:left="340" w:firstLine="339"/>
        <w:spacing w:after="0" w:line="259" w:lineRule="auto"/>
        <w:tabs>
          <w:tab w:leader="none" w:pos="95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so long as the Common Stock is registered under Section 12(b) or 12(g) of the Exchange Act, and to the extent permitted by law, delivery of a properly executed exercise notice, together with irrevocable instructions to a brokerage firm designated or approved by the Company to deliver promptly to the Company the aggregate amount of proceeds to pay the Option exercise price and any withholding tax obligations that may arise in connection with the exercise, all in accordance with the regulations of the Federal Reserve Board; or</w:t>
      </w:r>
    </w:p>
    <w:p>
      <w:pPr>
        <w:spacing w:after="0" w:line="197" w:lineRule="exact"/>
        <w:rPr>
          <w:rFonts w:ascii="Arial" w:cs="Arial" w:eastAsia="Arial" w:hAnsi="Arial"/>
          <w:sz w:val="19"/>
          <w:szCs w:val="19"/>
          <w:color w:val="auto"/>
        </w:rPr>
      </w:pPr>
    </w:p>
    <w:p>
      <w:pPr>
        <w:ind w:left="920" w:hanging="241"/>
        <w:spacing w:after="0"/>
        <w:tabs>
          <w:tab w:leader="none" w:pos="9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such other consideration as the Committee may permit.</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7.6</w:t>
      </w:r>
      <w:r>
        <w:rPr>
          <w:sz w:val="20"/>
          <w:szCs w:val="20"/>
          <w:color w:val="auto"/>
        </w:rPr>
        <w:tab/>
      </w:r>
      <w:r>
        <w:rPr>
          <w:rFonts w:ascii="Arial" w:cs="Arial" w:eastAsia="Arial" w:hAnsi="Arial"/>
          <w:sz w:val="17"/>
          <w:szCs w:val="17"/>
          <w:u w:val="single" w:color="auto"/>
          <w:color w:val="auto"/>
        </w:rPr>
        <w:t>Effect of Termination of Service</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Committee shall establish and set forth in each instrument that evidences an Option whether the Option shall continue to be exercisable, and the terms and conditions of such exercise, after a Termination of Service, any of which provisions may be waived or modified by the Committee at any time. If not so established in the instrument evidencing the Option, the Option shall be exercisable according to the following terms and conditions, which may be waived or modified by the Committee at any time:</w:t>
      </w:r>
    </w:p>
    <w:p>
      <w:pPr>
        <w:spacing w:after="0" w:line="198" w:lineRule="exact"/>
        <w:rPr>
          <w:sz w:val="20"/>
          <w:szCs w:val="20"/>
          <w:color w:val="auto"/>
        </w:rPr>
      </w:pPr>
    </w:p>
    <w:p>
      <w:pPr>
        <w:ind w:left="920" w:hanging="241"/>
        <w:spacing w:after="0"/>
        <w:tabs>
          <w:tab w:leader="none" w:pos="9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portion of an Option that is not vested and exercisable on the date of a Participant’s Termination of Service shall expire on such date.</w:t>
      </w:r>
    </w:p>
    <w:p>
      <w:pPr>
        <w:spacing w:after="0" w:line="249" w:lineRule="exact"/>
        <w:rPr>
          <w:rFonts w:ascii="Arial" w:cs="Arial" w:eastAsia="Arial" w:hAnsi="Arial"/>
          <w:sz w:val="18"/>
          <w:szCs w:val="18"/>
          <w:color w:val="auto"/>
        </w:rPr>
      </w:pPr>
    </w:p>
    <w:p>
      <w:pPr>
        <w:ind w:left="940" w:hanging="261"/>
        <w:spacing w:after="0"/>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portion of an Option that is vested and exercisable on the date of a Participant’s Termination of Service shall expire on the earliest to occur</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of:</w:t>
      </w:r>
    </w:p>
    <w:p>
      <w:pPr>
        <w:spacing w:after="0" w:line="225" w:lineRule="exact"/>
        <w:rPr>
          <w:sz w:val="20"/>
          <w:szCs w:val="20"/>
          <w:color w:val="auto"/>
        </w:rPr>
      </w:pPr>
    </w:p>
    <w:p>
      <w:pPr>
        <w:ind w:left="680" w:right="20" w:firstLine="341"/>
        <w:spacing w:after="0" w:line="275" w:lineRule="auto"/>
        <w:tabs>
          <w:tab w:leader="none" w:pos="1254"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the Participant’s Termination of Service occurs for reasons other than Cause, Retirement, Disability or death, the date that is three months after such Termination of Service;</w:t>
      </w:r>
    </w:p>
    <w:p>
      <w:pPr>
        <w:spacing w:after="0" w:line="183" w:lineRule="exact"/>
        <w:rPr>
          <w:rFonts w:ascii="Arial" w:cs="Arial" w:eastAsia="Arial" w:hAnsi="Arial"/>
          <w:sz w:val="19"/>
          <w:szCs w:val="19"/>
          <w:color w:val="auto"/>
        </w:rPr>
      </w:pPr>
    </w:p>
    <w:p>
      <w:pPr>
        <w:ind w:left="680" w:firstLine="341"/>
        <w:spacing w:after="0" w:line="275" w:lineRule="auto"/>
        <w:tabs>
          <w:tab w:leader="none" w:pos="1303"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the Participant’s Termination of Service occurs by reason of Retirement, Disability or death, the one-year anniversary of such Termination of Service; and</w:t>
      </w:r>
    </w:p>
    <w:p>
      <w:pPr>
        <w:spacing w:after="0" w:line="183" w:lineRule="exact"/>
        <w:rPr>
          <w:rFonts w:ascii="Arial" w:cs="Arial" w:eastAsia="Arial" w:hAnsi="Arial"/>
          <w:sz w:val="19"/>
          <w:szCs w:val="19"/>
          <w:color w:val="auto"/>
        </w:rPr>
      </w:pPr>
    </w:p>
    <w:p>
      <w:pPr>
        <w:ind w:left="1360" w:hanging="339"/>
        <w:spacing w:after="0"/>
        <w:tabs>
          <w:tab w:leader="none" w:pos="13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Option Expiration Date.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5" w:name="page16"/>
    <w:bookmarkEnd w:id="15"/>
    <w:p>
      <w:pPr>
        <w:jc w:val="both"/>
        <w:ind w:left="340"/>
        <w:spacing w:after="0" w:line="288" w:lineRule="auto"/>
        <w:rPr>
          <w:sz w:val="20"/>
          <w:szCs w:val="20"/>
          <w:color w:val="auto"/>
        </w:rPr>
      </w:pPr>
      <w:r>
        <w:rPr>
          <w:rFonts w:ascii="Arial" w:cs="Arial" w:eastAsia="Arial" w:hAnsi="Arial"/>
          <w:sz w:val="17"/>
          <w:szCs w:val="17"/>
          <w:color w:val="auto"/>
        </w:rPr>
        <w:t>Notwithstanding the foregoing, if a Participant dies after his or her Termination of Service but while an Option is otherwise exercisable, the portion of the Option that is vested and exercisable on the date of such Termination of Service shall expire upon the earlier to occur of (y) the Option Expiration Date and (z) the one-year anniversary of the date of death, unless the Committee determines otherwise. Also notwithstanding the foregoing, in case a Participant’s Termination of Service occurs for Cause, all Options granted to the Participant shall automatically expire upon first notification to the Participant of such termination, unless the Committee determines otherwise. If a Participant’s employment or service relationship with the Company is suspended pending an investigation of whether the Participant shall be terminated for Cause, all the Participant’s rights under any Option shall likewise be suspended during the period of investigation. If any facts that would constitute termination for Cause are discovered after a Participant’s Termination of Service, any Option then held by the Participant may be immediately terminated by the Committee, in its sole discretion.</w:t>
      </w:r>
    </w:p>
    <w:p>
      <w:pPr>
        <w:spacing w:after="0" w:line="177" w:lineRule="exact"/>
        <w:rPr>
          <w:sz w:val="20"/>
          <w:szCs w:val="20"/>
          <w:color w:val="auto"/>
        </w:rPr>
      </w:pPr>
    </w:p>
    <w:p>
      <w:pPr>
        <w:jc w:val="both"/>
        <w:ind w:left="340" w:firstLine="339"/>
        <w:spacing w:after="0" w:line="274" w:lineRule="auto"/>
        <w:tabs>
          <w:tab w:leader="none" w:pos="94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exercise of the Option following a Participant’s Termination of Service, but while the Option is otherwise exercisable, would be prohibited solely because the issuance of Common Stock would violate either the registration requirements under the Securities Act or the Company’s insider trading policy, then the Option shall remain exercisable until the earlier of (i) the Option Expiration Date and (ii) the expiration of a period of three months (or such longer period of time as determined by the Committee in its sole discretion) after the Participant’s Termination of Service during which the exercise of the Option would not be in violation of such Securities Act or insider trading policy requirements.</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8. INCENTIVE STOCK OPTION LIMITATIONS</w:t>
      </w:r>
    </w:p>
    <w:p>
      <w:pPr>
        <w:spacing w:after="0" w:line="24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Notwithstanding any other provisions of the Plan, the terms and conditions of any Incentive Stock Options shall also comply in all respects with Section 422 of the Code, or any successor provision, and any applicable regulations thereunder, including, to the extent required thereunder, the following:</w:t>
      </w:r>
    </w:p>
    <w:p>
      <w:pPr>
        <w:spacing w:after="0" w:line="16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8.1</w:t>
      </w:r>
      <w:r>
        <w:rPr>
          <w:sz w:val="20"/>
          <w:szCs w:val="20"/>
          <w:color w:val="auto"/>
        </w:rPr>
        <w:tab/>
      </w:r>
      <w:r>
        <w:rPr>
          <w:rFonts w:ascii="Arial" w:cs="Arial" w:eastAsia="Arial" w:hAnsi="Arial"/>
          <w:sz w:val="18"/>
          <w:szCs w:val="18"/>
          <w:u w:val="single" w:color="auto"/>
          <w:color w:val="auto"/>
        </w:rPr>
        <w:t>Dollar Limitation</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To the extent the aggregate Fair Market Value (determined as of the Grant Date) of Common Stock with respect to which a Participant’s Incentive Stock Options become exercisable for the first time during any calendar year (under the Plan and all other stock option plans of the Company and its parent and subsidiary corporations)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20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8.2</w:t>
      </w:r>
      <w:r>
        <w:rPr>
          <w:sz w:val="20"/>
          <w:szCs w:val="20"/>
          <w:color w:val="auto"/>
        </w:rPr>
        <w:tab/>
      </w:r>
      <w:r>
        <w:rPr>
          <w:rFonts w:ascii="Arial" w:cs="Arial" w:eastAsia="Arial" w:hAnsi="Arial"/>
          <w:sz w:val="17"/>
          <w:szCs w:val="17"/>
          <w:u w:val="single" w:color="auto"/>
          <w:color w:val="auto"/>
        </w:rPr>
        <w:t>Eligible Employees.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Individuals who are not employees of the Company or one of its parent or subsidiary corporations may not be granted Incentive Stock Options.</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8.3</w:t>
      </w:r>
      <w:r>
        <w:rPr>
          <w:sz w:val="20"/>
          <w:szCs w:val="20"/>
          <w:color w:val="auto"/>
        </w:rPr>
        <w:tab/>
      </w:r>
      <w:r>
        <w:rPr>
          <w:rFonts w:ascii="Arial" w:cs="Arial" w:eastAsia="Arial" w:hAnsi="Arial"/>
          <w:sz w:val="17"/>
          <w:szCs w:val="17"/>
          <w:u w:val="single" w:color="auto"/>
          <w:color w:val="auto"/>
        </w:rPr>
        <w:t>Exercise Price</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exercise price of an Incentive Stock Option shall be at least 100% of the Fair Market Value of the Common Stock on the Grant Date, and in the case of an Incentive Stock Option granted to a Participant who owns more than 10% of the total combined voting power of all classes of the stock of the Company or of its parent or subsidiary corporations (a “Ten Percent Stockholder”), shall not be less than 110% of the Fair Market Value of the Common Stock on the Grant Date. The determination of more than 10% ownership shall be made in accordance with Section 422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6" w:name="page17"/>
    <w:bookmarkEnd w:id="16"/>
    <w:p>
      <w:pPr>
        <w:spacing w:after="0"/>
        <w:tabs>
          <w:tab w:leader="none" w:pos="660" w:val="left"/>
        </w:tabs>
        <w:rPr>
          <w:sz w:val="20"/>
          <w:szCs w:val="20"/>
          <w:color w:val="auto"/>
        </w:rPr>
      </w:pPr>
      <w:r>
        <w:rPr>
          <w:rFonts w:ascii="Arial" w:cs="Arial" w:eastAsia="Arial" w:hAnsi="Arial"/>
          <w:sz w:val="19"/>
          <w:szCs w:val="19"/>
          <w:color w:val="auto"/>
        </w:rPr>
        <w:t>8.4</w:t>
      </w:r>
      <w:r>
        <w:rPr>
          <w:sz w:val="20"/>
          <w:szCs w:val="20"/>
          <w:color w:val="auto"/>
        </w:rPr>
        <w:tab/>
      </w:r>
      <w:r>
        <w:rPr>
          <w:rFonts w:ascii="Arial" w:cs="Arial" w:eastAsia="Arial" w:hAnsi="Arial"/>
          <w:sz w:val="17"/>
          <w:szCs w:val="17"/>
          <w:u w:val="single" w:color="auto"/>
          <w:color w:val="auto"/>
        </w:rPr>
        <w:t>Option Term</w:t>
      </w:r>
    </w:p>
    <w:p>
      <w:pPr>
        <w:spacing w:after="0" w:line="238"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Subject to earlier termination in accordance with the terms of the Plan and the instrument evidencing the Option, the maximum term of an Incentive Stock Option shall not exceed ten years, and in the case of an Incentive Stock Option granted to a Ten Percent Stockholder, shall not exceed five years.</w:t>
      </w:r>
    </w:p>
    <w:p>
      <w:pPr>
        <w:spacing w:after="0" w:line="137"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8"/>
          <w:szCs w:val="18"/>
          <w:u w:val="single" w:color="auto"/>
          <w:color w:val="auto"/>
        </w:rPr>
        <w:t>Exercisability</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An Option designated as an Incentive Stock Option shall cease to qualify for favorable tax treatment as an Incentive Stock Option to the extent it is exercised (if permitted by the terms of the Option) (a) more than three months after the date of a Participant’s Termination of Service if termination was for reasons other than death or disability, (b) more than one year after the date of a Participant’s Termination of Service if termination was by reason of disability, or (c) after the Participant has been on leave of absence for more than 90 days, unless the Participant’s reemployment rights are guaranteed by statute or contract.</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8.6</w:t>
      </w:r>
      <w:r>
        <w:rPr>
          <w:sz w:val="20"/>
          <w:szCs w:val="20"/>
          <w:color w:val="auto"/>
        </w:rPr>
        <w:tab/>
      </w:r>
      <w:r>
        <w:rPr>
          <w:rFonts w:ascii="Arial" w:cs="Arial" w:eastAsia="Arial" w:hAnsi="Arial"/>
          <w:sz w:val="17"/>
          <w:szCs w:val="17"/>
          <w:u w:val="single" w:color="auto"/>
          <w:color w:val="auto"/>
        </w:rPr>
        <w:t>Taxation of Incentive Stock Options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In order to obtain certain tax benefits afforded to Incentive Stock Options under Section 422 of the Code, the Participant must hold the shares acquired upon the exercise of an Incentive Stock Option for two years after the Grant Date and one year after the date of exercise.</w:t>
      </w:r>
    </w:p>
    <w:p>
      <w:pPr>
        <w:spacing w:after="0" w:line="184"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A Participant may be subject to the alternative minimum tax at the time of exercise of an Incentive Stock Option. The Participant shall give the Company prompt notice of any disposition of shares acquired on the exercise of an Incentive Stock Option prior to the expiration of such holding periods.</w:t>
      </w:r>
    </w:p>
    <w:p>
      <w:pPr>
        <w:spacing w:after="0" w:line="137"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8.7</w:t>
      </w:r>
      <w:r>
        <w:rPr>
          <w:sz w:val="20"/>
          <w:szCs w:val="20"/>
          <w:color w:val="auto"/>
        </w:rPr>
        <w:tab/>
      </w:r>
      <w:r>
        <w:rPr>
          <w:rFonts w:ascii="Arial" w:cs="Arial" w:eastAsia="Arial" w:hAnsi="Arial"/>
          <w:sz w:val="17"/>
          <w:szCs w:val="17"/>
          <w:u w:val="single" w:color="auto"/>
          <w:color w:val="auto"/>
        </w:rPr>
        <w:t>Code Definitions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For the purposes of this Section, “disability” “parent corporation” and “subsidiary corporation” shall have the meanings attributed to those terms for purposes of Section 422 of the Code.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9. STOCK APPRECIATION RIGHTS</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9.1</w:t>
      </w:r>
      <w:r>
        <w:rPr>
          <w:sz w:val="20"/>
          <w:szCs w:val="20"/>
          <w:color w:val="auto"/>
        </w:rPr>
        <w:tab/>
      </w:r>
      <w:r>
        <w:rPr>
          <w:rFonts w:ascii="Arial" w:cs="Arial" w:eastAsia="Arial" w:hAnsi="Arial"/>
          <w:sz w:val="17"/>
          <w:szCs w:val="17"/>
          <w:u w:val="single" w:color="auto"/>
          <w:color w:val="auto"/>
        </w:rPr>
        <w:t>Grant of Stock Appreciation Rights</w:t>
      </w:r>
    </w:p>
    <w:p>
      <w:pPr>
        <w:spacing w:after="0" w:line="238"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Committee may grant Stock Appreciation Rights to Participants at any time on such terms and conditions as the Committee shall determine in its sole discretion. An SAR may be granted in tandem with an Option or alone (“freestanding”). The grant price of a tandem SAR shall be equal to the exercise price of the related Option. The grant price of a freestanding SAR shall be established in accordance with procedures for Options set forth in subsection 7.2. An SAR may be exercised upon such terms and conditions and for the term as the Committee determines in its sole discretion; provided, however, that, subject to earlier termination in accordance with the terms of the Plan and the instrument evidencing the SAR, the maximum term of a freestanding SAR shall be ten years, and in the case of a tandem SAR, (a) the term shall not exceed the term of the related Option and (b) the tandem SAR may be exercised for all or part of the shares subject to the related Option upon the surrender of the right to exercise the equivalent portion of the related Option, except that the tandem SAR may be exercised only with respect to the shares for which its related Option is then exercisable.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7" w:name="page18"/>
    <w:bookmarkEnd w:id="17"/>
    <w:p>
      <w:pPr>
        <w:spacing w:after="0"/>
        <w:tabs>
          <w:tab w:leader="none" w:pos="660" w:val="left"/>
        </w:tabs>
        <w:rPr>
          <w:sz w:val="20"/>
          <w:szCs w:val="20"/>
          <w:color w:val="auto"/>
        </w:rPr>
      </w:pPr>
      <w:r>
        <w:rPr>
          <w:rFonts w:ascii="Arial" w:cs="Arial" w:eastAsia="Arial" w:hAnsi="Arial"/>
          <w:sz w:val="19"/>
          <w:szCs w:val="19"/>
          <w:color w:val="auto"/>
        </w:rPr>
        <w:t>9.2</w:t>
      </w:r>
      <w:r>
        <w:rPr>
          <w:sz w:val="20"/>
          <w:szCs w:val="20"/>
          <w:color w:val="auto"/>
        </w:rPr>
        <w:tab/>
      </w:r>
      <w:r>
        <w:rPr>
          <w:rFonts w:ascii="Arial" w:cs="Arial" w:eastAsia="Arial" w:hAnsi="Arial"/>
          <w:sz w:val="17"/>
          <w:szCs w:val="17"/>
          <w:u w:val="single" w:color="auto"/>
          <w:color w:val="auto"/>
        </w:rPr>
        <w:t>Payment of SAR Amount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Upon the exercise of an SAR, a Participant shall be entitled to receive payment in an amount determined by multiplying:</w:t>
      </w:r>
    </w:p>
    <w:p>
      <w:pPr>
        <w:spacing w:after="0" w:line="238" w:lineRule="exact"/>
        <w:rPr>
          <w:sz w:val="20"/>
          <w:szCs w:val="20"/>
          <w:color w:val="auto"/>
        </w:rPr>
      </w:pPr>
    </w:p>
    <w:p>
      <w:pPr>
        <w:ind w:left="940" w:hanging="261"/>
        <w:spacing w:after="0"/>
        <w:tabs>
          <w:tab w:leader="none" w:pos="940" w:val="left"/>
        </w:tabs>
        <w:numPr>
          <w:ilvl w:val="0"/>
          <w:numId w:val="3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the difference between the Fair Market Value of the Common Stock on the date of exercise over the grant price of the SAR by</w:t>
      </w:r>
    </w:p>
    <w:p>
      <w:pPr>
        <w:spacing w:after="0" w:line="237" w:lineRule="exact"/>
        <w:rPr>
          <w:rFonts w:ascii="Arial" w:cs="Arial" w:eastAsia="Arial" w:hAnsi="Arial"/>
          <w:sz w:val="19"/>
          <w:szCs w:val="19"/>
          <w:u w:val="single" w:color="auto"/>
          <w:color w:val="auto"/>
        </w:rPr>
      </w:pPr>
    </w:p>
    <w:p>
      <w:pPr>
        <w:ind w:left="940" w:hanging="261"/>
        <w:spacing w:after="0"/>
        <w:tabs>
          <w:tab w:leader="none" w:pos="940" w:val="left"/>
        </w:tabs>
        <w:numPr>
          <w:ilvl w:val="0"/>
          <w:numId w:val="31"/>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the number of shares with respect to which the SAR is exercised.</w:t>
      </w:r>
    </w:p>
    <w:p>
      <w:pPr>
        <w:spacing w:after="0" w:line="238"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At the discretion of the Committee as set forth in the instrument evidencing the Award, the payment upon exercise of an SAR may be in cash, in shares, in some combination thereof or in any other manner approved by the Committee in its sole discretion.</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9.3</w:t>
      </w:r>
      <w:r>
        <w:rPr>
          <w:sz w:val="20"/>
          <w:szCs w:val="20"/>
          <w:color w:val="auto"/>
        </w:rPr>
        <w:tab/>
      </w:r>
      <w:r>
        <w:rPr>
          <w:rFonts w:ascii="Arial" w:cs="Arial" w:eastAsia="Arial" w:hAnsi="Arial"/>
          <w:sz w:val="17"/>
          <w:szCs w:val="17"/>
          <w:u w:val="single" w:color="auto"/>
          <w:color w:val="auto"/>
        </w:rPr>
        <w:t>Waiver of Restrictions</w:t>
      </w:r>
    </w:p>
    <w:p>
      <w:pPr>
        <w:spacing w:after="0" w:line="238"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Subject to subsection 18.5, the Committee, in its sole discretion, may waive any other terms, conditions or restrictions on any SAR under such circumstances and subject to such terms and conditions as the Committee shall deem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10. STOCK AWARDS, RESTRICTED STOCK AND STOCK UNITS</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7"/>
          <w:szCs w:val="17"/>
          <w:u w:val="single" w:color="auto"/>
          <w:color w:val="auto"/>
        </w:rPr>
        <w:t>Grant of Stock Awards, Restricted Stock and Stock Units</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Committee may grant Stock Awards, Restricted Stock and Stock Units on such terms and conditions and subject to such repurchase or forfeiture restrictions, if any, which may be based on continuous service with the Company or a Related Company or the achievement of any performance goals, as the Committee shall determine in its sole discretion, which terms, conditions and restrictions shall be set forth in the instrument evidencing the Award.</w:t>
      </w:r>
    </w:p>
    <w:p>
      <w:pPr>
        <w:spacing w:after="0" w:line="16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u w:val="single" w:color="auto"/>
          <w:color w:val="auto"/>
        </w:rPr>
        <w:t>Vesting of Restricted Stock and Stock Units</w:t>
      </w:r>
    </w:p>
    <w:p>
      <w:pPr>
        <w:spacing w:after="0" w:line="238" w:lineRule="exact"/>
        <w:rPr>
          <w:sz w:val="20"/>
          <w:szCs w:val="20"/>
          <w:color w:val="auto"/>
        </w:rPr>
      </w:pPr>
    </w:p>
    <w:p>
      <w:pPr>
        <w:jc w:val="both"/>
        <w:ind w:right="20"/>
        <w:spacing w:after="0" w:line="336" w:lineRule="auto"/>
        <w:rPr>
          <w:sz w:val="20"/>
          <w:szCs w:val="20"/>
          <w:color w:val="auto"/>
        </w:rPr>
      </w:pPr>
      <w:r>
        <w:rPr>
          <w:rFonts w:ascii="Arial" w:cs="Arial" w:eastAsia="Arial" w:hAnsi="Arial"/>
          <w:sz w:val="17"/>
          <w:szCs w:val="17"/>
          <w:color w:val="auto"/>
        </w:rPr>
        <w:t>Upon the satisfaction of any terms, conditions and restrictions prescribed with respect to Restricted Stock or Stock Units, or upon a Participant’s release from any terms, conditions and restrictions of Restricted Stock or Stock Units, as determined by the Committee, and subject to the provisions of Section 13:</w:t>
      </w:r>
    </w:p>
    <w:p>
      <w:pPr>
        <w:spacing w:after="0" w:line="137" w:lineRule="exact"/>
        <w:rPr>
          <w:sz w:val="20"/>
          <w:szCs w:val="20"/>
          <w:color w:val="auto"/>
        </w:rPr>
      </w:pPr>
    </w:p>
    <w:p>
      <w:pPr>
        <w:ind w:left="940" w:hanging="261"/>
        <w:spacing w:after="0"/>
        <w:tabs>
          <w:tab w:leader="none" w:pos="9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shares of Restricted Stock covered by each Award of Restricted Stock shall become freely transferable by the Participant, and</w:t>
      </w:r>
    </w:p>
    <w:p>
      <w:pPr>
        <w:spacing w:after="0" w:line="237" w:lineRule="exact"/>
        <w:rPr>
          <w:rFonts w:ascii="Arial" w:cs="Arial" w:eastAsia="Arial" w:hAnsi="Arial"/>
          <w:sz w:val="19"/>
          <w:szCs w:val="19"/>
          <w:color w:val="auto"/>
        </w:rPr>
      </w:pPr>
    </w:p>
    <w:p>
      <w:pPr>
        <w:ind w:left="340" w:firstLine="339"/>
        <w:spacing w:after="0" w:line="275" w:lineRule="auto"/>
        <w:tabs>
          <w:tab w:leader="none" w:pos="9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Stock Units shall be paid in shares of Common Stock or, if set forth in the instrument evidencing the Awards, in cash or a combination of cash and shares of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Any fractional shares subject to such Awards shall be paid to the Participant in cash.</w:t>
      </w:r>
    </w:p>
    <w:p>
      <w:pPr>
        <w:spacing w:after="0" w:line="238"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7"/>
          <w:szCs w:val="17"/>
          <w:u w:val="single" w:color="auto"/>
          <w:color w:val="auto"/>
        </w:rPr>
        <w:t>Waiver of Restrictions</w:t>
      </w:r>
    </w:p>
    <w:p>
      <w:pPr>
        <w:spacing w:after="0" w:line="238" w:lineRule="exact"/>
        <w:rPr>
          <w:sz w:val="20"/>
          <w:szCs w:val="20"/>
          <w:color w:val="auto"/>
        </w:rPr>
      </w:pPr>
    </w:p>
    <w:p>
      <w:pPr>
        <w:spacing w:after="0" w:line="336" w:lineRule="auto"/>
        <w:rPr>
          <w:sz w:val="20"/>
          <w:szCs w:val="20"/>
          <w:color w:val="auto"/>
        </w:rPr>
      </w:pPr>
      <w:r>
        <w:rPr>
          <w:rFonts w:ascii="Arial" w:cs="Arial" w:eastAsia="Arial" w:hAnsi="Arial"/>
          <w:sz w:val="17"/>
          <w:szCs w:val="17"/>
          <w:color w:val="auto"/>
        </w:rPr>
        <w:t>Subject to subsection 18.5, the Committee, in its sole discretion, may waive the repurchase or forfeiture period and any other terms, conditions or restrictions on any Restricted Stock or Stock Unit under such circumstances and subject to such terms and conditions as the Committee shall deem appropriate.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18" w:name="page19"/>
    <w:bookmarkEnd w:id="18"/>
    <w:p>
      <w:pPr>
        <w:spacing w:after="0"/>
        <w:rPr>
          <w:sz w:val="20"/>
          <w:szCs w:val="20"/>
          <w:color w:val="auto"/>
        </w:rPr>
      </w:pPr>
      <w:r>
        <w:rPr>
          <w:rFonts w:ascii="Arial" w:cs="Arial" w:eastAsia="Arial" w:hAnsi="Arial"/>
          <w:sz w:val="19"/>
          <w:szCs w:val="19"/>
          <w:b w:val="1"/>
          <w:bCs w:val="1"/>
          <w:color w:val="auto"/>
        </w:rPr>
        <w:t>SECTION 11. PERFORMANCE AWARDS</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11.1</w:t>
      </w:r>
      <w:r>
        <w:rPr>
          <w:sz w:val="20"/>
          <w:szCs w:val="20"/>
          <w:color w:val="auto"/>
        </w:rPr>
        <w:tab/>
      </w:r>
      <w:r>
        <w:rPr>
          <w:rFonts w:ascii="Arial" w:cs="Arial" w:eastAsia="Arial" w:hAnsi="Arial"/>
          <w:sz w:val="16"/>
          <w:szCs w:val="16"/>
          <w:u w:val="single" w:color="auto"/>
          <w:color w:val="auto"/>
        </w:rPr>
        <w:t>Performance Shares</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Committee may grant Awards of Performance Shares,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shares of Common Stock or, if set forth in the instrument evidencing the Award,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Shares may be adjusted on the basis of such further consideration as the Committee shall determine in its sole discretion.</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11.2</w:t>
      </w:r>
      <w:r>
        <w:rPr>
          <w:sz w:val="20"/>
          <w:szCs w:val="20"/>
          <w:color w:val="auto"/>
        </w:rPr>
        <w:tab/>
      </w:r>
      <w:r>
        <w:rPr>
          <w:rFonts w:ascii="Arial" w:cs="Arial" w:eastAsia="Arial" w:hAnsi="Arial"/>
          <w:sz w:val="17"/>
          <w:szCs w:val="17"/>
          <w:u w:val="single" w:color="auto"/>
          <w:color w:val="auto"/>
        </w:rPr>
        <w:t>Performance Units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Committee may grant Awards of Performance Units,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Committee shall determine, including, without limitation, cash, shares of Common Stock, other property, or any combination thereof, upon the attainment of performance goals, as established by the Committee, and other terms and conditions specified by the Committee. Subject to subsection 18.5, the amount to be paid under an Award of Performance Units may be adjusted on the basis of such further consideration as the Committee shall determine in its sole discretion.</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12. OTHER STOCK OR CASH-BASED AWARDS</w:t>
      </w:r>
    </w:p>
    <w:p>
      <w:pPr>
        <w:spacing w:after="0" w:line="244"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Subject to the terms of the Plan and such other terms and conditions as the Committee deems appropriate, the Committee may grant other incentives payable in cash or in shares of Common Stock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13. WITHHOLDING</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The Company may require the Participant to pay to the Company the amount of:</w:t>
      </w:r>
    </w:p>
    <w:p>
      <w:pPr>
        <w:spacing w:after="0" w:line="238" w:lineRule="exact"/>
        <w:rPr>
          <w:sz w:val="20"/>
          <w:szCs w:val="20"/>
          <w:color w:val="auto"/>
        </w:rPr>
      </w:pPr>
    </w:p>
    <w:p>
      <w:pPr>
        <w:ind w:left="340" w:firstLine="339"/>
        <w:spacing w:after="0" w:line="275" w:lineRule="auto"/>
        <w:tabs>
          <w:tab w:leader="none" w:pos="945"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taxes that the Company is required by applicable federal, state, local or foreign law to withhold with respect to the grant, vesting or exercise of an Award (“tax withholding obligations”); and</w:t>
      </w:r>
    </w:p>
    <w:p>
      <w:pPr>
        <w:spacing w:after="0" w:line="183" w:lineRule="exact"/>
        <w:rPr>
          <w:rFonts w:ascii="Arial" w:cs="Arial" w:eastAsia="Arial" w:hAnsi="Arial"/>
          <w:sz w:val="19"/>
          <w:szCs w:val="19"/>
          <w:color w:val="auto"/>
        </w:rPr>
      </w:pPr>
    </w:p>
    <w:p>
      <w:pPr>
        <w:ind w:left="940" w:hanging="261"/>
        <w:spacing w:after="0"/>
        <w:tabs>
          <w:tab w:leader="none" w:pos="9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amounts due from the Participant to the Company or to any Related Company (“other obligations”).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9"/>
          <w:szCs w:val="19"/>
          <w:color w:val="auto"/>
        </w:rPr>
        <w:t>The Company shall not be required to issue any shares of Common Stock or otherwise settle an Award under the Plan until such tax withholding obligations and other obligations are satisfied. The Committee may permit or require a Participant to satisfy all or part of the Participant’s tax withholding obligations and other obligations by:</w:t>
      </w:r>
    </w:p>
    <w:p>
      <w:pPr>
        <w:spacing w:after="0" w:line="194" w:lineRule="exact"/>
        <w:rPr>
          <w:sz w:val="20"/>
          <w:szCs w:val="20"/>
          <w:color w:val="auto"/>
        </w:rPr>
      </w:pPr>
    </w:p>
    <w:p>
      <w:pPr>
        <w:ind w:left="1240" w:hanging="219"/>
        <w:spacing w:after="0"/>
        <w:tabs>
          <w:tab w:leader="none" w:pos="1240" w:val="left"/>
        </w:tabs>
        <w:numPr>
          <w:ilvl w:val="0"/>
          <w:numId w:val="34"/>
        </w:numPr>
        <w:rPr>
          <w:rFonts w:ascii="Arial" w:cs="Arial" w:eastAsia="Arial" w:hAnsi="Arial"/>
          <w:sz w:val="19"/>
          <w:szCs w:val="19"/>
          <w:color w:val="auto"/>
        </w:rPr>
      </w:pPr>
      <w:r>
        <w:rPr>
          <w:rFonts w:ascii="Arial" w:cs="Arial" w:eastAsia="Arial" w:hAnsi="Arial"/>
          <w:sz w:val="19"/>
          <w:szCs w:val="19"/>
          <w:color w:val="auto"/>
        </w:rPr>
        <w:t>paying cash to the Company,</w:t>
      </w:r>
    </w:p>
    <w:p>
      <w:pPr>
        <w:spacing w:after="0" w:line="237" w:lineRule="exact"/>
        <w:rPr>
          <w:rFonts w:ascii="Arial" w:cs="Arial" w:eastAsia="Arial" w:hAnsi="Arial"/>
          <w:sz w:val="19"/>
          <w:szCs w:val="19"/>
          <w:color w:val="auto"/>
        </w:rPr>
      </w:pPr>
    </w:p>
    <w:p>
      <w:pPr>
        <w:ind w:left="1300" w:hanging="279"/>
        <w:spacing w:after="0"/>
        <w:tabs>
          <w:tab w:leader="none" w:pos="13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having the Company withhold an amount from any cash amounts otherwise due or to become due from the Company to the Participant,</w:t>
      </w:r>
    </w:p>
    <w:p>
      <w:pPr>
        <w:spacing w:after="0" w:line="260" w:lineRule="exact"/>
        <w:rPr>
          <w:rFonts w:ascii="Arial" w:cs="Arial" w:eastAsia="Arial" w:hAnsi="Arial"/>
          <w:sz w:val="17"/>
          <w:szCs w:val="17"/>
          <w:color w:val="auto"/>
        </w:rPr>
      </w:pPr>
    </w:p>
    <w:p>
      <w:pPr>
        <w:ind w:left="680" w:firstLine="341"/>
        <w:spacing w:after="0" w:line="304" w:lineRule="auto"/>
        <w:tabs>
          <w:tab w:leader="none" w:pos="1363"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the Company withhold a number of shares of Common Stock that would otherwise be issued to the Participant (or become vested, in the case of Restricted Stock) having a Fair Market Value equal to the tax withholding obligations and other obligations, or</w:t>
      </w:r>
    </w:p>
    <w:p>
      <w:pPr>
        <w:spacing w:after="0" w:line="160" w:lineRule="exact"/>
        <w:rPr>
          <w:rFonts w:ascii="Arial" w:cs="Arial" w:eastAsia="Arial" w:hAnsi="Arial"/>
          <w:sz w:val="18"/>
          <w:szCs w:val="18"/>
          <w:color w:val="auto"/>
        </w:rPr>
      </w:pPr>
    </w:p>
    <w:p>
      <w:pPr>
        <w:ind w:left="680" w:right="20" w:firstLine="341"/>
        <w:spacing w:after="0" w:line="275" w:lineRule="auto"/>
        <w:tabs>
          <w:tab w:leader="none" w:pos="1344" w:val="left"/>
        </w:tabs>
        <w:numPr>
          <w:ilvl w:val="0"/>
          <w:numId w:val="34"/>
        </w:numPr>
        <w:rPr>
          <w:rFonts w:ascii="Arial" w:cs="Arial" w:eastAsia="Arial" w:hAnsi="Arial"/>
          <w:sz w:val="19"/>
          <w:szCs w:val="19"/>
          <w:color w:val="auto"/>
        </w:rPr>
      </w:pPr>
      <w:r>
        <w:rPr>
          <w:rFonts w:ascii="Arial" w:cs="Arial" w:eastAsia="Arial" w:hAnsi="Arial"/>
          <w:sz w:val="19"/>
          <w:szCs w:val="19"/>
          <w:color w:val="auto"/>
        </w:rPr>
        <w:t>surrendering a number of shares of Common Stock the Participant already owns having a value equal to the tax withholding obligations and other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The value of the shares so withheld or tendered may not exceed the employer’s minimum required tax withholding rate.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14. ASSIGNABILITY</w:t>
      </w:r>
    </w:p>
    <w:p>
      <w:pPr>
        <w:spacing w:after="0" w:line="24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No Award or interest in an Award may be sold, assigned, pledged (as collateral for a loan or as security for the performance of an obligation or for any other purpose) or transferred by a Participant or made subject to attachment or similar proceedings otherwise than by will or by the applicable laws of descent and distribution, except to the extent the Participant designates one or more beneficiaries on a Company-approved form who may exercise the Award or receive payment under the Award after the Participant’s death. During a Participant’s lifetime, an Award may be exercised only by the Participant. Notwithstanding the foregoing and to the extent permitted by Section 422 of the Code, the Committee, in its sole discretion, may permit a Participant to assign or transfer an Award subject to such terms and conditions as the Committee shall specify.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15. ADJUSTMENTS</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15.1</w:t>
      </w:r>
      <w:r>
        <w:rPr>
          <w:sz w:val="20"/>
          <w:szCs w:val="20"/>
          <w:color w:val="auto"/>
        </w:rPr>
        <w:tab/>
      </w:r>
      <w:r>
        <w:rPr>
          <w:rFonts w:ascii="Arial" w:cs="Arial" w:eastAsia="Arial" w:hAnsi="Arial"/>
          <w:sz w:val="17"/>
          <w:szCs w:val="17"/>
          <w:u w:val="single" w:color="auto"/>
          <w:color w:val="auto"/>
        </w:rPr>
        <w:t>Adjustment of Shares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8"/>
          <w:szCs w:val="18"/>
          <w:color w:val="auto"/>
        </w:rPr>
        <w:t>In the event, at any time or from time to time, a stock dividend, stock split, spin-off, combination or exchange of shares, recapitalization, merger, consolidation, distribution to stockholders other than a normal cash dividend, or other change in the Company’s corporate or capital structure results in</w:t>
      </w:r>
    </w:p>
    <w:p>
      <w:pPr>
        <w:spacing w:after="0" w:line="160" w:lineRule="exact"/>
        <w:rPr>
          <w:sz w:val="20"/>
          <w:szCs w:val="20"/>
          <w:color w:val="auto"/>
        </w:rPr>
      </w:pPr>
    </w:p>
    <w:p>
      <w:pPr>
        <w:ind w:left="340" w:firstLine="339"/>
        <w:spacing w:after="0" w:line="275" w:lineRule="auto"/>
        <w:tabs>
          <w:tab w:leader="none" w:pos="943"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outstanding shares of Common Stock, or any securities exchanged therefor or received in their place, being exchanged for a different number or kind of securities of the Company or</w:t>
      </w:r>
    </w:p>
    <w:p>
      <w:pPr>
        <w:spacing w:after="0" w:line="183" w:lineRule="exact"/>
        <w:rPr>
          <w:rFonts w:ascii="Arial" w:cs="Arial" w:eastAsia="Arial" w:hAnsi="Arial"/>
          <w:sz w:val="19"/>
          <w:szCs w:val="19"/>
          <w:color w:val="auto"/>
        </w:rPr>
      </w:pPr>
    </w:p>
    <w:p>
      <w:pPr>
        <w:ind w:left="940" w:hanging="261"/>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different or additional securities of the Company or any other company being received by the holders of shares of Common Stock,</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then the Committee shall make proportional adjustments in</w:t>
      </w:r>
    </w:p>
    <w:p>
      <w:pPr>
        <w:spacing w:after="0" w:line="238" w:lineRule="exact"/>
        <w:rPr>
          <w:sz w:val="20"/>
          <w:szCs w:val="20"/>
          <w:color w:val="auto"/>
        </w:rPr>
      </w:pPr>
    </w:p>
    <w:p>
      <w:pPr>
        <w:ind w:left="1020"/>
        <w:spacing w:after="0"/>
        <w:rPr>
          <w:sz w:val="20"/>
          <w:szCs w:val="20"/>
          <w:color w:val="auto"/>
        </w:rPr>
      </w:pPr>
      <w:r>
        <w:rPr>
          <w:rFonts w:ascii="Arial" w:cs="Arial" w:eastAsia="Arial" w:hAnsi="Arial"/>
          <w:sz w:val="19"/>
          <w:szCs w:val="19"/>
          <w:color w:val="auto"/>
        </w:rPr>
        <w:t>(i) the maximum number and kind of securities available for issuance under the Plan;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0" w:name="page21"/>
    <w:bookmarkEnd w:id="20"/>
    <w:p>
      <w:pPr>
        <w:ind w:left="1300" w:hanging="279"/>
        <w:spacing w:after="0"/>
        <w:tabs>
          <w:tab w:leader="none" w:pos="13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maximum number and kind of securities issuable as Incentive Stock Options as set forth in subsection 4.2; and</w:t>
      </w:r>
    </w:p>
    <w:p>
      <w:pPr>
        <w:spacing w:after="0" w:line="237" w:lineRule="exact"/>
        <w:rPr>
          <w:rFonts w:ascii="Arial" w:cs="Arial" w:eastAsia="Arial" w:hAnsi="Arial"/>
          <w:sz w:val="19"/>
          <w:szCs w:val="19"/>
          <w:color w:val="auto"/>
        </w:rPr>
      </w:pPr>
    </w:p>
    <w:p>
      <w:pPr>
        <w:ind w:left="680" w:firstLine="341"/>
        <w:spacing w:after="0" w:line="275" w:lineRule="auto"/>
        <w:tabs>
          <w:tab w:leader="none" w:pos="1363"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number and kind of securities that are subject to any outstanding Award and the per share price of such securities, without any change in the aggregate price to be paid therefor.</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determination by the Committee, as to the terms of any of the foregoing adjustments shall be conclusive and binding. Notwithstanding the foregoing, the issuance by the Company of shares of stock of any class, or securities convertible into shares of stock of any class, for cash or property, or for labor or services rendered, either upon direct sale or upon the exercise of rights or warrants to subscribe therefor, or upon conversion of shares or obligations of the Company convertible into such shares or other securities, shall not affect, and no adjustment by reason thereof shall be made with respect to, outstanding Awards. Also notwithstanding the foregoing, a dissolution or liquidation of the Company or a Company Transaction shall not be governed by this subsection but shall be governed by subsections 15.2 and 15.3, respectively.</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15.2</w:t>
      </w:r>
      <w:r>
        <w:rPr>
          <w:sz w:val="20"/>
          <w:szCs w:val="20"/>
          <w:color w:val="auto"/>
        </w:rPr>
        <w:tab/>
      </w:r>
      <w:r>
        <w:rPr>
          <w:rFonts w:ascii="Arial" w:cs="Arial" w:eastAsia="Arial" w:hAnsi="Arial"/>
          <w:sz w:val="18"/>
          <w:szCs w:val="18"/>
          <w:u w:val="single" w:color="auto"/>
          <w:color w:val="auto"/>
        </w:rPr>
        <w:t>Dissolution or Liquidation</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 the extent not previously exercised or settled, and unless otherwise determined by the Committee in its sole discretion, Awards shall terminate immediately prior to the dissolution or liquidation of the Company. To the extent a vesting condition, forfeiture provision or repurchase right applicable to an Award has not been waived by the Committee, the Award shall be forfeited immediately prior to the consummation of the dissolution or liquidation.</w:t>
      </w:r>
    </w:p>
    <w:p>
      <w:pPr>
        <w:spacing w:after="0" w:line="16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15.3</w:t>
      </w:r>
      <w:r>
        <w:rPr>
          <w:sz w:val="20"/>
          <w:szCs w:val="20"/>
          <w:color w:val="auto"/>
        </w:rPr>
        <w:tab/>
      </w:r>
      <w:r>
        <w:rPr>
          <w:rFonts w:ascii="Arial" w:cs="Arial" w:eastAsia="Arial" w:hAnsi="Arial"/>
          <w:sz w:val="17"/>
          <w:szCs w:val="17"/>
          <w:u w:val="single" w:color="auto"/>
          <w:color w:val="auto"/>
        </w:rPr>
        <w:t>Change in Control</w:t>
      </w:r>
    </w:p>
    <w:p>
      <w:pPr>
        <w:spacing w:after="0" w:line="238"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Notwithstanding any other provision of the Plan to the contrary, unless the Committee shall determine otherwise in the instrument evidencing the Award or in a written employment, services or other agreement between the Participant and the Company or a Related Company, in the event of a Change in Control:</w:t>
      </w:r>
    </w:p>
    <w:p>
      <w:pPr>
        <w:spacing w:after="0" w:line="137" w:lineRule="exact"/>
        <w:rPr>
          <w:sz w:val="20"/>
          <w:szCs w:val="20"/>
          <w:color w:val="auto"/>
        </w:rPr>
      </w:pPr>
    </w:p>
    <w:p>
      <w:pPr>
        <w:jc w:val="both"/>
        <w:ind w:left="340" w:firstLine="339"/>
        <w:spacing w:after="0" w:line="284" w:lineRule="auto"/>
        <w:tabs>
          <w:tab w:leader="none" w:pos="97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outstanding Awards, other than Performance Shares and Performance Units, shall become fully and immediately exercisable, and all applicable deferral and restriction limitations or forfeiture provisions shall lapse, immediately prior to the Change in Control and shall terminate at the effective time of the Change in Control; provided, however, that with respect to a Change in Control that is a Company Transaction, such Awards shall become fully and immediately exercisable, and all applicable deferral and restriction limitations or forfeiture provisions shall lapse, only if and to the extent such Awards are not converted, assumed or replaced by the Successor Company. For the purposes of this paragraph, an Award shall be considered converted, assumed or replaced by the Successor Company if following the Company Transaction the option or right confers the right to purchase or receive, for each share of Common Stock subject to the Award immediately prior to the Company Transaction, the consideration (whether stock, cash or other securities or property) received in the Company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Company Transaction is not solely common stock of the Successor Company, the Committee may, with the consent of the Successor Company, provide for the consideration to be received upon the exercise of the Option, for each share of Common Stock subject thereto, to be solely common stock of the Successor Company substantially equal in fair market value to the per share consideration received by holders of Common Stock in the Company Transaction. The determination of such substantial equality of value of consideration shall be made by the Committee, and its determination shall be conclusive and binding.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1" w:name="page22"/>
    <w:bookmarkEnd w:id="21"/>
    <w:p>
      <w:pPr>
        <w:jc w:val="both"/>
        <w:ind w:left="340" w:firstLine="339"/>
        <w:spacing w:after="0" w:line="255" w:lineRule="auto"/>
        <w:tabs>
          <w:tab w:leader="none" w:pos="948" w:val="left"/>
        </w:tabs>
        <w:numPr>
          <w:ilvl w:val="0"/>
          <w:numId w:val="38"/>
        </w:numPr>
        <w:rPr>
          <w:rFonts w:ascii="Arial" w:cs="Arial" w:eastAsia="Arial" w:hAnsi="Arial"/>
          <w:sz w:val="19"/>
          <w:szCs w:val="19"/>
          <w:color w:val="auto"/>
        </w:rPr>
      </w:pPr>
      <w:r>
        <w:rPr>
          <w:rFonts w:ascii="Arial" w:cs="Arial" w:eastAsia="Arial" w:hAnsi="Arial"/>
          <w:sz w:val="19"/>
          <w:szCs w:val="19"/>
          <w:color w:val="auto"/>
        </w:rPr>
        <w:t>All Performance Shares or Performance Units earned and outstanding as of the date the Change in Control is determined to have occurred shall be payable in full at the target level in accordance with the payout schedule pursuant to the instrument evidencing the Award. Any remaining Performance Shares or Performance Units (including any applicable performance period) for which the payout level has not been determined shall be prorated at the target payout level up to and including the date of such Change in Control and shall be payable in full at the target level in accordance with the payout schedule pursuant to the instrument evidencing the Award. Any existing deferrals or other restrictions not waived by the Committee in its sole discretion shall remain in effect.</w:t>
      </w:r>
    </w:p>
    <w:p>
      <w:pPr>
        <w:spacing w:after="0" w:line="204" w:lineRule="exact"/>
        <w:rPr>
          <w:rFonts w:ascii="Arial" w:cs="Arial" w:eastAsia="Arial" w:hAnsi="Arial"/>
          <w:sz w:val="19"/>
          <w:szCs w:val="19"/>
          <w:color w:val="auto"/>
        </w:rPr>
      </w:pPr>
    </w:p>
    <w:p>
      <w:pPr>
        <w:jc w:val="both"/>
        <w:ind w:left="340" w:firstLine="339"/>
        <w:spacing w:after="0" w:line="263" w:lineRule="auto"/>
        <w:tabs>
          <w:tab w:leader="none" w:pos="9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Notwithstanding paragraphs 15.3(a) and 15.3(b), the Committee, in its sole discretion, may (unless otherwise provided in the instrument evidencing the Award or in a written employment, services or other agreement between the Participant and the Company or a Related Company) instead provide in the event of a Change in Control that is a Company Transaction</w:t>
      </w:r>
    </w:p>
    <w:p>
      <w:pPr>
        <w:spacing w:after="0" w:line="194" w:lineRule="exact"/>
        <w:rPr>
          <w:rFonts w:ascii="Arial" w:cs="Arial" w:eastAsia="Arial" w:hAnsi="Arial"/>
          <w:sz w:val="19"/>
          <w:szCs w:val="19"/>
          <w:color w:val="auto"/>
        </w:rPr>
      </w:pPr>
    </w:p>
    <w:p>
      <w:pPr>
        <w:ind w:left="1240" w:hanging="219"/>
        <w:spacing w:after="0"/>
        <w:tabs>
          <w:tab w:leader="none" w:pos="1240" w:val="left"/>
        </w:tabs>
        <w:numPr>
          <w:ilvl w:val="1"/>
          <w:numId w:val="38"/>
        </w:numPr>
        <w:rPr>
          <w:rFonts w:ascii="Arial" w:cs="Arial" w:eastAsia="Arial" w:hAnsi="Arial"/>
          <w:sz w:val="19"/>
          <w:szCs w:val="19"/>
          <w:color w:val="auto"/>
        </w:rPr>
      </w:pPr>
      <w:r>
        <w:rPr>
          <w:rFonts w:ascii="Arial" w:cs="Arial" w:eastAsia="Arial" w:hAnsi="Arial"/>
          <w:sz w:val="19"/>
          <w:szCs w:val="19"/>
          <w:color w:val="auto"/>
        </w:rPr>
        <w:t>for adjustments to the Plan and outstanding Awards as contemplated by subsection 15.1 or</w:t>
      </w:r>
    </w:p>
    <w:p>
      <w:pPr>
        <w:spacing w:after="0" w:line="237" w:lineRule="exact"/>
        <w:rPr>
          <w:rFonts w:ascii="Arial" w:cs="Arial" w:eastAsia="Arial" w:hAnsi="Arial"/>
          <w:sz w:val="19"/>
          <w:szCs w:val="19"/>
          <w:color w:val="auto"/>
        </w:rPr>
      </w:pPr>
    </w:p>
    <w:p>
      <w:pPr>
        <w:jc w:val="both"/>
        <w:ind w:left="680" w:firstLine="341"/>
        <w:spacing w:after="0" w:line="271" w:lineRule="auto"/>
        <w:tabs>
          <w:tab w:leader="none" w:pos="131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that a Participant’s outstanding Awards shall terminate upon or immediately prior to such Company Transaction and that such Participant shall receive, in exchange therefor, a cash payment equal to the amount (if any) by which (x) the value of the per share consideration received by holders of Common Stock in the Company Transaction, or, if the Company Transaction is a sale of assets or otherwise does not result in direct receipt of consideration by holders of Common Stock, the value of the deemed per share consideration received, in each case as determined by the Committee in its sole discretion, multiplied by the number of shares of Common Stock subject to such outstanding Awards (to the extent then vested and exercisable or whether or not then vested and exercisable, as determined by the Committee in its sole discretion) exceeds (y) if applicable, the respective aggregate exercise price or grant price for such Awards.</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15.4</w:t>
      </w:r>
      <w:r>
        <w:rPr>
          <w:sz w:val="20"/>
          <w:szCs w:val="20"/>
          <w:color w:val="auto"/>
        </w:rPr>
        <w:tab/>
      </w:r>
      <w:r>
        <w:rPr>
          <w:rFonts w:ascii="Arial" w:cs="Arial" w:eastAsia="Arial" w:hAnsi="Arial"/>
          <w:sz w:val="17"/>
          <w:szCs w:val="17"/>
          <w:u w:val="single" w:color="auto"/>
          <w:color w:val="auto"/>
        </w:rPr>
        <w:t>Further Adjustment of Awards</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Subject to subsections 15.2 and 15.3, the Committee shall have the discretion, exercisable at any time before a sale, merger, consolidation, reorganization, liquidation, dissolution or change in control of the Company, as defined by the Committee, to take such further action as it determines to be necessary or advisable with respect to Awards. Such authorized action may include (but shall not be limited to) establishing, amending or waiving the type, terms, conditions or duration of, or restrictions on, Awards so as to provide for earlier, later, extended or additional time for exercise, lifting restrictions and other modifications, and the Committee may take such actions with respect to all Participants, to certain categories of Participants or only to individual Participants. The Committee may take such action before or after granting Awards to which the action relates and before or after any public announcement with respect to such sale, merger, consolidation, reorganization, liquidation, dissolution or change in control that is the reason for such action.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2" w:name="page23"/>
    <w:bookmarkEnd w:id="22"/>
    <w:p>
      <w:pPr>
        <w:spacing w:after="0"/>
        <w:tabs>
          <w:tab w:leader="none" w:pos="660" w:val="left"/>
        </w:tabs>
        <w:rPr>
          <w:sz w:val="20"/>
          <w:szCs w:val="20"/>
          <w:color w:val="auto"/>
        </w:rPr>
      </w:pPr>
      <w:r>
        <w:rPr>
          <w:rFonts w:ascii="Arial" w:cs="Arial" w:eastAsia="Arial" w:hAnsi="Arial"/>
          <w:sz w:val="19"/>
          <w:szCs w:val="19"/>
          <w:color w:val="auto"/>
        </w:rPr>
        <w:t>15.5</w:t>
      </w:r>
      <w:r>
        <w:rPr>
          <w:sz w:val="20"/>
          <w:szCs w:val="20"/>
          <w:color w:val="auto"/>
        </w:rPr>
        <w:tab/>
      </w:r>
      <w:r>
        <w:rPr>
          <w:rFonts w:ascii="Arial" w:cs="Arial" w:eastAsia="Arial" w:hAnsi="Arial"/>
          <w:sz w:val="18"/>
          <w:szCs w:val="18"/>
          <w:u w:val="single" w:color="auto"/>
          <w:color w:val="auto"/>
        </w:rPr>
        <w:t>No Limitations</w:t>
      </w:r>
    </w:p>
    <w:p>
      <w:pPr>
        <w:spacing w:after="0" w:line="23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15.6</w:t>
      </w:r>
      <w:r>
        <w:rPr>
          <w:sz w:val="20"/>
          <w:szCs w:val="20"/>
          <w:color w:val="auto"/>
        </w:rPr>
        <w:tab/>
      </w:r>
      <w:r>
        <w:rPr>
          <w:rFonts w:ascii="Arial" w:cs="Arial" w:eastAsia="Arial" w:hAnsi="Arial"/>
          <w:sz w:val="16"/>
          <w:szCs w:val="16"/>
          <w:u w:val="single" w:color="auto"/>
          <w:color w:val="auto"/>
        </w:rPr>
        <w:t>Fractional Shares</w:t>
      </w:r>
    </w:p>
    <w:p>
      <w:pPr>
        <w:spacing w:after="0" w:line="238"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In the event of any adjustment in the number of shares covered by any Award, each such Award shall cover only the number of full shares resulting from such adjustment.</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15.7</w:t>
      </w:r>
      <w:r>
        <w:rPr>
          <w:sz w:val="20"/>
          <w:szCs w:val="20"/>
          <w:color w:val="auto"/>
        </w:rPr>
        <w:tab/>
      </w:r>
      <w:r>
        <w:rPr>
          <w:rFonts w:ascii="Arial" w:cs="Arial" w:eastAsia="Arial" w:hAnsi="Arial"/>
          <w:sz w:val="17"/>
          <w:szCs w:val="17"/>
          <w:u w:val="single" w:color="auto"/>
          <w:color w:val="auto"/>
        </w:rPr>
        <w:t>Section 409A of the Code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Notwithstanding anything in this Plan to the contrary,</w:t>
      </w:r>
    </w:p>
    <w:p>
      <w:pPr>
        <w:spacing w:after="0" w:line="238" w:lineRule="exact"/>
        <w:rPr>
          <w:sz w:val="20"/>
          <w:szCs w:val="20"/>
          <w:color w:val="auto"/>
        </w:rPr>
      </w:pPr>
    </w:p>
    <w:p>
      <w:pPr>
        <w:ind w:left="340" w:firstLine="339"/>
        <w:spacing w:after="0" w:line="304" w:lineRule="auto"/>
        <w:tabs>
          <w:tab w:leader="none" w:pos="9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adjustments made pursuant to this Section 15 or any other amendments to Awards that are considered “deferred compensation” within the meaning of Section 409A of the Code shall be made in compliance with the requirements of Section 409A of the Code and</w:t>
      </w:r>
    </w:p>
    <w:p>
      <w:pPr>
        <w:spacing w:after="0" w:line="160" w:lineRule="exact"/>
        <w:rPr>
          <w:rFonts w:ascii="Arial" w:cs="Arial" w:eastAsia="Arial" w:hAnsi="Arial"/>
          <w:sz w:val="18"/>
          <w:szCs w:val="18"/>
          <w:color w:val="auto"/>
        </w:rPr>
      </w:pPr>
    </w:p>
    <w:p>
      <w:pPr>
        <w:ind w:left="340" w:firstLine="339"/>
        <w:spacing w:after="0" w:line="275" w:lineRule="auto"/>
        <w:tabs>
          <w:tab w:leader="none" w:pos="9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adjustments made pursuant to this Section 15 or any other amendments to Awards that are not considered “deferred compensation” subject to Section 409A of the Code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shall be made in such a manner as to ensure that after such adjustment or amendment the Awards either</w:t>
      </w:r>
    </w:p>
    <w:p>
      <w:pPr>
        <w:spacing w:after="0" w:line="238" w:lineRule="exact"/>
        <w:rPr>
          <w:sz w:val="20"/>
          <w:szCs w:val="20"/>
          <w:color w:val="auto"/>
        </w:rPr>
      </w:pPr>
    </w:p>
    <w:p>
      <w:pPr>
        <w:ind w:left="1240" w:hanging="219"/>
        <w:spacing w:after="0"/>
        <w:tabs>
          <w:tab w:leader="none" w:pos="12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continue not to be subject to Section 409A of the Code or</w:t>
      </w:r>
    </w:p>
    <w:p>
      <w:pPr>
        <w:spacing w:after="0" w:line="237" w:lineRule="exact"/>
        <w:rPr>
          <w:rFonts w:ascii="Arial" w:cs="Arial" w:eastAsia="Arial" w:hAnsi="Arial"/>
          <w:sz w:val="19"/>
          <w:szCs w:val="19"/>
          <w:color w:val="auto"/>
        </w:rPr>
      </w:pPr>
    </w:p>
    <w:p>
      <w:pPr>
        <w:ind w:left="1300" w:hanging="279"/>
        <w:spacing w:after="0"/>
        <w:tabs>
          <w:tab w:leader="none" w:pos="13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comply with the requirements of Section 409A of the Code.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16. MARKET STANDOFF</w:t>
      </w:r>
    </w:p>
    <w:p>
      <w:pPr>
        <w:spacing w:after="0" w:line="244"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In the event of an underwritten public offering by the Company of its equity securities pursuant to an effective registration statement filed under the Securities Act, no person may sell, make any short sale of, loan, hypothecate, pledge, grant any option for the purchase of, or otherwise dispose of or transfer for value or otherwise agree to engage in any of the foregoing transactions with respect to any shares issued pursuant to an Award granted under the Plan without the prior written consent of the Company or its underwriters. Such limitations shall be in effect for such period of time as may be requested by the Company or such underwriters; provided, however, that in no event shall such period exceed</w:t>
      </w:r>
    </w:p>
    <w:p>
      <w:pPr>
        <w:spacing w:after="0" w:line="204" w:lineRule="exact"/>
        <w:rPr>
          <w:sz w:val="20"/>
          <w:szCs w:val="20"/>
          <w:color w:val="auto"/>
        </w:rPr>
      </w:pPr>
    </w:p>
    <w:p>
      <w:pPr>
        <w:ind w:left="940" w:hanging="261"/>
        <w:spacing w:after="0"/>
        <w:tabs>
          <w:tab w:leader="none" w:pos="9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180 days after the effective date of the registration statement for such public offering or</w:t>
      </w:r>
    </w:p>
    <w:p>
      <w:pPr>
        <w:spacing w:after="0" w:line="237" w:lineRule="exact"/>
        <w:rPr>
          <w:rFonts w:ascii="Arial" w:cs="Arial" w:eastAsia="Arial" w:hAnsi="Arial"/>
          <w:sz w:val="19"/>
          <w:szCs w:val="19"/>
          <w:color w:val="auto"/>
        </w:rPr>
      </w:pPr>
    </w:p>
    <w:p>
      <w:pPr>
        <w:ind w:left="340" w:firstLine="339"/>
        <w:spacing w:after="0" w:line="275" w:lineRule="auto"/>
        <w:tabs>
          <w:tab w:leader="none" w:pos="972" w:val="left"/>
        </w:tabs>
        <w:numPr>
          <w:ilvl w:val="0"/>
          <w:numId w:val="41"/>
        </w:numPr>
        <w:rPr>
          <w:rFonts w:ascii="Arial" w:cs="Arial" w:eastAsia="Arial" w:hAnsi="Arial"/>
          <w:sz w:val="19"/>
          <w:szCs w:val="19"/>
          <w:color w:val="auto"/>
        </w:rPr>
      </w:pPr>
      <w:r>
        <w:rPr>
          <w:rFonts w:ascii="Arial" w:cs="Arial" w:eastAsia="Arial" w:hAnsi="Arial"/>
          <w:sz w:val="19"/>
          <w:szCs w:val="19"/>
          <w:color w:val="auto"/>
        </w:rPr>
        <w:t>such longer period requested by the underwriter as is necessary to comply with regulatory restrictions on the publication of research reports (including, but not limited to, NYSE Rule 472 or NASD Conduct Rule 2711).</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the event of any stock split, stock dividend, recapitalization, combination of shares, exchange of shares or other change affecting the Company’s outstanding Common Stock effected as a class without the Company’s receipt of consideration, any new, substituted or additional securities distributed with respect to any shares issued as or pursuant to an Award under the Plan shall be immediately subject to the provisions of this Section 16, to the same extent such shares are at such time covered by such provisions. In order to enforce the limitations of this Section 16, the Company may impose stop-transfer instructions with respect to the purchased shares until the end of the applicable standoff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color w:val="auto"/>
        </w:rPr>
        <w:t>SECTION 17. AMENDMENT AND TERMINATION</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17.1</w:t>
      </w:r>
      <w:r>
        <w:rPr>
          <w:sz w:val="20"/>
          <w:szCs w:val="20"/>
          <w:color w:val="auto"/>
        </w:rPr>
        <w:tab/>
      </w:r>
      <w:r>
        <w:rPr>
          <w:rFonts w:ascii="Arial" w:cs="Arial" w:eastAsia="Arial" w:hAnsi="Arial"/>
          <w:sz w:val="17"/>
          <w:szCs w:val="17"/>
          <w:u w:val="single" w:color="auto"/>
          <w:color w:val="auto"/>
        </w:rPr>
        <w:t>Amendment, Suspension or Termination</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The Board or the Compensation Committee may amend, suspend or terminate the Plan or any portion of the Plan at any time and in such respects as it shall deem advisable; provided, however, that, to the extent required by applicable law, regulation or stock exchange rule, stockholder approval shall be required for any amendment to the Plan; and provided, further, that any amendment that requires stockholder approval may be made only by the Board and not by the Compensation Committee. Subject to subsection 17.3, the Committee may amend the terms of any outstanding Award, prospectively or retroactively.</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17.2</w:t>
      </w:r>
      <w:r>
        <w:rPr>
          <w:sz w:val="20"/>
          <w:szCs w:val="20"/>
          <w:color w:val="auto"/>
        </w:rPr>
        <w:tab/>
      </w:r>
      <w:r>
        <w:rPr>
          <w:rFonts w:ascii="Arial" w:cs="Arial" w:eastAsia="Arial" w:hAnsi="Arial"/>
          <w:sz w:val="17"/>
          <w:szCs w:val="17"/>
          <w:u w:val="single" w:color="auto"/>
          <w:color w:val="auto"/>
        </w:rPr>
        <w:t>Term of the Plan</w:t>
      </w: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Unless sooner terminated as provided herein, the Plan shall terminate 10 years from the Effective Date. After the Plan is terminated, no future Awards may be granted, but Awards previously granted shall remain outstanding in accordance with their applicable terms and conditions and the Plan’s terms and conditions. Notwithstanding the foregoing, no Incentive Stock Options may be granted more than 10 years after the later of:</w:t>
      </w:r>
    </w:p>
    <w:p>
      <w:pPr>
        <w:spacing w:after="0" w:line="178" w:lineRule="exact"/>
        <w:rPr>
          <w:sz w:val="20"/>
          <w:szCs w:val="20"/>
          <w:color w:val="auto"/>
        </w:rPr>
      </w:pPr>
    </w:p>
    <w:p>
      <w:pPr>
        <w:ind w:left="940" w:hanging="261"/>
        <w:spacing w:after="0"/>
        <w:tabs>
          <w:tab w:leader="none" w:pos="9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adoption of the Plan by the Board and</w:t>
      </w:r>
    </w:p>
    <w:p>
      <w:pPr>
        <w:spacing w:after="0" w:line="237" w:lineRule="exact"/>
        <w:rPr>
          <w:rFonts w:ascii="Arial" w:cs="Arial" w:eastAsia="Arial" w:hAnsi="Arial"/>
          <w:sz w:val="19"/>
          <w:szCs w:val="19"/>
          <w:color w:val="auto"/>
        </w:rPr>
      </w:pPr>
    </w:p>
    <w:p>
      <w:pPr>
        <w:ind w:right="360" w:firstLine="679"/>
        <w:spacing w:after="0" w:line="501" w:lineRule="auto"/>
        <w:tabs>
          <w:tab w:leader="none" w:pos="95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the adoption by the Board of any amendment to the Plan that constitutes the adoption of a new plan for purposes of Section 422 of the Code. 17.3 </w:t>
      </w:r>
      <w:r>
        <w:rPr>
          <w:rFonts w:ascii="Arial" w:cs="Arial" w:eastAsia="Arial" w:hAnsi="Arial"/>
          <w:sz w:val="19"/>
          <w:szCs w:val="19"/>
          <w:u w:val="single" w:color="auto"/>
          <w:color w:val="auto"/>
        </w:rPr>
        <w:t>Consent of Participant</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amendment, suspension or termination of the Plan or a portion thereof or the amendment of an outstanding Award shall not, without the Participant’s consent, materially adversely affect any rights under any Award theretofore granted to a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15 shall not be subject to these restrictions.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18. GENERAL</w:t>
      </w:r>
    </w:p>
    <w:p>
      <w:pPr>
        <w:spacing w:after="0" w:line="24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18.1</w:t>
      </w:r>
      <w:r>
        <w:rPr>
          <w:sz w:val="20"/>
          <w:szCs w:val="20"/>
          <w:color w:val="auto"/>
        </w:rPr>
        <w:tab/>
      </w:r>
      <w:r>
        <w:rPr>
          <w:rFonts w:ascii="Arial" w:cs="Arial" w:eastAsia="Arial" w:hAnsi="Arial"/>
          <w:sz w:val="17"/>
          <w:szCs w:val="17"/>
          <w:u w:val="single" w:color="auto"/>
          <w:color w:val="auto"/>
        </w:rPr>
        <w:t>No Individual Rights</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No individual or Eligible Person shall have any claim to be granted any Award under the Plan, and the Company has no obligation for uniformity of treatment of Eligible Persons or Participants under the Plan. Furthermore, nothing in the Plan or any Award granted under the Plan shall be deemed to constitute an employment contract or confer or be deemed to confer on any Participant any right to continue in the employ of, or to continue any other relationship with, the Company or any Related Company or limit in any way the right of the Company or any Related Company to terminate a Participant’s employment or other relationship at any time, with or without cause.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24" w:name="page25"/>
    <w:bookmarkEnd w:id="24"/>
    <w:p>
      <w:pPr>
        <w:spacing w:after="0"/>
        <w:tabs>
          <w:tab w:leader="none" w:pos="660" w:val="left"/>
        </w:tabs>
        <w:rPr>
          <w:sz w:val="20"/>
          <w:szCs w:val="20"/>
          <w:color w:val="auto"/>
        </w:rPr>
      </w:pPr>
      <w:r>
        <w:rPr>
          <w:rFonts w:ascii="Arial" w:cs="Arial" w:eastAsia="Arial" w:hAnsi="Arial"/>
          <w:sz w:val="19"/>
          <w:szCs w:val="19"/>
          <w:color w:val="auto"/>
        </w:rPr>
        <w:t>18.2</w:t>
      </w:r>
      <w:r>
        <w:rPr>
          <w:sz w:val="20"/>
          <w:szCs w:val="20"/>
          <w:color w:val="auto"/>
        </w:rPr>
        <w:tab/>
      </w:r>
      <w:r>
        <w:rPr>
          <w:rFonts w:ascii="Arial" w:cs="Arial" w:eastAsia="Arial" w:hAnsi="Arial"/>
          <w:sz w:val="16"/>
          <w:szCs w:val="16"/>
          <w:u w:val="single" w:color="auto"/>
          <w:color w:val="auto"/>
        </w:rPr>
        <w:t>Issuance of Shares</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Notwithstanding any other provision of the Plan, the Company shall have no obligation to issue or deliver any shares of Common Stock under the Plan or make any other distribution of benefits under the Plan unless, in the opinion of the Company’s counsel, such issuance, delivery or distribution would comply with all applicable laws (including, without limitation, the requirements of the Securities Act or the laws of any state or foreign jurisdiction) and the applicable requirements of any securities exchange or similar entity. The Company shall be under no obligation to any Participant to register for offering or resale or to qualify for exemption under the Securities Act, or to register or qualify under the laws of any state or foreign jurisdiction, any shares of Common Stock, security or interest in a security paid or issued under, or created by, the Plan, or to continue in effect any such registrations or qualifications if made. As a condition to the exercise of an Option or any other receipt of Common Stock pursuant to an Award under the Plan, the Company may require:</w:t>
      </w:r>
    </w:p>
    <w:p>
      <w:pPr>
        <w:spacing w:after="0" w:line="178" w:lineRule="exact"/>
        <w:rPr>
          <w:sz w:val="20"/>
          <w:szCs w:val="20"/>
          <w:color w:val="auto"/>
        </w:rPr>
      </w:pPr>
    </w:p>
    <w:p>
      <w:pPr>
        <w:ind w:left="340" w:firstLine="339"/>
        <w:spacing w:after="0" w:line="275" w:lineRule="auto"/>
        <w:tabs>
          <w:tab w:leader="none" w:pos="94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Participant to represent and warrant at the time of any such exercise or receipt that such shares are being purchased or received only for the Participant’s own account and without any present intention to sell or distribute such shares and</w:t>
      </w:r>
    </w:p>
    <w:p>
      <w:pPr>
        <w:spacing w:after="0" w:line="183" w:lineRule="exact"/>
        <w:rPr>
          <w:rFonts w:ascii="Arial" w:cs="Arial" w:eastAsia="Arial" w:hAnsi="Arial"/>
          <w:sz w:val="19"/>
          <w:szCs w:val="19"/>
          <w:color w:val="auto"/>
        </w:rPr>
      </w:pPr>
    </w:p>
    <w:p>
      <w:pPr>
        <w:ind w:left="960" w:hanging="281"/>
        <w:spacing w:after="0"/>
        <w:tabs>
          <w:tab w:leader="none" w:pos="9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such other action or agreement by the Participant as may from time to time be necessary to comply with the federal, state and foreign securities</w:t>
      </w:r>
    </w:p>
    <w:p>
      <w:pPr>
        <w:spacing w:after="0" w:line="45"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9"/>
          <w:szCs w:val="19"/>
          <w:color w:val="auto"/>
        </w:rPr>
        <w:t>laws.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the option of the Company, a stop-transfer order against any such shares may be placed on the official stock books and records of the Company, and a legend indicating that such shares may not be pledged, sold or otherwise transferred, unless an opinion of counsel (satisfactory to the Company, in its sole discretion) is provided stating that such transfer is not in violation of any applicable law or regulation, may be stamped on stock certificates to ensure exemption from registration. The Committee may also require the Participant to execute and deliver to the Company a purchase agreement or such other agreement as may be in use by the Company at such time that describes certain terms and conditions applicable to the shares. To the extent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18.3</w:t>
      </w:r>
      <w:r>
        <w:rPr>
          <w:sz w:val="20"/>
          <w:szCs w:val="20"/>
          <w:color w:val="auto"/>
        </w:rPr>
        <w:tab/>
      </w:r>
      <w:r>
        <w:rPr>
          <w:rFonts w:ascii="Arial" w:cs="Arial" w:eastAsia="Arial" w:hAnsi="Arial"/>
          <w:sz w:val="18"/>
          <w:szCs w:val="18"/>
          <w:u w:val="single" w:color="auto"/>
          <w:color w:val="auto"/>
        </w:rPr>
        <w:t>Indemnification</w:t>
      </w:r>
    </w:p>
    <w:p>
      <w:pPr>
        <w:spacing w:after="0" w:line="23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Each person who is or shall have been a member of the Board, or a committee appointed by the Board, or an officer of the Company to whom authority was delegated in accordance with Section 3, shall be indemnified and held harmless by the Company against and from any loss, cost, liability or expense that may be imposed upon or reasonably incurred by such person in connection with or resulting from any claim, action, suit or proceeding to which such person may be a party or in which such person may be involved by reason of any action taken or failure to act under the Plan and against and from any and all amounts paid by such person in settlement thereof, with the Company’s approval, or paid by such person in satisfaction of any judgment in any such claim, action, suit or proceeding against such person; provided, however, that such person shall give the Company an opportunity, at its own expense, to handle and defend the same before such person undertakes to handle and defend it on such person’s own behalf. This duty to indemnify shall not apply to the extent that:</w:t>
      </w:r>
    </w:p>
    <w:p>
      <w:pPr>
        <w:spacing w:after="0" w:line="178" w:lineRule="exact"/>
        <w:rPr>
          <w:sz w:val="20"/>
          <w:szCs w:val="20"/>
          <w:color w:val="auto"/>
        </w:rPr>
      </w:pPr>
    </w:p>
    <w:p>
      <w:pPr>
        <w:ind w:left="940" w:hanging="261"/>
        <w:spacing w:after="0"/>
        <w:tabs>
          <w:tab w:leader="none" w:pos="9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such loss, cost, liability or expense is a result of such person’s own willful misconduct or</w:t>
      </w:r>
    </w:p>
    <w:p>
      <w:pPr>
        <w:spacing w:after="0" w:line="237" w:lineRule="exact"/>
        <w:rPr>
          <w:rFonts w:ascii="Arial" w:cs="Arial" w:eastAsia="Arial" w:hAnsi="Arial"/>
          <w:sz w:val="19"/>
          <w:szCs w:val="19"/>
          <w:color w:val="auto"/>
        </w:rPr>
      </w:pPr>
    </w:p>
    <w:p>
      <w:pPr>
        <w:ind w:left="940" w:hanging="261"/>
        <w:spacing w:after="0"/>
        <w:tabs>
          <w:tab w:leader="none" w:pos="9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such indemnification is expressly prohibited by statute.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467995</wp:posOffset>
            </wp:positionV>
            <wp:extent cx="7625080"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2">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9"/>
          <w:szCs w:val="19"/>
          <w:color w:val="auto"/>
        </w:rPr>
        <w:t>The foregoing right of indemnification shall not be exclusive of any other rights of indemnification to which such person may be entitled under the Company’s certificate of incorporation or bylaws, as a matter of law, or otherwise, or of any power that the Company may have to indemnify or hold harmless.</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18.4</w:t>
      </w:r>
      <w:r>
        <w:rPr>
          <w:sz w:val="20"/>
          <w:szCs w:val="20"/>
          <w:color w:val="auto"/>
        </w:rPr>
        <w:tab/>
      </w:r>
      <w:r>
        <w:rPr>
          <w:rFonts w:ascii="Arial" w:cs="Arial" w:eastAsia="Arial" w:hAnsi="Arial"/>
          <w:sz w:val="17"/>
          <w:szCs w:val="17"/>
          <w:u w:val="single" w:color="auto"/>
          <w:color w:val="auto"/>
        </w:rPr>
        <w:t>No Rights as a Stockholder</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Unless otherwise provided by the Committee or in the instrument evidencing the Award or in a written employment, services or other agreement, no Award, other than a Stock Award, shall entitle the Participant to any cash dividend, voting or other right of a stockholder unless and until the date of issuance under the Plan of the shares that are the subject of such Award.</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18.5</w:t>
      </w:r>
      <w:r>
        <w:rPr>
          <w:sz w:val="20"/>
          <w:szCs w:val="20"/>
          <w:color w:val="auto"/>
        </w:rPr>
        <w:tab/>
      </w:r>
      <w:r>
        <w:rPr>
          <w:rFonts w:ascii="Arial" w:cs="Arial" w:eastAsia="Arial" w:hAnsi="Arial"/>
          <w:sz w:val="17"/>
          <w:szCs w:val="17"/>
          <w:u w:val="single" w:color="auto"/>
          <w:color w:val="auto"/>
        </w:rPr>
        <w:t>Compliance with Laws and Regulations</w:t>
      </w: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interpreting and applying the provisions of the Plan, any Option granted as an Incentive Stock Option pursuant to the Plan shall, to the extent permitted by law, be construed as an “incentive stock option” within the meaning of Section 422 of the Code. Any Award granted pursuant to the Plan is intended to comply with the requirements of Section 409A of the Code, including any applicable regulations and guidance issued thereunder, and including transition guidance, to the extent Section 409A of the Code is applicable thereto, and the terms of the Plan and any Award granted under the Plan shall be interpreted, operated and administered in a manner consistent with this intention to the extent the Committee deems necessary or advisable to comply with Section 409A of the Code and any official guidance issued thereunder. Any payment or distribution that is to be made under the Plan (or pursuant to an Award under the Plan) to a Participant who is a “specified employee” of the Company within the meaning of that term under Section 409A of the Code and as determined by the Committee, on account of a “separation from service” within the meaning of that term under Section 409A of the Code, may not be made before the date which is six months after the date of such “separation from service” unless the payment or distribution is exempt from the application of Section 409A of the Code by reason of the short-term deferral exemption or otherwise. Notwithstanding any other provision in the Plan, the Committee, to the extent it deems necessary or advisable in its sole discretion, reserves the right, but shall not be required, to unilaterally amend or modify the Plan and any Award granted under the Plan so that the Award qualifies for exemption from or complies with Section 409A of the Code; provided, however, that the Committee makes no representations that Awards granted under the Plan shall be exempt from or comply with Section 409A of the Code and makes no undertaking to preclude Section 409A of the Code from applying to Awards granted under the Plan.</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18.6</w:t>
      </w:r>
      <w:r>
        <w:rPr>
          <w:sz w:val="20"/>
          <w:szCs w:val="20"/>
          <w:color w:val="auto"/>
        </w:rPr>
        <w:tab/>
      </w:r>
      <w:r>
        <w:rPr>
          <w:rFonts w:ascii="Arial" w:cs="Arial" w:eastAsia="Arial" w:hAnsi="Arial"/>
          <w:sz w:val="17"/>
          <w:szCs w:val="17"/>
          <w:u w:val="single" w:color="auto"/>
          <w:color w:val="auto"/>
        </w:rPr>
        <w:t>Participants in Other Countries or Jurisdictions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Without amending the Plan, the Committee may grant Awards to Eligible Persons who are foreign nationals on such terms and conditions different from those specified in the Plan as may, in the judgment of the Committee, be necessary or desirable to foster and promote achievement of the purposes of the Plan and shall have the authority to adopt such modifications, procedures, subplans and the like as may be necessary or desirable to comply with provisions of the laws or regulations of other countries or jurisdictions in which the Company or any Related Company may operate or have employees to ensure the viability of the benefits from Awards granted to Participants employed in such countries or jurisdictions, meet the requirements that permit the Plan to operate in a qualified or tax-efficient manner, comply with applicable foreign laws or regulations and meet the objectives of the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6" w:name="page27"/>
    <w:bookmarkEnd w:id="26"/>
    <w:p>
      <w:pPr>
        <w:spacing w:after="0"/>
        <w:tabs>
          <w:tab w:leader="none" w:pos="660" w:val="left"/>
        </w:tabs>
        <w:rPr>
          <w:sz w:val="20"/>
          <w:szCs w:val="20"/>
          <w:color w:val="auto"/>
        </w:rPr>
      </w:pPr>
      <w:r>
        <w:rPr>
          <w:rFonts w:ascii="Arial" w:cs="Arial" w:eastAsia="Arial" w:hAnsi="Arial"/>
          <w:sz w:val="19"/>
          <w:szCs w:val="19"/>
          <w:color w:val="auto"/>
        </w:rPr>
        <w:t>18.7</w:t>
      </w:r>
      <w:r>
        <w:rPr>
          <w:sz w:val="20"/>
          <w:szCs w:val="20"/>
          <w:color w:val="auto"/>
        </w:rPr>
        <w:tab/>
      </w:r>
      <w:r>
        <w:rPr>
          <w:rFonts w:ascii="Arial" w:cs="Arial" w:eastAsia="Arial" w:hAnsi="Arial"/>
          <w:sz w:val="17"/>
          <w:szCs w:val="17"/>
          <w:u w:val="single" w:color="auto"/>
          <w:color w:val="auto"/>
        </w:rPr>
        <w:t>No Trust or Fund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18.8</w:t>
      </w:r>
      <w:r>
        <w:rPr>
          <w:sz w:val="20"/>
          <w:szCs w:val="20"/>
          <w:color w:val="auto"/>
        </w:rPr>
        <w:tab/>
      </w:r>
      <w:r>
        <w:rPr>
          <w:rFonts w:ascii="Arial" w:cs="Arial" w:eastAsia="Arial" w:hAnsi="Arial"/>
          <w:sz w:val="16"/>
          <w:szCs w:val="16"/>
          <w:u w:val="single" w:color="auto"/>
          <w:color w:val="auto"/>
        </w:rPr>
        <w:t>Successors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All obligations of the Company under the Plan with respect to Awards shall be binding on any successor to the Company, whether the existence of such successor is the result of a direct or indirect purchase, merger, consolidation, or otherwise, of all or substantially all the business and/or assets of the Company.</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18.9</w:t>
      </w:r>
      <w:r>
        <w:rPr>
          <w:sz w:val="20"/>
          <w:szCs w:val="20"/>
          <w:color w:val="auto"/>
        </w:rPr>
        <w:tab/>
      </w:r>
      <w:r>
        <w:rPr>
          <w:rFonts w:ascii="Arial" w:cs="Arial" w:eastAsia="Arial" w:hAnsi="Arial"/>
          <w:sz w:val="17"/>
          <w:szCs w:val="17"/>
          <w:u w:val="single" w:color="auto"/>
          <w:color w:val="auto"/>
        </w:rPr>
        <w:t>Severability</w:t>
      </w:r>
    </w:p>
    <w:p>
      <w:pPr>
        <w:spacing w:after="0" w:line="238"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If any provision of the Plan or any Award is determined to be invalid, illegal or unenforceable in any jurisdiction, or as to any person, or would disqualify the Plan or any Award under any law deemed applicable by the Committee, such provision shall be construed or deemed amended to conform to applicable laws, or, if it cannot be so construed or deemed amended without, in the Committee’s determination, materially altering the intent of the Plan or the Award, such provision shall be stricken as to such jurisdiction, person or Award, and the remainder of the Plan and any such Award shall remain in full force and effect.</w:t>
      </w:r>
    </w:p>
    <w:p>
      <w:pPr>
        <w:spacing w:after="0" w:line="170"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18.10</w:t>
      </w:r>
      <w:r>
        <w:rPr>
          <w:sz w:val="20"/>
          <w:szCs w:val="20"/>
          <w:color w:val="auto"/>
        </w:rPr>
        <w:tab/>
      </w:r>
      <w:r>
        <w:rPr>
          <w:rFonts w:ascii="Arial" w:cs="Arial" w:eastAsia="Arial" w:hAnsi="Arial"/>
          <w:sz w:val="17"/>
          <w:szCs w:val="17"/>
          <w:u w:val="single" w:color="auto"/>
          <w:color w:val="auto"/>
        </w:rPr>
        <w:t>Choice of Law and Venue</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Plan, all Awards granted thereunder and all determinations made and actions taken pursuant hereto, to the extent not otherwise governed by the laws of the United States, shall be governed by the laws of the State of Nevada without giving effect to principles of conflicts of law. Participants irrevocably consent to the nonexclusive jurisdiction and venue of the state and federal courts located in the State of Nevada.</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19"/>
          <w:szCs w:val="19"/>
          <w:color w:val="auto"/>
        </w:rPr>
        <w:t>18.11</w:t>
      </w:r>
      <w:r>
        <w:rPr>
          <w:sz w:val="20"/>
          <w:szCs w:val="20"/>
          <w:color w:val="auto"/>
        </w:rPr>
        <w:tab/>
      </w:r>
      <w:r>
        <w:rPr>
          <w:rFonts w:ascii="Arial" w:cs="Arial" w:eastAsia="Arial" w:hAnsi="Arial"/>
          <w:sz w:val="17"/>
          <w:szCs w:val="17"/>
          <w:u w:val="single" w:color="auto"/>
          <w:color w:val="auto"/>
        </w:rPr>
        <w:t>Legal Requirements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granting of Awards and the issuance of shares of Common Stock under the Plan are subject to all applicable laws, rules and regulations and to such approvals by any governmental agencies or national securities exchanges as may be required.</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19. EFFECTIVE DATE</w:t>
      </w:r>
    </w:p>
    <w:p>
      <w:pPr>
        <w:spacing w:after="0" w:line="244" w:lineRule="exact"/>
        <w:rPr>
          <w:sz w:val="20"/>
          <w:szCs w:val="20"/>
          <w:color w:val="auto"/>
        </w:rPr>
      </w:pPr>
    </w:p>
    <w:p>
      <w:pPr>
        <w:jc w:val="both"/>
        <w:spacing w:after="0" w:line="336" w:lineRule="auto"/>
        <w:rPr>
          <w:sz w:val="20"/>
          <w:szCs w:val="20"/>
          <w:color w:val="auto"/>
        </w:rPr>
      </w:pPr>
      <w:r>
        <w:rPr>
          <w:rFonts w:ascii="Arial" w:cs="Arial" w:eastAsia="Arial" w:hAnsi="Arial"/>
          <w:sz w:val="17"/>
          <w:szCs w:val="17"/>
          <w:color w:val="auto"/>
        </w:rPr>
        <w:t>The effective date (the “Effective Date”) is the date on which the Plan is adopted by the Board. If the stockholders of the Company do not approve the Plan within 12 months after the Board’s adoption of the Plan, any Incentive Stock Options granted under the Plan will be treated as Nonqualified Stock Options.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7" w:name="page28"/>
    <w:bookmarkEnd w:id="27"/>
    <w:p>
      <w:pPr>
        <w:jc w:val="center"/>
        <w:spacing w:after="0"/>
        <w:rPr>
          <w:sz w:val="20"/>
          <w:szCs w:val="20"/>
          <w:color w:val="auto"/>
        </w:rPr>
      </w:pPr>
      <w:r>
        <w:rPr>
          <w:rFonts w:ascii="Arial" w:cs="Arial" w:eastAsia="Arial" w:hAnsi="Arial"/>
          <w:sz w:val="19"/>
          <w:szCs w:val="19"/>
          <w:b w:val="1"/>
          <w:bCs w:val="1"/>
          <w:color w:val="auto"/>
        </w:rPr>
        <w:t>APPENDIX 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244" w:lineRule="exact"/>
        <w:rPr>
          <w:sz w:val="20"/>
          <w:szCs w:val="20"/>
          <w:color w:val="auto"/>
        </w:rPr>
      </w:pPr>
    </w:p>
    <w:p>
      <w:pPr>
        <w:jc w:val="both"/>
        <w:ind w:left="340" w:hanging="341"/>
        <w:spacing w:after="0" w:line="275" w:lineRule="auto"/>
        <w:rPr>
          <w:sz w:val="20"/>
          <w:szCs w:val="20"/>
          <w:color w:val="auto"/>
        </w:rPr>
      </w:pPr>
      <w:r>
        <w:rPr>
          <w:rFonts w:ascii="Arial" w:cs="Arial" w:eastAsia="Arial" w:hAnsi="Arial"/>
          <w:sz w:val="19"/>
          <w:szCs w:val="19"/>
          <w:color w:val="auto"/>
        </w:rPr>
        <w:t>“Acquired Entity” means any entity acquired by the Company or a Related Company or with which the Company or a Related Company merges or combines.</w:t>
      </w:r>
    </w:p>
    <w:p>
      <w:pPr>
        <w:spacing w:after="0" w:line="184" w:lineRule="exact"/>
        <w:rPr>
          <w:sz w:val="20"/>
          <w:szCs w:val="20"/>
          <w:color w:val="auto"/>
        </w:rPr>
      </w:pPr>
    </w:p>
    <w:p>
      <w:pPr>
        <w:jc w:val="both"/>
        <w:ind w:left="340" w:hanging="341"/>
        <w:spacing w:after="0" w:line="275" w:lineRule="auto"/>
        <w:rPr>
          <w:sz w:val="20"/>
          <w:szCs w:val="20"/>
          <w:color w:val="auto"/>
        </w:rPr>
      </w:pPr>
      <w:r>
        <w:rPr>
          <w:rFonts w:ascii="Arial" w:cs="Arial" w:eastAsia="Arial" w:hAnsi="Arial"/>
          <w:sz w:val="19"/>
          <w:szCs w:val="19"/>
          <w:color w:val="auto"/>
        </w:rPr>
        <w:t>“Award” means any Option, Stock Appreciation Right, Stock Award, Restricted Stock, Stock Unit, Performance Share, Performance Unit, or other incentive payable in shares of Common Stock as may be designated by the Committee from time to time.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“Board” means the Board of Directors of the Company.</w:t>
      </w:r>
    </w:p>
    <w:p>
      <w:pPr>
        <w:spacing w:after="0" w:line="238" w:lineRule="exact"/>
        <w:rPr>
          <w:sz w:val="20"/>
          <w:szCs w:val="20"/>
          <w:color w:val="auto"/>
        </w:rPr>
      </w:pPr>
    </w:p>
    <w:p>
      <w:pPr>
        <w:jc w:val="both"/>
        <w:ind w:left="340" w:hanging="341"/>
        <w:spacing w:after="0" w:line="256" w:lineRule="auto"/>
        <w:rPr>
          <w:sz w:val="20"/>
          <w:szCs w:val="20"/>
          <w:color w:val="auto"/>
        </w:rPr>
      </w:pPr>
      <w:r>
        <w:rPr>
          <w:rFonts w:ascii="Arial" w:cs="Arial" w:eastAsia="Arial" w:hAnsi="Arial"/>
          <w:sz w:val="19"/>
          <w:szCs w:val="19"/>
          <w:color w:val="auto"/>
        </w:rPr>
        <w:t>“Cause” means, unless otherwise defined in the instrument evidencing an Award or in a written employment, services or other agreement between the Participant and the Company or a Related Company, dishonesty, fraud, serious or willful misconduct, unauthorized use or disclosure of confidential information or trade secrets, or conduct prohibited by law (except minor violations), in each case as determined by the Company’s chief human resources officer or other person performing that function or, in the case of directors and executive officers, the Committee, whose determination shall be conclusive and binding.</w:t>
      </w:r>
    </w:p>
    <w:p>
      <w:pPr>
        <w:spacing w:after="0" w:line="204" w:lineRule="exact"/>
        <w:rPr>
          <w:sz w:val="20"/>
          <w:szCs w:val="20"/>
          <w:color w:val="auto"/>
        </w:rPr>
      </w:pPr>
    </w:p>
    <w:p>
      <w:pPr>
        <w:jc w:val="both"/>
        <w:ind w:left="340" w:hanging="341"/>
        <w:spacing w:after="0" w:line="263" w:lineRule="auto"/>
        <w:rPr>
          <w:sz w:val="20"/>
          <w:szCs w:val="20"/>
          <w:color w:val="auto"/>
        </w:rPr>
      </w:pPr>
      <w:r>
        <w:rPr>
          <w:rFonts w:ascii="Arial" w:cs="Arial" w:eastAsia="Arial" w:hAnsi="Arial"/>
          <w:sz w:val="19"/>
          <w:szCs w:val="19"/>
          <w:color w:val="auto"/>
        </w:rPr>
        <w:t>“Change in Control” means, unless the Committee determines otherwise with respect to an Award at the time the Award is granted or unless otherwise defined for purposes of an Award in a written employment, services or other agreement between the Participant and the Company or a Related Company, the occurrence of any of the following events:</w:t>
      </w:r>
    </w:p>
    <w:p>
      <w:pPr>
        <w:spacing w:after="0" w:line="194" w:lineRule="exact"/>
        <w:rPr>
          <w:sz w:val="20"/>
          <w:szCs w:val="20"/>
          <w:color w:val="auto"/>
        </w:rPr>
      </w:pPr>
    </w:p>
    <w:p>
      <w:pPr>
        <w:ind w:left="340" w:right="20" w:firstLine="339"/>
        <w:spacing w:after="0" w:line="304" w:lineRule="auto"/>
        <w:tabs>
          <w:tab w:leader="none" w:pos="9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acquisition by any individual, entity or group, within the meaning of Section 13(d)(3) or 14(d)(2) of the Exchange Act, (a “Person”) of beneficial ownership (within the meaning of Rule 13d-3 promulgated under the Exchange Act) of more than fifty percent (50%) of either:</w:t>
      </w:r>
    </w:p>
    <w:p>
      <w:pPr>
        <w:spacing w:after="0" w:line="160" w:lineRule="exact"/>
        <w:rPr>
          <w:rFonts w:ascii="Arial" w:cs="Arial" w:eastAsia="Arial" w:hAnsi="Arial"/>
          <w:sz w:val="18"/>
          <w:szCs w:val="18"/>
          <w:color w:val="auto"/>
        </w:rPr>
      </w:pPr>
    </w:p>
    <w:p>
      <w:pPr>
        <w:ind w:left="1240" w:hanging="219"/>
        <w:spacing w:after="0"/>
        <w:tabs>
          <w:tab w:leader="none" w:pos="124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then outstanding shares of Common Stock of the Company (the “Outstanding Common Stock”) or</w:t>
      </w:r>
    </w:p>
    <w:p>
      <w:pPr>
        <w:spacing w:after="0" w:line="237" w:lineRule="exact"/>
        <w:rPr>
          <w:rFonts w:ascii="Arial" w:cs="Arial" w:eastAsia="Arial" w:hAnsi="Arial"/>
          <w:sz w:val="19"/>
          <w:szCs w:val="19"/>
          <w:color w:val="auto"/>
        </w:rPr>
      </w:pPr>
    </w:p>
    <w:p>
      <w:pPr>
        <w:ind w:left="680" w:firstLine="341"/>
        <w:spacing w:after="0" w:line="275" w:lineRule="auto"/>
        <w:tabs>
          <w:tab w:leader="none" w:pos="1314" w:val="left"/>
        </w:tabs>
        <w:numPr>
          <w:ilvl w:val="1"/>
          <w:numId w:val="45"/>
        </w:numPr>
        <w:rPr>
          <w:rFonts w:ascii="Arial" w:cs="Arial" w:eastAsia="Arial" w:hAnsi="Arial"/>
          <w:sz w:val="19"/>
          <w:szCs w:val="19"/>
          <w:color w:val="auto"/>
        </w:rPr>
      </w:pPr>
      <w:r>
        <w:rPr>
          <w:rFonts w:ascii="Arial" w:cs="Arial" w:eastAsia="Arial" w:hAnsi="Arial"/>
          <w:sz w:val="19"/>
          <w:szCs w:val="19"/>
          <w:color w:val="auto"/>
        </w:rPr>
        <w:t>the combined voting power of the then outstanding voting securities of the Company entitled to vote generally in the election of directors (the “Outstanding Voting Securities”);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excluding, however, the following:</w:t>
      </w:r>
    </w:p>
    <w:p>
      <w:pPr>
        <w:spacing w:after="0" w:line="238" w:lineRule="exact"/>
        <w:rPr>
          <w:sz w:val="20"/>
          <w:szCs w:val="20"/>
          <w:color w:val="auto"/>
        </w:rPr>
      </w:pPr>
    </w:p>
    <w:p>
      <w:pPr>
        <w:ind w:left="680" w:firstLine="341"/>
        <w:spacing w:after="0" w:line="275" w:lineRule="auto"/>
        <w:tabs>
          <w:tab w:leader="none" w:pos="1362"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acquisition directly from the Company, other than an acquisition by virtue of the exercise, exchange or conversion of any Convertible Securities unless such securities were themselves acquired directly from the Company,</w:t>
      </w:r>
    </w:p>
    <w:p>
      <w:pPr>
        <w:spacing w:after="0" w:line="183" w:lineRule="exact"/>
        <w:rPr>
          <w:rFonts w:ascii="Arial" w:cs="Arial" w:eastAsia="Arial" w:hAnsi="Arial"/>
          <w:sz w:val="19"/>
          <w:szCs w:val="19"/>
          <w:color w:val="auto"/>
        </w:rPr>
      </w:pPr>
    </w:p>
    <w:p>
      <w:pPr>
        <w:ind w:left="1340" w:hanging="319"/>
        <w:spacing w:after="0"/>
        <w:tabs>
          <w:tab w:leader="none" w:pos="1340"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acquisition by the Company;</w:t>
      </w:r>
    </w:p>
    <w:p>
      <w:pPr>
        <w:spacing w:after="0" w:line="237" w:lineRule="exact"/>
        <w:rPr>
          <w:rFonts w:ascii="Arial" w:cs="Arial" w:eastAsia="Arial" w:hAnsi="Arial"/>
          <w:sz w:val="19"/>
          <w:szCs w:val="19"/>
          <w:color w:val="auto"/>
        </w:rPr>
      </w:pPr>
    </w:p>
    <w:p>
      <w:pPr>
        <w:ind w:left="680" w:right="20" w:firstLine="341"/>
        <w:spacing w:after="0" w:line="275" w:lineRule="auto"/>
        <w:tabs>
          <w:tab w:leader="none" w:pos="1298" w:val="left"/>
        </w:tabs>
        <w:numPr>
          <w:ilvl w:val="0"/>
          <w:numId w:val="46"/>
        </w:numPr>
        <w:rPr>
          <w:rFonts w:ascii="Arial" w:cs="Arial" w:eastAsia="Arial" w:hAnsi="Arial"/>
          <w:sz w:val="19"/>
          <w:szCs w:val="19"/>
          <w:color w:val="auto"/>
        </w:rPr>
      </w:pPr>
      <w:r>
        <w:rPr>
          <w:rFonts w:ascii="Arial" w:cs="Arial" w:eastAsia="Arial" w:hAnsi="Arial"/>
          <w:sz w:val="19"/>
          <w:szCs w:val="19"/>
          <w:color w:val="auto"/>
        </w:rPr>
        <w:t>any acquisition by any Person pursuant to a transaction which complies with clauses (b)(i), (b)(ii) and (b)(iii) of the definition of Company Transaction;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5">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06" w:right="120" w:bottom="1440" w:gutter="0" w:footer="0" w:header="0"/>
        </w:sectPr>
      </w:pPr>
    </w:p>
    <w:bookmarkStart w:id="28" w:name="page29"/>
    <w:bookmarkEnd w:id="28"/>
    <w:p>
      <w:pPr>
        <w:jc w:val="both"/>
        <w:ind w:left="340" w:firstLine="339"/>
        <w:spacing w:after="0" w:line="253" w:lineRule="auto"/>
        <w:tabs>
          <w:tab w:leader="none" w:pos="953" w:val="left"/>
        </w:tabs>
        <w:numPr>
          <w:ilvl w:val="0"/>
          <w:numId w:val="47"/>
        </w:numPr>
        <w:rPr>
          <w:rFonts w:ascii="Arial" w:cs="Arial" w:eastAsia="Arial" w:hAnsi="Arial"/>
          <w:sz w:val="19"/>
          <w:szCs w:val="19"/>
          <w:color w:val="auto"/>
        </w:rPr>
      </w:pPr>
      <w:r>
        <w:rPr>
          <w:rFonts w:ascii="Arial" w:cs="Arial" w:eastAsia="Arial" w:hAnsi="Arial"/>
          <w:sz w:val="19"/>
          <w:szCs w:val="19"/>
          <w:color w:val="auto"/>
        </w:rPr>
        <w:t>Within any period of 24 consecutive months, a change in the composition of the Board such that the individuals who, immediately prior to such period, constituted the Board (such Board shall be hereinafter referred to as the “Incumbent Board”) cease for any reason to constitute at least a majority of the Board; provided, however, for purposes hereof, that any individual who becomes a member of the Board during such period, whose election, or nomination for election by the Company’s stockholders,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but, provided further, that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shall not be so considered as a member of the Incumbent Board; or</w:t>
      </w:r>
    </w:p>
    <w:p>
      <w:pPr>
        <w:spacing w:after="0" w:line="208" w:lineRule="exact"/>
        <w:rPr>
          <w:rFonts w:ascii="Arial" w:cs="Arial" w:eastAsia="Arial" w:hAnsi="Arial"/>
          <w:sz w:val="19"/>
          <w:szCs w:val="19"/>
          <w:color w:val="auto"/>
        </w:rPr>
      </w:pPr>
    </w:p>
    <w:p>
      <w:pPr>
        <w:ind w:left="920" w:hanging="241"/>
        <w:spacing w:after="0"/>
        <w:tabs>
          <w:tab w:leader="none" w:pos="92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 Company Transaction; or</w:t>
      </w:r>
    </w:p>
    <w:p>
      <w:pPr>
        <w:spacing w:after="0" w:line="237" w:lineRule="exact"/>
        <w:rPr>
          <w:rFonts w:ascii="Arial" w:cs="Arial" w:eastAsia="Arial" w:hAnsi="Arial"/>
          <w:sz w:val="19"/>
          <w:szCs w:val="19"/>
          <w:color w:val="auto"/>
        </w:rPr>
      </w:pPr>
    </w:p>
    <w:p>
      <w:pPr>
        <w:jc w:val="both"/>
        <w:ind w:left="340" w:firstLine="339"/>
        <w:spacing w:after="0" w:line="263" w:lineRule="auto"/>
        <w:tabs>
          <w:tab w:leader="none" w:pos="95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approval by the stockholders of the Company of a complete liquidation or dissolution of the Company, other than to an entity pursuant to a transaction which would comply with clauses (1), (2) and (3) of the definition of “Company Transaction”, assuming for this purpose that such transaction were a Company Transaction.</w:t>
      </w:r>
    </w:p>
    <w:p>
      <w:pPr>
        <w:spacing w:after="0" w:line="194" w:lineRule="exact"/>
        <w:rPr>
          <w:sz w:val="20"/>
          <w:szCs w:val="20"/>
          <w:color w:val="auto"/>
        </w:rPr>
      </w:pPr>
    </w:p>
    <w:p>
      <w:pPr>
        <w:jc w:val="both"/>
        <w:ind w:left="340"/>
        <w:spacing w:after="0" w:line="263" w:lineRule="auto"/>
        <w:rPr>
          <w:sz w:val="20"/>
          <w:szCs w:val="20"/>
          <w:color w:val="auto"/>
        </w:rPr>
      </w:pPr>
      <w:r>
        <w:rPr>
          <w:rFonts w:ascii="Arial" w:cs="Arial" w:eastAsia="Arial" w:hAnsi="Arial"/>
          <w:sz w:val="19"/>
          <w:szCs w:val="19"/>
          <w:color w:val="auto"/>
        </w:rPr>
        <w:t>For purposes of the definition of “Change of Control” and “Company Transaction”, a series of transactions undertaken with a common purpose shall be treated as a single transaction that begins at the consummation of the first transaction in the series and ends at the consummation of the last transaction in the series.</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“Company Transaction” means the consummation of</w:t>
      </w:r>
    </w:p>
    <w:p>
      <w:pPr>
        <w:spacing w:after="0" w:line="238" w:lineRule="exact"/>
        <w:rPr>
          <w:sz w:val="20"/>
          <w:szCs w:val="20"/>
          <w:color w:val="auto"/>
        </w:rPr>
      </w:pPr>
    </w:p>
    <w:p>
      <w:pPr>
        <w:ind w:left="940" w:hanging="261"/>
        <w:spacing w:after="0"/>
        <w:tabs>
          <w:tab w:leader="none" w:pos="9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reorganization, merger or consolidation of the Company or</w:t>
      </w:r>
    </w:p>
    <w:p>
      <w:pPr>
        <w:spacing w:after="0" w:line="237" w:lineRule="exact"/>
        <w:rPr>
          <w:rFonts w:ascii="Arial" w:cs="Arial" w:eastAsia="Arial" w:hAnsi="Arial"/>
          <w:sz w:val="19"/>
          <w:szCs w:val="19"/>
          <w:color w:val="auto"/>
        </w:rPr>
      </w:pPr>
    </w:p>
    <w:p>
      <w:pPr>
        <w:ind w:left="340" w:firstLine="339"/>
        <w:spacing w:after="0" w:line="275" w:lineRule="auto"/>
        <w:tabs>
          <w:tab w:leader="none" w:pos="97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sale or other disposition of all or substantially all of the assets of the Company and its direct and indirect subsidiaries taken as a whole, except in each case a transaction pursuant to which</w:t>
      </w:r>
    </w:p>
    <w:p>
      <w:pPr>
        <w:spacing w:after="0" w:line="183" w:lineRule="exact"/>
        <w:rPr>
          <w:rFonts w:ascii="Arial" w:cs="Arial" w:eastAsia="Arial" w:hAnsi="Arial"/>
          <w:sz w:val="19"/>
          <w:szCs w:val="19"/>
          <w:color w:val="auto"/>
        </w:rPr>
      </w:pPr>
    </w:p>
    <w:p>
      <w:pPr>
        <w:jc w:val="both"/>
        <w:ind w:left="680" w:firstLine="341"/>
        <w:spacing w:after="0" w:line="254" w:lineRule="auto"/>
        <w:tabs>
          <w:tab w:leader="none" w:pos="1269" w:val="left"/>
        </w:tabs>
        <w:numPr>
          <w:ilvl w:val="1"/>
          <w:numId w:val="48"/>
        </w:numPr>
        <w:rPr>
          <w:rFonts w:ascii="Arial" w:cs="Arial" w:eastAsia="Arial" w:hAnsi="Arial"/>
          <w:sz w:val="19"/>
          <w:szCs w:val="19"/>
          <w:color w:val="auto"/>
        </w:rPr>
      </w:pPr>
      <w:r>
        <w:rPr>
          <w:rFonts w:ascii="Arial" w:cs="Arial" w:eastAsia="Arial" w:hAnsi="Arial"/>
          <w:sz w:val="19"/>
          <w:szCs w:val="19"/>
          <w:color w:val="auto"/>
        </w:rPr>
        <w:t>all or substantially all of the individuals and entities who are the beneficial owners, respectively, of the Outstanding Common Stock and Outstanding Voting Securities immediately prior to such transaction will beneficially own, directly or indirectly, more than sixty percent (60%) of, respectively, the outstanding shares of common stock, and the combined voting power of the outstanding voting securities entitled to vote generally in the election of directors, as the case may be, of the entity resulting from such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transaction, of the Outstanding Common Stock and Outstanding Voting Securities, as the case may be,</w:t>
      </w:r>
    </w:p>
    <w:p>
      <w:pPr>
        <w:spacing w:after="0" w:line="206" w:lineRule="exact"/>
        <w:rPr>
          <w:rFonts w:ascii="Arial" w:cs="Arial" w:eastAsia="Arial" w:hAnsi="Arial"/>
          <w:sz w:val="19"/>
          <w:szCs w:val="19"/>
          <w:color w:val="auto"/>
        </w:rPr>
      </w:pPr>
    </w:p>
    <w:p>
      <w:pPr>
        <w:jc w:val="both"/>
        <w:ind w:left="680" w:firstLine="341"/>
        <w:spacing w:after="0" w:line="259" w:lineRule="auto"/>
        <w:tabs>
          <w:tab w:leader="none" w:pos="1311" w:val="left"/>
        </w:tabs>
        <w:numPr>
          <w:ilvl w:val="1"/>
          <w:numId w:val="48"/>
        </w:numPr>
        <w:rPr>
          <w:rFonts w:ascii="Arial" w:cs="Arial" w:eastAsia="Arial" w:hAnsi="Arial"/>
          <w:sz w:val="19"/>
          <w:szCs w:val="19"/>
          <w:color w:val="auto"/>
        </w:rPr>
      </w:pPr>
      <w:r>
        <w:rPr>
          <w:rFonts w:ascii="Arial" w:cs="Arial" w:eastAsia="Arial" w:hAnsi="Arial"/>
          <w:sz w:val="19"/>
          <w:szCs w:val="19"/>
          <w:color w:val="auto"/>
        </w:rPr>
        <w:t>no person (other than the Company) will beneficially own, directly or indirectly, more than twenty-five percent (25%) of, respectively, the outstanding shares of common stock of the Company resulting from such transaction or the combined voting power of the outstanding voting securities of such Company entitled to vote generally in the election of directors, except to the extent that such ownership existed with respect to the Company prior to the transaction, and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29" w:name="page30"/>
    <w:bookmarkEnd w:id="29"/>
    <w:p>
      <w:pPr>
        <w:ind w:left="680" w:firstLine="341"/>
        <w:spacing w:after="0" w:line="275" w:lineRule="auto"/>
        <w:tabs>
          <w:tab w:leader="none" w:pos="1357" w:val="left"/>
        </w:tabs>
        <w:numPr>
          <w:ilvl w:val="0"/>
          <w:numId w:val="49"/>
        </w:numPr>
        <w:rPr>
          <w:rFonts w:ascii="Arial" w:cs="Arial" w:eastAsia="Arial" w:hAnsi="Arial"/>
          <w:sz w:val="19"/>
          <w:szCs w:val="19"/>
          <w:color w:val="auto"/>
        </w:rPr>
      </w:pPr>
      <w:r>
        <w:rPr>
          <w:rFonts w:ascii="Arial" w:cs="Arial" w:eastAsia="Arial" w:hAnsi="Arial"/>
          <w:sz w:val="19"/>
          <w:szCs w:val="19"/>
          <w:color w:val="auto"/>
        </w:rPr>
        <w:t>individuals who were members of the Board immediately prior to the approval by the stockholders of the Company of such transaction will constitute at least a majority of the members of the board of directors of the Company resulting from such transaction.</w:t>
      </w:r>
    </w:p>
    <w:p>
      <w:pPr>
        <w:spacing w:after="0" w:line="184" w:lineRule="exact"/>
        <w:rPr>
          <w:sz w:val="20"/>
          <w:szCs w:val="20"/>
          <w:color w:val="auto"/>
        </w:rPr>
      </w:pPr>
    </w:p>
    <w:p>
      <w:pPr>
        <w:jc w:val="both"/>
        <w:ind w:left="340" w:hanging="341"/>
        <w:spacing w:after="0" w:line="275" w:lineRule="auto"/>
        <w:rPr>
          <w:sz w:val="20"/>
          <w:szCs w:val="20"/>
          <w:color w:val="auto"/>
        </w:rPr>
      </w:pPr>
      <w:r>
        <w:rPr>
          <w:rFonts w:ascii="Arial" w:cs="Arial" w:eastAsia="Arial" w:hAnsi="Arial"/>
          <w:sz w:val="19"/>
          <w:szCs w:val="19"/>
          <w:color w:val="auto"/>
        </w:rPr>
        <w:t>“Convertible Security” means any security convertible into or exchangeable for shares of Common Stock of the Company, or any option, warrant or other right to acquire shares of Common Stock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“Code” means the Internal Revenue Code of 1986, as amended from time to time.</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“Committee” has the meaning set forth in subsection 3.2.</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“Common Stock” means the common stock of the Company.</w:t>
      </w:r>
    </w:p>
    <w:p>
      <w:pPr>
        <w:spacing w:after="0" w:line="238" w:lineRule="exact"/>
        <w:rPr>
          <w:sz w:val="20"/>
          <w:szCs w:val="20"/>
          <w:color w:val="auto"/>
        </w:rPr>
      </w:pPr>
    </w:p>
    <w:p>
      <w:pPr>
        <w:jc w:val="both"/>
        <w:ind w:left="340" w:hanging="341"/>
        <w:spacing w:after="0" w:line="336" w:lineRule="auto"/>
        <w:rPr>
          <w:sz w:val="20"/>
          <w:szCs w:val="20"/>
          <w:color w:val="auto"/>
        </w:rPr>
      </w:pPr>
      <w:r>
        <w:rPr>
          <w:rFonts w:ascii="Arial" w:cs="Arial" w:eastAsia="Arial" w:hAnsi="Arial"/>
          <w:sz w:val="17"/>
          <w:szCs w:val="17"/>
          <w:color w:val="auto"/>
        </w:rPr>
        <w:t>“Company” means OptimizeRx Corporation., a Nevada corporation, and its wholly owned subsidiaries, including OptimizeRx Corporation, a Michigan corporation, CareSpeak Communications, Inc., a New Jersey corporation, and any other wholly owned subsidiaries that may be acquired in the future.</w:t>
      </w:r>
    </w:p>
    <w:p>
      <w:pPr>
        <w:spacing w:after="0" w:line="137" w:lineRule="exact"/>
        <w:rPr>
          <w:sz w:val="20"/>
          <w:szCs w:val="20"/>
          <w:color w:val="auto"/>
        </w:rPr>
      </w:pPr>
    </w:p>
    <w:p>
      <w:pPr>
        <w:spacing w:after="0"/>
        <w:rPr>
          <w:sz w:val="20"/>
          <w:szCs w:val="20"/>
          <w:color w:val="auto"/>
        </w:rPr>
      </w:pPr>
      <w:r>
        <w:rPr>
          <w:rFonts w:ascii="Arial" w:cs="Arial" w:eastAsia="Arial" w:hAnsi="Arial"/>
          <w:sz w:val="19"/>
          <w:szCs w:val="19"/>
          <w:color w:val="auto"/>
        </w:rPr>
        <w:t>“Compensation Committee” means the Compensation Committee (if any) of the Board.</w:t>
      </w:r>
    </w:p>
    <w:p>
      <w:pPr>
        <w:spacing w:after="0" w:line="238" w:lineRule="exact"/>
        <w:rPr>
          <w:sz w:val="20"/>
          <w:szCs w:val="20"/>
          <w:color w:val="auto"/>
        </w:rPr>
      </w:pPr>
    </w:p>
    <w:p>
      <w:pPr>
        <w:jc w:val="both"/>
        <w:ind w:left="340" w:hanging="341"/>
        <w:spacing w:after="0" w:line="272" w:lineRule="auto"/>
        <w:rPr>
          <w:sz w:val="20"/>
          <w:szCs w:val="20"/>
          <w:color w:val="auto"/>
        </w:rPr>
      </w:pPr>
      <w:r>
        <w:rPr>
          <w:rFonts w:ascii="Arial" w:cs="Arial" w:eastAsia="Arial" w:hAnsi="Arial"/>
          <w:sz w:val="18"/>
          <w:szCs w:val="18"/>
          <w:color w:val="auto"/>
        </w:rPr>
        <w:t>“Disability” means, unless otherwise defined by the Committee for purposes of the Plan or in the instrument evidencing an Award or in a written employment, services or other agreement between the Participant and the Company or a Related Company, a mental or physical impairment of the Participant that is expected to result in death or that has lasted or is expected to last for a continuous period of 12 months or more and that causes the Participant to be unable to perform his or her material duties for the Company or a Related Company and to be engaged in any substantial gainful activity, in each case as determined by the Company’s chief human resources officer or other person performing that function or, in the case of directors and executive officers, the Committee, whose determination shall be conclusive and binding.</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“Effective Date” has the meaning set forth in Section 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“Eligible Person” means any person eligible to receive an Award as set forth in Section 5.</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“Entity” means any individual, entity or group (within the meaning of Section 13(d)(3) or Section 14(d)(2) of the Exchange Act).</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“Exchange Act” means the Securities Exchange Act of 1934, as amended from time to time.</w:t>
      </w:r>
    </w:p>
    <w:p>
      <w:pPr>
        <w:spacing w:after="0" w:line="238" w:lineRule="exact"/>
        <w:rPr>
          <w:sz w:val="20"/>
          <w:szCs w:val="20"/>
          <w:color w:val="auto"/>
        </w:rPr>
      </w:pPr>
    </w:p>
    <w:p>
      <w:pPr>
        <w:jc w:val="both"/>
        <w:ind w:left="340" w:hanging="341"/>
        <w:spacing w:after="0" w:line="263" w:lineRule="auto"/>
        <w:rPr>
          <w:sz w:val="20"/>
          <w:szCs w:val="20"/>
          <w:color w:val="auto"/>
        </w:rPr>
      </w:pPr>
      <w:r>
        <w:rPr>
          <w:rFonts w:ascii="Arial" w:cs="Arial" w:eastAsia="Arial" w:hAnsi="Arial"/>
          <w:sz w:val="19"/>
          <w:szCs w:val="19"/>
          <w:color w:val="auto"/>
        </w:rPr>
        <w:t>“Fair Market Value” means the closing price for the Common Stock on any given date during regular trading, or if not trading on that date, such price on the last preceding date on which the Common Stock was traded, unless determined otherwise by the Committee using such methods or procedures as it may establish.</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“Grant Date” means the later of:</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(c) the date on which the Committee completes the corporate action authorizing the grant of an Award or such later date specified by the Committee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7">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30" w:name="page31"/>
    <w:bookmarkEnd w:id="30"/>
    <w:p>
      <w:pPr>
        <w:ind w:left="340" w:firstLine="339"/>
        <w:spacing w:after="0" w:line="275" w:lineRule="auto"/>
        <w:tabs>
          <w:tab w:leader="none" w:pos="963"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date on which all conditions precedent to an Award have been satisfied, provided that conditions to the exercisability or vesting of Awards shall not defer the Grant Date.</w:t>
      </w:r>
    </w:p>
    <w:p>
      <w:pPr>
        <w:spacing w:after="0" w:line="184" w:lineRule="exact"/>
        <w:rPr>
          <w:sz w:val="20"/>
          <w:szCs w:val="20"/>
          <w:color w:val="auto"/>
        </w:rPr>
      </w:pPr>
    </w:p>
    <w:p>
      <w:pPr>
        <w:jc w:val="both"/>
        <w:ind w:left="340" w:hanging="341"/>
        <w:spacing w:after="0" w:line="275" w:lineRule="auto"/>
        <w:rPr>
          <w:sz w:val="20"/>
          <w:szCs w:val="20"/>
          <w:color w:val="auto"/>
        </w:rPr>
      </w:pPr>
      <w:r>
        <w:rPr>
          <w:rFonts w:ascii="Arial" w:cs="Arial" w:eastAsia="Arial" w:hAnsi="Arial"/>
          <w:sz w:val="19"/>
          <w:szCs w:val="19"/>
          <w:color w:val="auto"/>
        </w:rPr>
        <w:t>“Incentive Stock Option” means an Option granted with the intention that it qualify as an “incentive stock option” as that term is defined for purposes of Section 422 of the Code or any successor provision.</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“including”, “include”, “includes” and words of similar import shall be construed broadly as if followed by the phrase “without limitation”.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“Nonqualified Stock Option” means an Option other than an Incentive Stock Option.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“Option” means a right to purchase Common Stock granted under Section 7. .</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“Option Expiration Date” means the last day of the maximum term of an Option.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“Outstanding Company Common Stock” has the meaning set forth in the definition of “Change in Control.”</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“Outstanding Company Voting Securities” has the meaning set forth in the definition of “Change in Control.”</w:t>
      </w:r>
    </w:p>
    <w:p>
      <w:pPr>
        <w:spacing w:after="0" w:line="238" w:lineRule="exact"/>
        <w:rPr>
          <w:sz w:val="20"/>
          <w:szCs w:val="20"/>
          <w:color w:val="auto"/>
        </w:rPr>
      </w:pPr>
    </w:p>
    <w:p>
      <w:pPr>
        <w:jc w:val="both"/>
        <w:ind w:left="340" w:right="20" w:hanging="341"/>
        <w:spacing w:after="0" w:line="275" w:lineRule="auto"/>
        <w:rPr>
          <w:sz w:val="20"/>
          <w:szCs w:val="20"/>
          <w:color w:val="auto"/>
        </w:rPr>
      </w:pPr>
      <w:r>
        <w:rPr>
          <w:rFonts w:ascii="Arial" w:cs="Arial" w:eastAsia="Arial" w:hAnsi="Arial"/>
          <w:sz w:val="19"/>
          <w:szCs w:val="19"/>
          <w:color w:val="auto"/>
        </w:rPr>
        <w:t>“Parent Company” means a company or other entity which as a result of a Company Transaction owns the Company or all or substantially all of the Company’s assets either directly or through one or more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“Participant” means any Eligible Person to whom an Award is granted.</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“Performance Award” means an Award of Performance Shares or Performance Units granted under Section 11.</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“Performance Share” means an Award of units denominated in shares of Common Stock granted under subsection 11.1.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“Performance Unit” means an Award of units denominated in cash or property other than shares of Common Stock granted under subsection 11.2.</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“Plan” means this OptimizeRx Corp. 2013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‘‘Related Company” means any entity that is directly or indirectly controlled by, in control of or under common control with the Company.</w:t>
      </w:r>
    </w:p>
    <w:p>
      <w:pPr>
        <w:spacing w:after="0" w:line="238" w:lineRule="exact"/>
        <w:rPr>
          <w:sz w:val="20"/>
          <w:szCs w:val="20"/>
          <w:color w:val="auto"/>
        </w:rPr>
      </w:pPr>
    </w:p>
    <w:p>
      <w:pPr>
        <w:jc w:val="both"/>
        <w:ind w:left="340" w:hanging="341"/>
        <w:spacing w:after="0" w:line="275" w:lineRule="auto"/>
        <w:rPr>
          <w:sz w:val="20"/>
          <w:szCs w:val="20"/>
          <w:color w:val="auto"/>
        </w:rPr>
      </w:pPr>
      <w:r>
        <w:rPr>
          <w:rFonts w:ascii="Arial" w:cs="Arial" w:eastAsia="Arial" w:hAnsi="Arial"/>
          <w:sz w:val="19"/>
          <w:szCs w:val="19"/>
          <w:color w:val="auto"/>
        </w:rPr>
        <w:t>“Restricted Stock” means an Award of shares of Common Stock granted under Section 10. , the rights of ownership of which are subject to restrictions prescribed by the Committee.</w:t>
      </w:r>
    </w:p>
    <w:p>
      <w:pPr>
        <w:spacing w:after="0" w:line="184" w:lineRule="exact"/>
        <w:rPr>
          <w:sz w:val="20"/>
          <w:szCs w:val="20"/>
          <w:color w:val="auto"/>
        </w:rPr>
      </w:pPr>
    </w:p>
    <w:p>
      <w:pPr>
        <w:jc w:val="both"/>
        <w:ind w:left="340" w:hanging="341"/>
        <w:spacing w:after="0" w:line="259" w:lineRule="auto"/>
        <w:rPr>
          <w:sz w:val="20"/>
          <w:szCs w:val="20"/>
          <w:color w:val="auto"/>
        </w:rPr>
      </w:pPr>
      <w:r>
        <w:rPr>
          <w:rFonts w:ascii="Arial" w:cs="Arial" w:eastAsia="Arial" w:hAnsi="Arial"/>
          <w:sz w:val="19"/>
          <w:szCs w:val="19"/>
          <w:color w:val="auto"/>
        </w:rPr>
        <w:t>“Retirement” means, unless otherwise defined in the instrument evidencing the Award or in a written employment, services or other agreement between the Participant and the Company or a Related Company, retirement as defined for purposes of the Plan by the Committee or the Company’s chief human resources officer or other person performing that function or, if not so defined, means Termination of Service on or after the date the Participant reaches “normal retirement age” as that term is defined in Section 411(a)(8) of the Code.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“Securities Act” means the Securities Act of 1933, as amended from time to time.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8">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31" w:name="page32"/>
    <w:bookmarkEnd w:id="31"/>
    <w:p>
      <w:pPr>
        <w:jc w:val="both"/>
        <w:ind w:left="340" w:hanging="341"/>
        <w:spacing w:after="0" w:line="275" w:lineRule="auto"/>
        <w:rPr>
          <w:sz w:val="20"/>
          <w:szCs w:val="20"/>
          <w:color w:val="auto"/>
        </w:rPr>
      </w:pPr>
      <w:r>
        <w:rPr>
          <w:rFonts w:ascii="Arial" w:cs="Arial" w:eastAsia="Arial" w:hAnsi="Arial"/>
          <w:sz w:val="19"/>
          <w:szCs w:val="19"/>
          <w:color w:val="auto"/>
        </w:rPr>
        <w:t>“Stock Appreciation Right” or “SAR” means a right granted under subsection 9.1 to receive the excess of the Fair Market Value of a specified number of shares of Common Stock over the grant price.</w:t>
      </w:r>
    </w:p>
    <w:p>
      <w:pPr>
        <w:spacing w:after="0" w:line="184" w:lineRule="exact"/>
        <w:rPr>
          <w:sz w:val="20"/>
          <w:szCs w:val="20"/>
          <w:color w:val="auto"/>
        </w:rPr>
      </w:pPr>
    </w:p>
    <w:p>
      <w:pPr>
        <w:jc w:val="both"/>
        <w:ind w:left="340" w:hanging="341"/>
        <w:spacing w:after="0" w:line="275" w:lineRule="auto"/>
        <w:rPr>
          <w:sz w:val="20"/>
          <w:szCs w:val="20"/>
          <w:color w:val="auto"/>
        </w:rPr>
      </w:pPr>
      <w:r>
        <w:rPr>
          <w:rFonts w:ascii="Arial" w:cs="Arial" w:eastAsia="Arial" w:hAnsi="Arial"/>
          <w:sz w:val="19"/>
          <w:szCs w:val="19"/>
          <w:color w:val="auto"/>
        </w:rPr>
        <w:t>“Stock Award” means an Award of shares of Common Stock granted under Section 10, the rights of ownership of which are not subject to restrictions prescribed by the Committee.</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“Stock Unit” means an Award denominated in units of Common Stock granted under Section 10.</w:t>
      </w:r>
    </w:p>
    <w:p>
      <w:pPr>
        <w:spacing w:after="0" w:line="238" w:lineRule="exact"/>
        <w:rPr>
          <w:sz w:val="20"/>
          <w:szCs w:val="20"/>
          <w:color w:val="auto"/>
        </w:rPr>
      </w:pPr>
    </w:p>
    <w:p>
      <w:pPr>
        <w:jc w:val="both"/>
        <w:ind w:left="340" w:hanging="341"/>
        <w:spacing w:after="0" w:line="275" w:lineRule="auto"/>
        <w:rPr>
          <w:sz w:val="20"/>
          <w:szCs w:val="20"/>
          <w:color w:val="auto"/>
        </w:rPr>
      </w:pPr>
      <w:r>
        <w:rPr>
          <w:rFonts w:ascii="Arial" w:cs="Arial" w:eastAsia="Arial" w:hAnsi="Arial"/>
          <w:sz w:val="19"/>
          <w:szCs w:val="19"/>
          <w:color w:val="auto"/>
        </w:rPr>
        <w:t>“Substitute Awards” means Awards granted or shares of Common Stock issued by the Company in substitution or exchange for awards previously granted by an Acquired Entity.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“Successor Company” means the surviving company, the successor company or Parent Company, as applicable, in connection with a Company Transaction.</w:t>
      </w:r>
    </w:p>
    <w:p>
      <w:pPr>
        <w:spacing w:after="0" w:line="261" w:lineRule="exact"/>
        <w:rPr>
          <w:sz w:val="20"/>
          <w:szCs w:val="20"/>
          <w:color w:val="auto"/>
        </w:rPr>
      </w:pPr>
    </w:p>
    <w:p>
      <w:pPr>
        <w:jc w:val="both"/>
        <w:ind w:left="340" w:hanging="341"/>
        <w:spacing w:after="0" w:line="269" w:lineRule="auto"/>
        <w:rPr>
          <w:sz w:val="20"/>
          <w:szCs w:val="20"/>
          <w:color w:val="auto"/>
        </w:rPr>
      </w:pPr>
      <w:r>
        <w:rPr>
          <w:rFonts w:ascii="Arial" w:cs="Arial" w:eastAsia="Arial" w:hAnsi="Arial"/>
          <w:sz w:val="18"/>
          <w:szCs w:val="18"/>
          <w:color w:val="auto"/>
        </w:rPr>
        <w:t>“Termination of Service” means a termination of employment or service relationship with the Company or a Related Company for any reason, whether voluntary or involuntary, including by reason of death, Disability or Retirement. Any question as to whether and when there has been a Termination of Service for the purposes of an Award and the cause of such Termination of Service shall be determined by the Company’s chief human resources officer or other person performing that function or, with respect to directors and executive officers, by the Committee, whose determination shall be conclusive and binding. Transfer of a Participant’s employment or service relationship between the Company and any Related Company shall not be considered a Termination of Service for purposes of an Award. Unless the Committee determines otherwise, a Termination of Service shall be deemed to occur if the Participant’s employment or service relationship is with an entity that has ceased to be a Related Company. A Participant’s change in status from an employee of the Company or a Related Company to a consultant, advisor or independent contractor of the Company or a Related Company or a change in status from a consultant, advisor or independent contractor of the Company or a Related Company to an employee of the Company or a Related Company, shall not be considered a Termination of Service.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“Vesting Commencement Date” means the Grant Date or such other date selected by the Committee as the date from which an Award begins to vest.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3"/>
          <w:szCs w:val="2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7625080"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812" w:right="120" w:bottom="1440" w:gutter="0" w:footer="0" w:header="0"/>
        </w:sectPr>
      </w:pPr>
    </w:p>
    <w:bookmarkStart w:id="32" w:name="page33"/>
    <w:bookmarkEnd w:id="32"/>
    <w:p>
      <w:pPr>
        <w:jc w:val="center"/>
        <w:spacing w:after="0"/>
        <w:rPr>
          <w:sz w:val="20"/>
          <w:szCs w:val="20"/>
          <w:color w:val="auto"/>
        </w:rPr>
      </w:pPr>
      <w:r>
        <w:rPr>
          <w:rFonts w:ascii="Arial" w:cs="Arial" w:eastAsia="Arial" w:hAnsi="Arial"/>
          <w:sz w:val="19"/>
          <w:szCs w:val="19"/>
          <w:b w:val="1"/>
          <w:bCs w:val="1"/>
          <w:color w:val="auto"/>
        </w:rPr>
        <w:t>PLAN ADOPTION AND AMENDMENTS/ADJUSTMENTS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SUMMARY PAGE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900" w:type="dxa"/>
            <w:vAlign w:val="bottom"/>
            <w:gridSpan w:val="2"/>
          </w:tcPr>
          <w:p>
            <w:pPr>
              <w:ind w:left="100"/>
              <w:spacing w:after="0"/>
              <w:rPr>
                <w:sz w:val="20"/>
                <w:szCs w:val="20"/>
                <w:color w:val="auto"/>
              </w:rPr>
            </w:pPr>
            <w:r>
              <w:rPr>
                <w:rFonts w:ascii="Arial" w:cs="Arial" w:eastAsia="Arial" w:hAnsi="Arial"/>
                <w:sz w:val="19"/>
                <w:szCs w:val="19"/>
                <w:color w:val="auto"/>
              </w:rPr>
              <w:t>Date of Shareholder</w:t>
            </w:r>
          </w:p>
        </w:tc>
        <w:tc>
          <w:tcPr>
            <w:tcW w:w="0" w:type="dxa"/>
            <w:vAlign w:val="bottom"/>
          </w:tcPr>
          <w:p>
            <w:pPr>
              <w:spacing w:after="0"/>
              <w:rPr>
                <w:sz w:val="1"/>
                <w:szCs w:val="1"/>
                <w:color w:val="auto"/>
              </w:rPr>
            </w:pPr>
          </w:p>
        </w:tc>
      </w:tr>
      <w:tr>
        <w:trPr>
          <w:trHeight w:val="251"/>
        </w:trPr>
        <w:tc>
          <w:tcPr>
            <w:tcW w:w="1940" w:type="dxa"/>
            <w:vAlign w:val="bottom"/>
            <w:gridSpan w:val="3"/>
          </w:tcPr>
          <w:p>
            <w:pPr>
              <w:spacing w:after="0"/>
              <w:rPr>
                <w:sz w:val="20"/>
                <w:szCs w:val="20"/>
                <w:color w:val="auto"/>
              </w:rPr>
            </w:pPr>
            <w:r>
              <w:rPr>
                <w:rFonts w:ascii="Arial" w:cs="Arial" w:eastAsia="Arial" w:hAnsi="Arial"/>
                <w:sz w:val="19"/>
                <w:szCs w:val="19"/>
                <w:color w:val="auto"/>
              </w:rPr>
              <w:t>Date of Board Action</w:t>
            </w:r>
          </w:p>
        </w:tc>
        <w:tc>
          <w:tcPr>
            <w:tcW w:w="3600" w:type="dxa"/>
            <w:vAlign w:val="bottom"/>
          </w:tcPr>
          <w:p>
            <w:pPr>
              <w:spacing w:after="0"/>
              <w:rPr>
                <w:sz w:val="20"/>
                <w:szCs w:val="20"/>
                <w:color w:val="auto"/>
              </w:rPr>
            </w:pPr>
            <w:r>
              <w:rPr>
                <w:rFonts w:ascii="Arial" w:cs="Arial" w:eastAsia="Arial" w:hAnsi="Arial"/>
                <w:sz w:val="19"/>
                <w:szCs w:val="19"/>
                <w:color w:val="auto"/>
              </w:rPr>
              <w:t>Action</w:t>
            </w:r>
          </w:p>
        </w:tc>
        <w:tc>
          <w:tcPr>
            <w:tcW w:w="480" w:type="dxa"/>
            <w:vAlign w:val="bottom"/>
          </w:tcPr>
          <w:p>
            <w:pPr>
              <w:spacing w:after="0"/>
              <w:rPr>
                <w:sz w:val="21"/>
                <w:szCs w:val="21"/>
                <w:color w:val="auto"/>
              </w:rPr>
            </w:pPr>
          </w:p>
        </w:tc>
        <w:tc>
          <w:tcPr>
            <w:tcW w:w="4080" w:type="dxa"/>
            <w:vAlign w:val="bottom"/>
            <w:gridSpan w:val="2"/>
          </w:tcPr>
          <w:p>
            <w:pPr>
              <w:ind w:left="120"/>
              <w:spacing w:after="0"/>
              <w:rPr>
                <w:sz w:val="20"/>
                <w:szCs w:val="20"/>
                <w:color w:val="auto"/>
              </w:rPr>
            </w:pPr>
            <w:r>
              <w:rPr>
                <w:rFonts w:ascii="Arial" w:cs="Arial" w:eastAsia="Arial" w:hAnsi="Arial"/>
                <w:sz w:val="19"/>
                <w:szCs w:val="19"/>
                <w:color w:val="auto"/>
              </w:rPr>
              <w:t>Section/Effect of Amendment</w:t>
            </w:r>
          </w:p>
        </w:tc>
        <w:tc>
          <w:tcPr>
            <w:tcW w:w="1900" w:type="dxa"/>
            <w:vAlign w:val="bottom"/>
            <w:gridSpan w:val="2"/>
          </w:tcPr>
          <w:p>
            <w:pPr>
              <w:ind w:left="100"/>
              <w:spacing w:after="0"/>
              <w:rPr>
                <w:sz w:val="20"/>
                <w:szCs w:val="20"/>
                <w:color w:val="auto"/>
              </w:rPr>
            </w:pPr>
            <w:r>
              <w:rPr>
                <w:rFonts w:ascii="Arial" w:cs="Arial" w:eastAsia="Arial" w:hAnsi="Arial"/>
                <w:sz w:val="19"/>
                <w:szCs w:val="19"/>
                <w:color w:val="auto"/>
              </w:rPr>
              <w:t>Approval</w:t>
            </w:r>
          </w:p>
        </w:tc>
        <w:tc>
          <w:tcPr>
            <w:tcW w:w="0" w:type="dxa"/>
            <w:vAlign w:val="bottom"/>
          </w:tcPr>
          <w:p>
            <w:pPr>
              <w:spacing w:after="0"/>
              <w:rPr>
                <w:sz w:val="1"/>
                <w:szCs w:val="1"/>
                <w:color w:val="auto"/>
              </w:rPr>
            </w:pPr>
          </w:p>
        </w:tc>
      </w:tr>
      <w:tr>
        <w:trPr>
          <w:trHeight w:val="228"/>
        </w:trPr>
        <w:tc>
          <w:tcPr>
            <w:tcW w:w="20" w:type="dxa"/>
            <w:vAlign w:val="bottom"/>
            <w:vMerge w:val="restart"/>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6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June 14, 2013</w:t>
            </w:r>
          </w:p>
        </w:tc>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rPr>
              <w:t>Initial Plan Adoption</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00"/>
              <w:spacing w:after="0"/>
              <w:rPr>
                <w:sz w:val="20"/>
                <w:szCs w:val="20"/>
                <w:color w:val="auto"/>
              </w:rPr>
            </w:pPr>
            <w:r>
              <w:rPr>
                <w:rFonts w:ascii="Arial" w:cs="Arial" w:eastAsia="Arial" w:hAnsi="Arial"/>
                <w:sz w:val="19"/>
                <w:szCs w:val="19"/>
                <w:color w:val="auto"/>
              </w:rPr>
              <w:t>June 14, 2013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Arial" w:cs="Arial" w:eastAsia="Arial" w:hAnsi="Arial"/>
                <w:sz w:val="19"/>
                <w:szCs w:val="19"/>
                <w:color w:val="auto"/>
              </w:rPr>
              <w:t>March __, 2016</w:t>
            </w:r>
          </w:p>
        </w:tc>
        <w:tc>
          <w:tcPr>
            <w:tcW w:w="3600" w:type="dxa"/>
            <w:vAlign w:val="bottom"/>
          </w:tcPr>
          <w:p>
            <w:pPr>
              <w:spacing w:after="0"/>
              <w:rPr>
                <w:sz w:val="20"/>
                <w:szCs w:val="20"/>
                <w:color w:val="auto"/>
              </w:rPr>
            </w:pPr>
            <w:r>
              <w:rPr>
                <w:rFonts w:ascii="Arial" w:cs="Arial" w:eastAsia="Arial" w:hAnsi="Arial"/>
                <w:sz w:val="19"/>
                <w:szCs w:val="19"/>
                <w:color w:val="auto"/>
                <w:w w:val="98"/>
              </w:rPr>
              <w:t>Increase Authorized Shares under the Plan</w:t>
            </w:r>
          </w:p>
        </w:tc>
        <w:tc>
          <w:tcPr>
            <w:tcW w:w="480" w:type="dxa"/>
            <w:vAlign w:val="bottom"/>
          </w:tcPr>
          <w:p>
            <w:pPr>
              <w:spacing w:after="0"/>
              <w:rPr>
                <w:sz w:val="19"/>
                <w:szCs w:val="19"/>
                <w:color w:val="auto"/>
              </w:rPr>
            </w:pPr>
          </w:p>
        </w:tc>
        <w:tc>
          <w:tcPr>
            <w:tcW w:w="4080" w:type="dxa"/>
            <w:vAlign w:val="bottom"/>
            <w:gridSpan w:val="2"/>
          </w:tcPr>
          <w:p>
            <w:pPr>
              <w:ind w:left="120"/>
              <w:spacing w:after="0"/>
              <w:rPr>
                <w:sz w:val="20"/>
                <w:szCs w:val="20"/>
                <w:color w:val="auto"/>
              </w:rPr>
            </w:pPr>
            <w:r>
              <w:rPr>
                <w:rFonts w:ascii="Arial" w:cs="Arial" w:eastAsia="Arial" w:hAnsi="Arial"/>
                <w:sz w:val="19"/>
                <w:szCs w:val="19"/>
                <w:color w:val="auto"/>
              </w:rPr>
              <w:t>Section 4.1; increase to 4,000,000 shares</w:t>
            </w: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February 1, 2018</w:t>
            </w:r>
          </w:p>
        </w:tc>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w w:val="98"/>
              </w:rPr>
              <w:t>Increase Authorized Shares under the Plan</w:t>
            </w:r>
          </w:p>
        </w:tc>
        <w:tc>
          <w:tcPr>
            <w:tcW w:w="48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Section 4.1: increase to 5,500,000 shares</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20" w:type="dxa"/>
            <w:vAlign w:val="bottom"/>
            <w:gridSpan w:val="2"/>
          </w:tcPr>
          <w:p>
            <w:pPr>
              <w:spacing w:after="0" w:line="214" w:lineRule="exact"/>
              <w:rPr>
                <w:sz w:val="20"/>
                <w:szCs w:val="20"/>
                <w:color w:val="auto"/>
              </w:rPr>
            </w:pPr>
            <w:r>
              <w:rPr>
                <w:rFonts w:ascii="Arial" w:cs="Arial" w:eastAsia="Arial" w:hAnsi="Arial"/>
                <w:sz w:val="19"/>
                <w:szCs w:val="19"/>
                <w:color w:val="auto"/>
              </w:rPr>
              <w:t>May 2018</w:t>
            </w:r>
          </w:p>
        </w:tc>
        <w:tc>
          <w:tcPr>
            <w:tcW w:w="3600" w:type="dxa"/>
            <w:vAlign w:val="bottom"/>
          </w:tcPr>
          <w:p>
            <w:pPr>
              <w:spacing w:after="0" w:line="214" w:lineRule="exact"/>
              <w:rPr>
                <w:sz w:val="20"/>
                <w:szCs w:val="20"/>
                <w:color w:val="auto"/>
              </w:rPr>
            </w:pPr>
            <w:r>
              <w:rPr>
                <w:rFonts w:ascii="Arial" w:cs="Arial" w:eastAsia="Arial" w:hAnsi="Arial"/>
                <w:sz w:val="19"/>
                <w:szCs w:val="19"/>
                <w:color w:val="auto"/>
              </w:rPr>
              <w:t>1 for 3 reverse stock split</w:t>
            </w:r>
          </w:p>
        </w:tc>
        <w:tc>
          <w:tcPr>
            <w:tcW w:w="480" w:type="dxa"/>
            <w:vAlign w:val="bottom"/>
          </w:tcPr>
          <w:p>
            <w:pPr>
              <w:spacing w:after="0"/>
              <w:rPr>
                <w:sz w:val="18"/>
                <w:szCs w:val="18"/>
                <w:color w:val="auto"/>
              </w:rPr>
            </w:pPr>
          </w:p>
        </w:tc>
        <w:tc>
          <w:tcPr>
            <w:tcW w:w="4080" w:type="dxa"/>
            <w:vAlign w:val="bottom"/>
            <w:gridSpan w:val="2"/>
          </w:tcPr>
          <w:p>
            <w:pPr>
              <w:ind w:left="120"/>
              <w:spacing w:after="0" w:line="214" w:lineRule="exact"/>
              <w:rPr>
                <w:sz w:val="20"/>
                <w:szCs w:val="20"/>
                <w:color w:val="auto"/>
              </w:rPr>
            </w:pPr>
            <w:r>
              <w:rPr>
                <w:rFonts w:ascii="Arial" w:cs="Arial" w:eastAsia="Arial" w:hAnsi="Arial"/>
                <w:sz w:val="19"/>
                <w:szCs w:val="19"/>
                <w:color w:val="auto"/>
                <w:w w:val="92"/>
              </w:rPr>
              <w:t>Section 4.1 share allowance of 5,500,000 adjusted</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80" w:type="dxa"/>
            <w:vAlign w:val="bottom"/>
            <w:gridSpan w:val="2"/>
          </w:tcPr>
          <w:p>
            <w:pPr>
              <w:ind w:left="120"/>
              <w:spacing w:after="0"/>
              <w:rPr>
                <w:sz w:val="20"/>
                <w:szCs w:val="20"/>
                <w:color w:val="auto"/>
              </w:rPr>
            </w:pPr>
            <w:r>
              <w:rPr>
                <w:rFonts w:ascii="Arial" w:cs="Arial" w:eastAsia="Arial" w:hAnsi="Arial"/>
                <w:sz w:val="19"/>
                <w:szCs w:val="19"/>
                <w:color w:val="auto"/>
                <w:w w:val="96"/>
              </w:rPr>
              <w:t>to 1,833,333 shares by operation of Section 15.1</w:t>
            </w: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2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January 11, 2019</w:t>
            </w:r>
          </w:p>
        </w:tc>
        <w:tc>
          <w:tcPr>
            <w:tcW w:w="3600" w:type="dxa"/>
            <w:vAlign w:val="bottom"/>
            <w:shd w:val="clear" w:color="auto" w:fill="CCEEFF"/>
          </w:tcPr>
          <w:p>
            <w:pPr>
              <w:spacing w:after="0"/>
              <w:rPr>
                <w:sz w:val="20"/>
                <w:szCs w:val="20"/>
                <w:color w:val="auto"/>
              </w:rPr>
            </w:pPr>
            <w:r>
              <w:rPr>
                <w:rFonts w:ascii="Arial" w:cs="Arial" w:eastAsia="Arial" w:hAnsi="Arial"/>
                <w:sz w:val="19"/>
                <w:szCs w:val="19"/>
                <w:color w:val="auto"/>
                <w:w w:val="98"/>
              </w:rPr>
              <w:t>Increase Authorized Shares under the Plan</w:t>
            </w:r>
          </w:p>
        </w:tc>
        <w:tc>
          <w:tcPr>
            <w:tcW w:w="48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ind w:left="120"/>
              <w:spacing w:after="0"/>
              <w:rPr>
                <w:sz w:val="20"/>
                <w:szCs w:val="20"/>
                <w:color w:val="auto"/>
              </w:rPr>
            </w:pPr>
            <w:r>
              <w:rPr>
                <w:rFonts w:ascii="Arial" w:cs="Arial" w:eastAsia="Arial" w:hAnsi="Arial"/>
                <w:sz w:val="19"/>
                <w:szCs w:val="19"/>
                <w:color w:val="auto"/>
              </w:rPr>
              <w:t>Section 4:1: increase to 2,500,000 shares</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9"/>
                <w:szCs w:val="19"/>
                <w:color w:val="auto"/>
              </w:rPr>
              <w:t>24</w:t>
            </w:r>
          </w:p>
        </w:tc>
        <w:tc>
          <w:tcPr>
            <w:tcW w:w="3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2240" w:h="15840" w:orient="portrait"/>
          <w:cols w:equalWidth="0" w:num="1">
            <w:col w:w="12000"/>
          </w:cols>
          <w:pgMar w:left="120" w:top="806" w:right="120" w:bottom="1440" w:gutter="0" w:footer="0" w:header="0"/>
        </w:sectPr>
      </w:pPr>
    </w:p>
    <w:bookmarkStart w:id="33" w:name="page34"/>
    <w:bookmarkEnd w:id="33"/>
    <w:p>
      <w:pPr>
        <w:jc w:val="right"/>
        <w:spacing w:after="0"/>
        <w:rPr>
          <w:sz w:val="20"/>
          <w:szCs w:val="20"/>
          <w:color w:val="auto"/>
        </w:rPr>
      </w:pPr>
      <w:r>
        <w:rPr>
          <w:rFonts w:ascii="Arial" w:cs="Arial" w:eastAsia="Arial" w:hAnsi="Arial"/>
          <w:sz w:val="23"/>
          <w:szCs w:val="23"/>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158115</wp:posOffset>
            </wp:positionV>
            <wp:extent cx="6520180" cy="932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0">
                      <a:extLst>
                        <a:ext uri="{28A0092B-C50C-407E-A947-70E740481C1C}"/>
                      </a:extLst>
                    </a:blip>
                    <a:srcRect/>
                    <a:stretch>
                      <a:fillRect/>
                    </a:stretch>
                  </pic:blipFill>
                  <pic:spPr bwMode="auto">
                    <a:xfrm>
                      <a:off x="0" y="0"/>
                      <a:ext cx="6520180" cy="93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color w:val="auto"/>
        </w:rPr>
        <w:t>March 12, 2019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400 Water Street, Suite 200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Rochester, MI 48307</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9"/>
          <w:szCs w:val="19"/>
          <w:color w:val="auto"/>
        </w:rPr>
        <w:t>Re:</w:t>
        <w:tab/>
        <w:t>OptimizeRx Corp., Registration Statement on Form S-8</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We have acted as counsel for OptimizeRx Corp., a Nevada corporation (the "Company"), in connection with the preparation of the registration statement on Form S-8 (the "Registration Statement") to be filed with the Securities and Exchange Commission (the "Commission") pursuant to the Securities Act of 1933, as amended (the "Act"), relating to the offering of 1,116,666 shares of the Company’s common stock (the “Shares”), which may be issued pursuant to the Company’s Third Amended and Restated 2013 Equity Incentive Plan (the “Plan”).</w:t>
      </w:r>
    </w:p>
    <w:p>
      <w:pPr>
        <w:spacing w:after="0" w:line="198"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rendering the opinion set forth below, we have reviewed: (a) the Registration Statement and the exhibits attached thereto; (b) the Company's Articles of Incorporation, as amended; (c) the Company's Bylaws, as amended; (d) certain records of the Company's corporate proceedings as reflected in its minute books including resolutions of the board of directors approving the Plan; (e) the Plan; and (f) such statutes, records and other documents as we have deemed relevant. In our examination, we have assumed the genuineness of all signatures, the authenticity of all documents submitted to us as originals, and conformity with the originals of all documents submitted to us as copies thereof.</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Based upon the foregoing, we are of the opinion that the Shares have been validly authorized, and when the Registration Statement has become effective under the Act, such Shares will, when issued pursuant to the terms of the Plan, be legally issued, fully paid and non-assessable shares of the Company’s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The Doney Law Firm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387350</wp:posOffset>
            </wp:positionV>
            <wp:extent cx="7625080"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4" w:name="page35"/>
    <w:bookmarkEnd w:id="34"/>
    <w:p>
      <w:pPr>
        <w:spacing w:after="0"/>
        <w:rPr>
          <w:sz w:val="20"/>
          <w:szCs w:val="20"/>
          <w:color w:val="auto"/>
        </w:rPr>
      </w:pPr>
      <w:r>
        <w:rPr>
          <w:rFonts w:ascii="Arial" w:cs="Arial" w:eastAsia="Arial" w:hAnsi="Arial"/>
          <w:sz w:val="19"/>
          <w:szCs w:val="19"/>
          <w:color w:val="auto"/>
        </w:rPr>
        <w:t>OptimizeRx Corp.</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March 12, 2019</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6250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2">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w:t>
      </w:r>
    </w:p>
    <w:p>
      <w:pPr>
        <w:spacing w:after="0" w:line="24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WE HEREBY CONSENT to the inclusion of our name and use of our opinion in connection with the Form S-8 Registration Statement filed with the Securities and Exchange Commission as counsel for the registrant, OptimizeRx Corp.</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The Doney Law Firm</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 Scott Doney</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Scott Doney,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332740</wp:posOffset>
            </wp:positionV>
            <wp:extent cx="7625080"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3">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p>
      <w:pPr>
        <w:sectPr>
          <w:pgSz w:w="12240" w:h="15840" w:orient="portrait"/>
          <w:cols w:equalWidth="0" w:num="1">
            <w:col w:w="12000"/>
          </w:cols>
          <w:pgMar w:left="120" w:top="99" w:right="120" w:bottom="1440" w:gutter="0" w:footer="0" w:header="0"/>
        </w:sectPr>
      </w:pPr>
    </w:p>
    <w:bookmarkStart w:id="35" w:name="page36"/>
    <w:bookmarkEnd w:id="35"/>
    <w:p>
      <w:pPr>
        <w:jc w:val="right"/>
        <w:spacing w:after="0"/>
        <w:rPr>
          <w:sz w:val="20"/>
          <w:szCs w:val="20"/>
          <w:color w:val="auto"/>
        </w:rPr>
      </w:pPr>
      <w:r>
        <w:rPr>
          <w:rFonts w:ascii="Arial" w:cs="Arial" w:eastAsia="Arial" w:hAnsi="Arial"/>
          <w:sz w:val="23"/>
          <w:szCs w:val="23"/>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2065020" cy="10864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4">
                      <a:extLst>
                        <a:ext uri="{28A0092B-C50C-407E-A947-70E740481C1C}"/>
                      </a:extLst>
                    </a:blip>
                    <a:srcRect/>
                    <a:stretch>
                      <a:fillRect/>
                    </a:stretch>
                  </pic:blipFill>
                  <pic:spPr bwMode="auto">
                    <a:xfrm>
                      <a:off x="0" y="0"/>
                      <a:ext cx="2065020" cy="108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Registered with the Public Company</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Accounting Oversight Board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spacing w:after="0" w:line="304" w:lineRule="auto"/>
        <w:rPr>
          <w:sz w:val="20"/>
          <w:szCs w:val="20"/>
          <w:color w:val="auto"/>
        </w:rPr>
      </w:pPr>
      <w:r>
        <w:rPr>
          <w:rFonts w:ascii="Arial" w:cs="Arial" w:eastAsia="Arial" w:hAnsi="Arial"/>
          <w:sz w:val="18"/>
          <w:szCs w:val="18"/>
          <w:color w:val="auto"/>
        </w:rPr>
        <w:t>We hereby consent to the incorporation by reference in this Registration Statement on Form S-8 of our report dated March 12, 2019, with respect to the consolidated financial statements of OptimizeRx Corp. included in its Annual Report (Form 10-K)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255905</wp:posOffset>
            </wp:positionV>
            <wp:extent cx="1865630" cy="3441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5">
                      <a:extLst>
                        <a:ext uri="{28A0092B-C50C-407E-A947-70E740481C1C}"/>
                      </a:extLst>
                    </a:blip>
                    <a:srcRect/>
                    <a:stretch>
                      <a:fillRect/>
                    </a:stretch>
                  </pic:blipFill>
                  <pic:spPr bwMode="auto">
                    <a:xfrm>
                      <a:off x="0" y="0"/>
                      <a:ext cx="1865630" cy="34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SADLER, GIBB AND ASSOCIATES, LLC</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Salt Lake City, Utah</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March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62508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6">
                      <a:extLst>
                        <a:ext uri="{28A0092B-C50C-407E-A947-70E740481C1C}"/>
                      </a:extLst>
                    </a:blip>
                    <a:srcRect/>
                    <a:stretch>
                      <a:fillRect/>
                    </a:stretch>
                  </pic:blipFill>
                  <pic:spPr bwMode="auto">
                    <a:xfrm>
                      <a:off x="0" y="0"/>
                      <a:ext cx="7625080" cy="18415"/>
                    </a:xfrm>
                    <a:prstGeom prst="rect">
                      <a:avLst/>
                    </a:prstGeom>
                    <a:noFill/>
                  </pic:spPr>
                </pic:pic>
              </a:graphicData>
            </a:graphic>
          </wp:anchor>
        </w:drawing>
      </w: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3"/>
    </w:lvl>
  </w:abstractNum>
  <w:abstractNum w:abstractNumId="4">
    <w:nsid w:val="71F32454"/>
    <w:multiLevelType w:val="hybridMultilevel"/>
    <w:lvl w:ilvl="0">
      <w:lvlJc w:val="left"/>
      <w:lvlText w:val="%1)"/>
      <w:numFmt w:val="lowerLetter"/>
      <w:start w:val="1"/>
    </w:lvl>
  </w:abstractNum>
  <w:abstractNum w:abstractNumId="5">
    <w:nsid w:val="2CA88611"/>
    <w:multiLevelType w:val="hybridMultilevel"/>
    <w:lvl w:ilvl="0">
      <w:lvlJc w:val="left"/>
      <w:lvlText w:val="%1)"/>
      <w:numFmt w:val="lowerLetter"/>
      <w:start w:val="1"/>
    </w:lvl>
  </w:abstractNum>
  <w:abstractNum w:abstractNumId="6">
    <w:nsid w:val="836C40E"/>
    <w:multiLevelType w:val="hybridMultilevel"/>
    <w:lvl w:ilvl="0">
      <w:lvlJc w:val="left"/>
      <w:lvlText w:val="1"/>
      <w:numFmt w:val="bullet"/>
      <w:start w:val="1"/>
    </w:lvl>
  </w:abstractNum>
  <w:abstractNum w:abstractNumId="7">
    <w:nsid w:val="2901D82"/>
    <w:multiLevelType w:val="hybridMultilevel"/>
    <w:lvl w:ilvl="0">
      <w:lvlJc w:val="left"/>
      <w:lvlText w:val="2"/>
      <w:numFmt w:val="bullet"/>
      <w:start w:val="1"/>
    </w:lvl>
  </w:abstractNum>
  <w:abstractNum w:abstractNumId="8">
    <w:nsid w:val="3A95F874"/>
    <w:multiLevelType w:val="hybridMultilevel"/>
    <w:lvl w:ilvl="0">
      <w:lvlJc w:val="left"/>
      <w:lvlText w:val="3"/>
      <w:numFmt w:val="bullet"/>
      <w:start w:val="1"/>
    </w:lvl>
  </w:abstractNum>
  <w:abstractNum w:abstractNumId="9">
    <w:nsid w:val="8138641"/>
    <w:multiLevelType w:val="hybridMultilevel"/>
    <w:lvl w:ilvl="0">
      <w:lvlJc w:val="left"/>
      <w:lvlText w:val="4"/>
      <w:numFmt w:val="bullet"/>
      <w:start w:val="1"/>
    </w:lvl>
  </w:abstractNum>
  <w:abstractNum w:abstractNumId="10">
    <w:nsid w:val="1E7FF521"/>
    <w:multiLevelType w:val="hybridMultilevel"/>
    <w:lvl w:ilvl="0">
      <w:lvlJc w:val="left"/>
      <w:lvlText w:val="5"/>
      <w:numFmt w:val="bullet"/>
      <w:start w:val="1"/>
    </w:lvl>
  </w:abstractNum>
  <w:abstractNum w:abstractNumId="11">
    <w:nsid w:val="7C3DBD3D"/>
    <w:multiLevelType w:val="hybridMultilevel"/>
    <w:lvl w:ilvl="0">
      <w:lvlJc w:val="left"/>
      <w:lvlText w:val="6"/>
      <w:numFmt w:val="bullet"/>
      <w:start w:val="1"/>
    </w:lvl>
  </w:abstractNum>
  <w:abstractNum w:abstractNumId="12">
    <w:nsid w:val="737B8DDC"/>
    <w:multiLevelType w:val="hybridMultilevel"/>
    <w:lvl w:ilvl="0">
      <w:lvlJc w:val="left"/>
      <w:lvlText w:val="7"/>
      <w:numFmt w:val="bullet"/>
      <w:start w:val="1"/>
    </w:lvl>
  </w:abstractNum>
  <w:abstractNum w:abstractNumId="13">
    <w:nsid w:val="6CEAF087"/>
    <w:multiLevelType w:val="hybridMultilevel"/>
    <w:lvl w:ilvl="0">
      <w:lvlJc w:val="left"/>
      <w:lvlText w:val="8"/>
      <w:numFmt w:val="bullet"/>
      <w:start w:val="1"/>
    </w:lvl>
  </w:abstractNum>
  <w:abstractNum w:abstractNumId="14">
    <w:nsid w:val="22221A70"/>
    <w:multiLevelType w:val="hybridMultilevel"/>
    <w:lvl w:ilvl="0">
      <w:lvlJc w:val="left"/>
      <w:lvlText w:val="9"/>
      <w:numFmt w:val="bullet"/>
      <w:start w:val="1"/>
    </w:lvl>
  </w:abstractNum>
  <w:abstractNum w:abstractNumId="15">
    <w:nsid w:val="4516DDE9"/>
    <w:multiLevelType w:val="hybridMultilevel"/>
    <w:lvl w:ilvl="0">
      <w:lvlJc w:val="left"/>
      <w:lvlText w:val="%1"/>
      <w:numFmt w:val="decimal"/>
      <w:start w:val="10"/>
    </w:lvl>
  </w:abstractNum>
  <w:abstractNum w:abstractNumId="16">
    <w:nsid w:val="3006C83E"/>
    <w:multiLevelType w:val="hybridMultilevel"/>
    <w:lvl w:ilvl="0">
      <w:lvlJc w:val="left"/>
      <w:lvlText w:val="%1"/>
      <w:numFmt w:val="lowerRoman"/>
      <w:start w:val="1"/>
    </w:lvl>
    <w:lvl w:ilvl="1">
      <w:lvlJc w:val="left"/>
      <w:lvlText w:val="(%2)"/>
      <w:numFmt w:val="decimal"/>
      <w:start w:val="1"/>
    </w:lvl>
  </w:abstractNum>
  <w:abstractNum w:abstractNumId="17">
    <w:nsid w:val="614FD4A1"/>
    <w:multiLevelType w:val="hybridMultilevel"/>
    <w:lvl w:ilvl="0">
      <w:lvlJc w:val="left"/>
      <w:lvlText w:val="(%1)"/>
      <w:numFmt w:val="lowerRoman"/>
      <w:start w:val="1"/>
    </w:lvl>
    <w:lvl w:ilvl="1">
      <w:lvlJc w:val="left"/>
      <w:lvlText w:val="(%2)"/>
      <w:numFmt w:val="decimal"/>
      <w:start w:val="2"/>
    </w:lvl>
  </w:abstractNum>
  <w:abstractNum w:abstractNumId="18">
    <w:nsid w:val="419AC241"/>
    <w:multiLevelType w:val="hybridMultilevel"/>
    <w:lvl w:ilvl="0">
      <w:lvlJc w:val="left"/>
      <w:lvlText w:val="(%1)"/>
      <w:numFmt w:val="lowerRoman"/>
      <w:start w:val="1"/>
    </w:lvl>
    <w:lvl w:ilvl="1">
      <w:lvlJc w:val="left"/>
      <w:lvlText w:val="(%2)"/>
      <w:numFmt w:val="decimal"/>
      <w:start w:val="5"/>
    </w:lvl>
  </w:abstractNum>
  <w:abstractNum w:abstractNumId="19">
    <w:nsid w:val="5577F8E1"/>
    <w:multiLevelType w:val="hybridMultilevel"/>
    <w:lvl w:ilvl="0">
      <w:lvlJc w:val="left"/>
      <w:lvlText w:val="(%1)"/>
      <w:numFmt w:val="lowerRoman"/>
      <w:start w:val="1"/>
    </w:lvl>
  </w:abstractNum>
  <w:abstractNum w:abstractNumId="20">
    <w:nsid w:val="440BADFC"/>
    <w:multiLevelType w:val="hybridMultilevel"/>
    <w:lvl w:ilvl="0">
      <w:lvlJc w:val="left"/>
      <w:lvlText w:val="(%1)"/>
      <w:numFmt w:val="lowerLetter"/>
      <w:start w:val="1"/>
    </w:lvl>
    <w:lvl w:ilvl="1">
      <w:lvlJc w:val="left"/>
      <w:lvlText w:val="(%2)"/>
      <w:numFmt w:val="lowerLetter"/>
      <w:start w:val="9"/>
    </w:lvl>
  </w:abstractNum>
  <w:abstractNum w:abstractNumId="21">
    <w:nsid w:val="5072367"/>
    <w:multiLevelType w:val="hybridMultilevel"/>
    <w:lvl w:ilvl="0">
      <w:lvlJc w:val="left"/>
      <w:lvlText w:val="%1"/>
      <w:numFmt w:val="lowerLetter"/>
      <w:start w:val="1"/>
    </w:lvl>
    <w:lvl w:ilvl="1">
      <w:lvlJc w:val="left"/>
      <w:lvlText w:val="(%2)"/>
      <w:numFmt w:val="lowerRoman"/>
      <w:start w:val="2"/>
    </w:lvl>
  </w:abstractNum>
  <w:abstractNum w:abstractNumId="22">
    <w:nsid w:val="3804823E"/>
    <w:multiLevelType w:val="hybridMultilevel"/>
    <w:lvl w:ilvl="0">
      <w:lvlJc w:val="left"/>
      <w:lvlText w:val="(%1)"/>
      <w:numFmt w:val="lowerLetter"/>
      <w:start w:val="2"/>
    </w:lvl>
    <w:lvl w:ilvl="1">
      <w:lvlJc w:val="left"/>
      <w:lvlText w:val="%2"/>
      <w:numFmt w:val="lowerRoman"/>
      <w:start w:val="1"/>
    </w:lvl>
  </w:abstractNum>
  <w:abstractNum w:abstractNumId="23">
    <w:nsid w:val="77465F01"/>
    <w:multiLevelType w:val="hybridMultilevel"/>
    <w:lvl w:ilvl="0">
      <w:lvlJc w:val="left"/>
      <w:lvlText w:val="(%1)"/>
      <w:numFmt w:val="lowerLetter"/>
      <w:start w:val="1"/>
    </w:lvl>
    <w:lvl w:ilvl="1">
      <w:lvlJc w:val="left"/>
      <w:lvlText w:val="(%2)"/>
      <w:numFmt w:val="lowerRoman"/>
      <w:start w:val="1"/>
    </w:lvl>
  </w:abstractNum>
  <w:abstractNum w:abstractNumId="24">
    <w:nsid w:val="7724C67E"/>
    <w:multiLevelType w:val="hybridMultilevel"/>
    <w:lvl w:ilvl="0">
      <w:lvlJc w:val="left"/>
      <w:lvlText w:val="(%1)"/>
      <w:numFmt w:val="lowerLetter"/>
      <w:start w:val="2"/>
    </w:lvl>
  </w:abstractNum>
  <w:abstractNum w:abstractNumId="25">
    <w:nsid w:val="5C482A97"/>
    <w:multiLevelType w:val="hybridMultilevel"/>
    <w:lvl w:ilvl="0">
      <w:lvlJc w:val="left"/>
      <w:lvlText w:val="(%1)"/>
      <w:numFmt w:val="lowerLetter"/>
      <w:start w:val="1"/>
    </w:lvl>
  </w:abstractNum>
  <w:abstractNum w:abstractNumId="26">
    <w:nsid w:val="2463B9EA"/>
    <w:multiLevelType w:val="hybridMultilevel"/>
    <w:lvl w:ilvl="0">
      <w:lvlJc w:val="left"/>
      <w:lvlText w:val="(%1)"/>
      <w:numFmt w:val="lowerLetter"/>
      <w:start w:val="1"/>
    </w:lvl>
  </w:abstractNum>
  <w:abstractNum w:abstractNumId="27">
    <w:nsid w:val="5E884ADC"/>
    <w:multiLevelType w:val="hybridMultilevel"/>
    <w:lvl w:ilvl="0">
      <w:lvlJc w:val="left"/>
      <w:lvlText w:val="(%1)"/>
      <w:numFmt w:val="lowerLetter"/>
      <w:start w:val="1"/>
    </w:lvl>
  </w:abstractNum>
  <w:abstractNum w:abstractNumId="28">
    <w:nsid w:val="51EAD36B"/>
    <w:multiLevelType w:val="hybridMultilevel"/>
    <w:lvl w:ilvl="0">
      <w:lvlJc w:val="left"/>
      <w:lvlText w:val="(%1)"/>
      <w:numFmt w:val="lowerRoman"/>
      <w:start w:val="1"/>
    </w:lvl>
  </w:abstractNum>
  <w:abstractNum w:abstractNumId="29">
    <w:nsid w:val="2D517796"/>
    <w:multiLevelType w:val="hybridMultilevel"/>
    <w:lvl w:ilvl="0">
      <w:lvlJc w:val="left"/>
      <w:lvlText w:val="(%1)"/>
      <w:numFmt w:val="lowerLetter"/>
      <w:start w:val="3"/>
    </w:lvl>
  </w:abstractNum>
  <w:abstractNum w:abstractNumId="30">
    <w:nsid w:val="580BD78F"/>
    <w:multiLevelType w:val="hybridMultilevel"/>
    <w:lvl w:ilvl="0">
      <w:lvlJc w:val="left"/>
      <w:lvlText w:val="(%1)"/>
      <w:numFmt w:val="lowerLetter"/>
      <w:start w:val="1"/>
    </w:lvl>
  </w:abstractNum>
  <w:abstractNum w:abstractNumId="31">
    <w:nsid w:val="153EA438"/>
    <w:multiLevelType w:val="hybridMultilevel"/>
    <w:lvl w:ilvl="0">
      <w:lvlJc w:val="left"/>
      <w:lvlText w:val="(%1)"/>
      <w:numFmt w:val="lowerLetter"/>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Roman"/>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lowerRoman"/>
      <w:start w:val="2"/>
    </w:lvl>
  </w:abstractNum>
  <w:abstractNum w:abstractNumId="36">
    <w:nsid w:val="1D4ED43B"/>
    <w:multiLevelType w:val="hybridMultilevel"/>
    <w:lvl w:ilvl="0">
      <w:lvlJc w:val="left"/>
      <w:lvlText w:val="(%1)"/>
      <w:numFmt w:val="lowerLetter"/>
      <w:start w:val="1"/>
    </w:lvl>
  </w:abstractNum>
  <w:abstractNum w:abstractNumId="37">
    <w:nsid w:val="725A06FB"/>
    <w:multiLevelType w:val="hybridMultilevel"/>
    <w:lvl w:ilvl="0">
      <w:lvlJc w:val="left"/>
      <w:lvlText w:val="(%1)"/>
      <w:numFmt w:val="lowerLetter"/>
      <w:start w:val="2"/>
    </w:lvl>
    <w:lvl w:ilvl="1">
      <w:lvlJc w:val="left"/>
      <w:lvlText w:val="(%2)"/>
      <w:numFmt w:val="lowerRoman"/>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Roman"/>
      <w:start w:val="1"/>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Letter"/>
      <w:start w:val="1"/>
    </w:lvl>
    <w:lvl w:ilvl="1">
      <w:lvlJc w:val="left"/>
      <w:lvlText w:val="(%2)"/>
      <w:numFmt w:val="lowerRoman"/>
      <w:start w:val="1"/>
    </w:lvl>
  </w:abstractNum>
  <w:abstractNum w:abstractNumId="45">
    <w:nsid w:val="7644A45C"/>
    <w:multiLevelType w:val="hybridMultilevel"/>
    <w:lvl w:ilvl="0">
      <w:lvlJc w:val="left"/>
      <w:lvlText w:val="(%1)"/>
      <w:numFmt w:val="lowerRoman"/>
      <w:start w:val="3"/>
    </w:lvl>
  </w:abstractNum>
  <w:abstractNum w:abstractNumId="46">
    <w:nsid w:val="32FFF902"/>
    <w:multiLevelType w:val="hybridMultilevel"/>
    <w:lvl w:ilvl="0">
      <w:lvlJc w:val="left"/>
      <w:lvlText w:val="(%1)"/>
      <w:numFmt w:val="lowerLetter"/>
      <w:start w:val="2"/>
    </w:lvl>
  </w:abstractNum>
  <w:abstractNum w:abstractNumId="47">
    <w:nsid w:val="684A481A"/>
    <w:multiLevelType w:val="hybridMultilevel"/>
    <w:lvl w:ilvl="0">
      <w:lvlJc w:val="left"/>
      <w:lvlText w:val="(%1)"/>
      <w:numFmt w:val="lowerLetter"/>
      <w:start w:val="1"/>
    </w:lvl>
    <w:lvl w:ilvl="1">
      <w:lvlJc w:val="left"/>
      <w:lvlText w:val="(%2)"/>
      <w:numFmt w:val="lowerRoman"/>
      <w:start w:val="1"/>
    </w:lvl>
  </w:abstractNum>
  <w:abstractNum w:abstractNumId="48">
    <w:nsid w:val="579478FE"/>
    <w:multiLevelType w:val="hybridMultilevel"/>
    <w:lvl w:ilvl="0">
      <w:lvlJc w:val="left"/>
      <w:lvlText w:val="(%1)"/>
      <w:numFmt w:val="lowerRoman"/>
      <w:start w:val="3"/>
    </w:lvl>
  </w:abstractNum>
  <w:abstractNum w:abstractNumId="49">
    <w:nsid w:val="749ABB4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3" Type="http://schemas.openxmlformats.org/officeDocument/2006/relationships/image" Target="media/image13.png"/><Relationship Id="rId26" Type="http://schemas.openxmlformats.org/officeDocument/2006/relationships/image" Target="media/image14.png"/><Relationship Id="rId28" Type="http://schemas.openxmlformats.org/officeDocument/2006/relationships/image" Target="media/image15.png"/><Relationship Id="rId30" Type="http://schemas.openxmlformats.org/officeDocument/2006/relationships/image" Target="media/image16.png"/><Relationship Id="rId33" Type="http://schemas.openxmlformats.org/officeDocument/2006/relationships/image" Target="media/image17.png"/><Relationship Id="rId36" Type="http://schemas.openxmlformats.org/officeDocument/2006/relationships/image" Target="media/image18.png"/><Relationship Id="rId39"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jpe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jpeg"/><Relationship Id="rId75" Type="http://schemas.openxmlformats.org/officeDocument/2006/relationships/image" Target="media/image53.jpeg"/><Relationship Id="rId76" Type="http://schemas.openxmlformats.org/officeDocument/2006/relationships/image" Target="media/image54.png"/><Relationship Id="rId19" Type="http://schemas.openxmlformats.org/officeDocument/2006/relationships/hyperlink" Target="http://www.sec.gov/Archives/edgar/data/1448431/000136110608000414/optimizerx_s1-ex0301.htm" TargetMode="External"/><Relationship Id="rId20" Type="http://schemas.openxmlformats.org/officeDocument/2006/relationships/hyperlink" Target="http://www.sec.gov/Archives/edgar/data/1448431/000125529410000605/ex3_1.htm" TargetMode="External"/><Relationship Id="rId22" Type="http://schemas.openxmlformats.org/officeDocument/2006/relationships/hyperlink" Target="http://www.sec.gov/Archives/edgar/data/1448431/000125529410000492/ex4_1.htm" TargetMode="External"/><Relationship Id="rId24" Type="http://schemas.openxmlformats.org/officeDocument/2006/relationships/hyperlink" Target="http://www.sec.gov/Archives/edgar/data/1448431/000121390019003962/f10k2018ex3-5_optimizerx.htm" TargetMode="External"/><Relationship Id="rId25" Type="http://schemas.openxmlformats.org/officeDocument/2006/relationships/hyperlink" Target="http://www.sec.gov/Archives/edgar/data/1448431/000121390019003962/f10k2018ex3-6_optimizerx.htm" TargetMode="External"/><Relationship Id="rId27" Type="http://schemas.openxmlformats.org/officeDocument/2006/relationships/hyperlink" Target="http://www.sec.gov/Archives/edgar/data/1448431/000121390016013077/f10q0316ex10i_optimizerx.htm" TargetMode="External"/><Relationship Id="rId29" Type="http://schemas.openxmlformats.org/officeDocument/2006/relationships/hyperlink" Target="http://www.sec.gov/Archives/edgar/data/1448431/000121390018012576/f8k091218ex10-2_optimizerx.htm" TargetMode="External"/><Relationship Id="rId31" Type="http://schemas.openxmlformats.org/officeDocument/2006/relationships/hyperlink" Target="http://www.sec.gov/Archives/edgar/data/1448431/000121390018005414/f10q0318ex10-1_optimizerx.htm" TargetMode="External"/><Relationship Id="rId32" Type="http://schemas.openxmlformats.org/officeDocument/2006/relationships/hyperlink" Target="http://www.sec.gov/Archives/edgar/data/1448431/000121390018005414/f10q0318ex10-2_optimizerx.htm" TargetMode="External"/><Relationship Id="rId34" Type="http://schemas.openxmlformats.org/officeDocument/2006/relationships/hyperlink" Target="http://www.sec.gov/Archives/edgar/data/1448431/000121390018014013/f8k101718ex2-1_optimizerx.htm" TargetMode="External"/><Relationship Id="rId35" Type="http://schemas.openxmlformats.org/officeDocument/2006/relationships/hyperlink" Target="http://www.sec.gov/Archives/edgar/data/1448431/000121390019001955/f8k020719ex10-1_optimizerx.htm" TargetMode="External"/><Relationship Id="rId37" Type="http://schemas.openxmlformats.org/officeDocument/2006/relationships/hyperlink" Target="http://www.sec.gov/Archives/edgar/data/1448431/000121390019001955/f8k020719ex10-2_optimizerx.htm" TargetMode="External"/><Relationship Id="rId38" Type="http://schemas.openxmlformats.org/officeDocument/2006/relationships/hyperlink" Target="http://www.sec.gov/Archives/edgar/data/1448431/000121390019003159/f8k022519ex10-1_optimizerx.htm" TargetMode="External"/><Relationship Id="rId40" Type="http://schemas.openxmlformats.org/officeDocument/2006/relationships/hyperlink" Target="http://www.sec.gov/Archives/edgar/data/1448431/000121390018002722/f10k2017ex14-1_optimizerx.htm" TargetMode="External"/><Relationship Id="rId41" Type="http://schemas.openxmlformats.org/officeDocument/2006/relationships/hyperlink" Target="http://www.sec.gov/Archives/edgar/data/1448431/000121390019003962/f10k2018ex21-1_optimizer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2019-11-24T15:50:50Z</dcterms:created>
  <dcterms:modified xsi:type="dcterms:W3CDTF">2019-11-24T15:50:50Z</dcterms:modified>
</cp:coreProperties>
</file>