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300" w:type="dxa"/>
            <w:vAlign w:val="bottom"/>
            <w:gridSpan w:val="6"/>
          </w:tcPr>
          <w:p>
            <w:pPr>
              <w:jc w:val="center"/>
              <w:ind w:right="1500"/>
              <w:spacing w:after="0"/>
              <w:rPr>
                <w:sz w:val="20"/>
                <w:szCs w:val="20"/>
                <w:color w:val="auto"/>
              </w:rPr>
            </w:pPr>
            <w:r>
              <w:rPr>
                <w:rFonts w:ascii="Arial" w:cs="Arial" w:eastAsia="Arial" w:hAnsi="Arial"/>
                <w:sz w:val="18"/>
                <w:szCs w:val="18"/>
                <w:b w:val="1"/>
                <w:bCs w:val="1"/>
                <w:color w:val="auto"/>
              </w:rPr>
              <w:t>FORM 8-K</w:t>
            </w:r>
          </w:p>
        </w:tc>
        <w:tc>
          <w:tcPr>
            <w:tcW w:w="3300" w:type="dxa"/>
            <w:vAlign w:val="bottom"/>
          </w:tcPr>
          <w:p>
            <w:pPr>
              <w:spacing w:after="0"/>
              <w:rPr>
                <w:sz w:val="20"/>
                <w:szCs w:val="20"/>
                <w:color w:val="auto"/>
              </w:rPr>
            </w:pPr>
          </w:p>
        </w:tc>
      </w:tr>
      <w:tr>
        <w:trPr>
          <w:trHeight w:val="414"/>
        </w:trPr>
        <w:tc>
          <w:tcPr>
            <w:tcW w:w="3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00" w:type="dxa"/>
            <w:vAlign w:val="bottom"/>
            <w:gridSpan w:val="6"/>
          </w:tcPr>
          <w:p>
            <w:pPr>
              <w:jc w:val="center"/>
              <w:ind w:right="1500"/>
              <w:spacing w:after="0"/>
              <w:rPr>
                <w:sz w:val="20"/>
                <w:szCs w:val="20"/>
                <w:color w:val="auto"/>
              </w:rPr>
            </w:pPr>
            <w:r>
              <w:rPr>
                <w:rFonts w:ascii="Arial" w:cs="Arial" w:eastAsia="Arial" w:hAnsi="Arial"/>
                <w:sz w:val="18"/>
                <w:szCs w:val="18"/>
                <w:b w:val="1"/>
                <w:bCs w:val="1"/>
                <w:color w:val="auto"/>
                <w:w w:val="99"/>
              </w:rPr>
              <w:t>CURRENT REPORT</w:t>
            </w:r>
          </w:p>
        </w:tc>
        <w:tc>
          <w:tcPr>
            <w:tcW w:w="3300" w:type="dxa"/>
            <w:vAlign w:val="bottom"/>
          </w:tcPr>
          <w:p>
            <w:pPr>
              <w:spacing w:after="0"/>
              <w:rPr>
                <w:sz w:val="24"/>
                <w:szCs w:val="24"/>
                <w:color w:val="auto"/>
              </w:rPr>
            </w:pPr>
          </w:p>
        </w:tc>
      </w:tr>
      <w:tr>
        <w:trPr>
          <w:trHeight w:val="216"/>
        </w:trPr>
        <w:tc>
          <w:tcPr>
            <w:tcW w:w="3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20" w:type="dxa"/>
            <w:vAlign w:val="bottom"/>
            <w:gridSpan w:val="7"/>
          </w:tcPr>
          <w:p>
            <w:pPr>
              <w:jc w:val="center"/>
              <w:ind w:right="600"/>
              <w:spacing w:after="0"/>
              <w:rPr>
                <w:sz w:val="20"/>
                <w:szCs w:val="20"/>
                <w:color w:val="auto"/>
              </w:rPr>
            </w:pPr>
            <w:r>
              <w:rPr>
                <w:rFonts w:ascii="Arial" w:cs="Arial" w:eastAsia="Arial" w:hAnsi="Arial"/>
                <w:sz w:val="18"/>
                <w:szCs w:val="18"/>
                <w:b w:val="1"/>
                <w:bCs w:val="1"/>
                <w:color w:val="auto"/>
                <w:w w:val="97"/>
              </w:rPr>
              <w:t>PURSUANT TO SECTION 13 OR 15(d) OF</w:t>
            </w:r>
          </w:p>
        </w:tc>
        <w:tc>
          <w:tcPr>
            <w:tcW w:w="3300" w:type="dxa"/>
            <w:vAlign w:val="bottom"/>
          </w:tcPr>
          <w:p>
            <w:pPr>
              <w:spacing w:after="0"/>
              <w:rPr>
                <w:sz w:val="18"/>
                <w:szCs w:val="18"/>
                <w:color w:val="auto"/>
              </w:rPr>
            </w:pPr>
          </w:p>
        </w:tc>
      </w:tr>
      <w:tr>
        <w:trPr>
          <w:trHeight w:val="234"/>
        </w:trPr>
        <w:tc>
          <w:tcPr>
            <w:tcW w:w="3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6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300" w:type="dxa"/>
            <w:vAlign w:val="bottom"/>
          </w:tcPr>
          <w:p>
            <w:pPr>
              <w:spacing w:after="0"/>
              <w:rPr>
                <w:sz w:val="20"/>
                <w:szCs w:val="20"/>
                <w:color w:val="auto"/>
              </w:rPr>
            </w:pPr>
          </w:p>
        </w:tc>
      </w:tr>
      <w:tr>
        <w:trPr>
          <w:trHeight w:val="432"/>
        </w:trPr>
        <w:tc>
          <w:tcPr>
            <w:tcW w:w="3100" w:type="dxa"/>
            <w:vAlign w:val="bottom"/>
          </w:tcPr>
          <w:p>
            <w:pPr>
              <w:spacing w:after="0"/>
              <w:rPr>
                <w:sz w:val="24"/>
                <w:szCs w:val="24"/>
                <w:color w:val="auto"/>
              </w:rPr>
            </w:pPr>
          </w:p>
        </w:tc>
        <w:tc>
          <w:tcPr>
            <w:tcW w:w="5020" w:type="dxa"/>
            <w:vAlign w:val="bottom"/>
            <w:gridSpan w:val="9"/>
          </w:tcPr>
          <w:p>
            <w:pPr>
              <w:jc w:val="center"/>
              <w:ind w:left="110"/>
              <w:spacing w:after="0"/>
              <w:rPr>
                <w:sz w:val="20"/>
                <w:szCs w:val="20"/>
                <w:color w:val="auto"/>
              </w:rPr>
            </w:pPr>
            <w:r>
              <w:rPr>
                <w:rFonts w:ascii="Arial" w:cs="Arial" w:eastAsia="Arial" w:hAnsi="Arial"/>
                <w:sz w:val="18"/>
                <w:szCs w:val="18"/>
                <w:color w:val="auto"/>
                <w:w w:val="91"/>
              </w:rPr>
              <w:t>Date of Report (Date of earliest event reported): August 7, 2018</w:t>
            </w:r>
          </w:p>
        </w:tc>
        <w:tc>
          <w:tcPr>
            <w:tcW w:w="3300" w:type="dxa"/>
            <w:vAlign w:val="bottom"/>
          </w:tcPr>
          <w:p>
            <w:pPr>
              <w:spacing w:after="0"/>
              <w:rPr>
                <w:sz w:val="24"/>
                <w:szCs w:val="24"/>
                <w:color w:val="auto"/>
              </w:rPr>
            </w:pPr>
          </w:p>
        </w:tc>
      </w:tr>
      <w:tr>
        <w:trPr>
          <w:trHeight w:val="392"/>
        </w:trPr>
        <w:tc>
          <w:tcPr>
            <w:tcW w:w="3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500" w:type="dxa"/>
            <w:vAlign w:val="bottom"/>
            <w:gridSpan w:val="3"/>
          </w:tcPr>
          <w:p>
            <w:pPr>
              <w:spacing w:after="0"/>
              <w:rPr>
                <w:sz w:val="24"/>
                <w:szCs w:val="24"/>
                <w:color w:val="auto"/>
              </w:rPr>
            </w:pPr>
          </w:p>
        </w:tc>
        <w:tc>
          <w:tcPr>
            <w:tcW w:w="3300" w:type="dxa"/>
            <w:vAlign w:val="bottom"/>
          </w:tcPr>
          <w:p>
            <w:pPr>
              <w:spacing w:after="0"/>
              <w:rPr>
                <w:sz w:val="24"/>
                <w:szCs w:val="24"/>
                <w:color w:val="auto"/>
              </w:rPr>
            </w:pPr>
          </w:p>
        </w:tc>
      </w:tr>
      <w:tr>
        <w:trPr>
          <w:trHeight w:val="237"/>
        </w:trPr>
        <w:tc>
          <w:tcPr>
            <w:tcW w:w="3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60" w:type="dxa"/>
            <w:vAlign w:val="bottom"/>
            <w:gridSpan w:val="8"/>
          </w:tcPr>
          <w:p>
            <w:pPr>
              <w:jc w:val="center"/>
              <w:ind w:right="340"/>
              <w:spacing w:after="0"/>
              <w:rPr>
                <w:sz w:val="20"/>
                <w:szCs w:val="20"/>
                <w:color w:val="auto"/>
              </w:rPr>
            </w:pPr>
            <w:r>
              <w:rPr>
                <w:rFonts w:ascii="Arial" w:cs="Arial" w:eastAsia="Arial" w:hAnsi="Arial"/>
                <w:sz w:val="18"/>
                <w:szCs w:val="18"/>
                <w:color w:val="auto"/>
                <w:w w:val="90"/>
              </w:rPr>
              <w:t>(Exact name of registrant as specified in its charter)</w:t>
            </w:r>
          </w:p>
        </w:tc>
        <w:tc>
          <w:tcPr>
            <w:tcW w:w="3300" w:type="dxa"/>
            <w:vAlign w:val="bottom"/>
          </w:tcPr>
          <w:p>
            <w:pPr>
              <w:spacing w:after="0"/>
              <w:rPr>
                <w:sz w:val="20"/>
                <w:szCs w:val="20"/>
                <w:color w:val="auto"/>
              </w:rPr>
            </w:pPr>
          </w:p>
        </w:tc>
      </w:tr>
      <w:tr>
        <w:trPr>
          <w:trHeight w:val="453"/>
        </w:trPr>
        <w:tc>
          <w:tcPr>
            <w:tcW w:w="3100" w:type="dxa"/>
            <w:vAlign w:val="bottom"/>
          </w:tcPr>
          <w:p>
            <w:pPr>
              <w:jc w:val="center"/>
              <w:ind w:left="490"/>
              <w:spacing w:after="0"/>
              <w:rPr>
                <w:sz w:val="20"/>
                <w:szCs w:val="20"/>
                <w:color w:val="auto"/>
              </w:rPr>
            </w:pPr>
            <w:r>
              <w:rPr>
                <w:rFonts w:ascii="Arial" w:cs="Arial" w:eastAsia="Arial" w:hAnsi="Arial"/>
                <w:sz w:val="18"/>
                <w:szCs w:val="18"/>
                <w:color w:val="auto"/>
                <w:w w:val="90"/>
              </w:rPr>
              <w:t>Nevada</w:t>
            </w:r>
          </w:p>
        </w:tc>
        <w:tc>
          <w:tcPr>
            <w:tcW w:w="3520" w:type="dxa"/>
            <w:vAlign w:val="bottom"/>
            <w:gridSpan w:val="6"/>
          </w:tcPr>
          <w:p>
            <w:pPr>
              <w:jc w:val="center"/>
              <w:ind w:left="165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00" w:type="dxa"/>
            <w:vAlign w:val="bottom"/>
          </w:tcPr>
          <w:p>
            <w:pPr>
              <w:jc w:val="center"/>
              <w:ind w:right="250"/>
              <w:spacing w:after="0"/>
              <w:rPr>
                <w:sz w:val="20"/>
                <w:szCs w:val="20"/>
                <w:color w:val="auto"/>
              </w:rPr>
            </w:pPr>
            <w:r>
              <w:rPr>
                <w:rFonts w:ascii="Arial" w:cs="Arial" w:eastAsia="Arial" w:hAnsi="Arial"/>
                <w:sz w:val="18"/>
                <w:szCs w:val="18"/>
                <w:color w:val="auto"/>
                <w:w w:val="91"/>
              </w:rPr>
              <w:t>26-1265381</w:t>
            </w:r>
          </w:p>
        </w:tc>
      </w:tr>
      <w:tr>
        <w:trPr>
          <w:trHeight w:val="202"/>
        </w:trPr>
        <w:tc>
          <w:tcPr>
            <w:tcW w:w="3100" w:type="dxa"/>
            <w:vAlign w:val="bottom"/>
            <w:tcBorders>
              <w:top w:val="single" w:sz="8" w:color="auto"/>
            </w:tcBorders>
          </w:tcPr>
          <w:p>
            <w:pPr>
              <w:jc w:val="center"/>
              <w:ind w:left="490"/>
              <w:spacing w:after="0" w:line="201" w:lineRule="exact"/>
              <w:rPr>
                <w:sz w:val="20"/>
                <w:szCs w:val="20"/>
                <w:color w:val="auto"/>
              </w:rPr>
            </w:pPr>
            <w:r>
              <w:rPr>
                <w:rFonts w:ascii="Arial" w:cs="Arial" w:eastAsia="Arial" w:hAnsi="Arial"/>
                <w:sz w:val="18"/>
                <w:szCs w:val="18"/>
                <w:color w:val="auto"/>
                <w:w w:val="91"/>
              </w:rPr>
              <w:t>(State or other jurisdiction</w:t>
            </w:r>
          </w:p>
        </w:tc>
        <w:tc>
          <w:tcPr>
            <w:tcW w:w="5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300" w:type="dxa"/>
            <w:vAlign w:val="bottom"/>
            <w:tcBorders>
              <w:top w:val="single" w:sz="8" w:color="auto"/>
            </w:tcBorders>
          </w:tcPr>
          <w:p>
            <w:pPr>
              <w:jc w:val="center"/>
              <w:ind w:right="25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100" w:type="dxa"/>
            <w:vAlign w:val="bottom"/>
          </w:tcPr>
          <w:p>
            <w:pPr>
              <w:jc w:val="center"/>
              <w:ind w:left="490"/>
              <w:spacing w:after="0"/>
              <w:rPr>
                <w:sz w:val="20"/>
                <w:szCs w:val="20"/>
                <w:color w:val="auto"/>
              </w:rPr>
            </w:pPr>
            <w:r>
              <w:rPr>
                <w:rFonts w:ascii="Arial" w:cs="Arial" w:eastAsia="Arial" w:hAnsi="Arial"/>
                <w:sz w:val="18"/>
                <w:szCs w:val="18"/>
                <w:color w:val="auto"/>
                <w:w w:val="95"/>
              </w:rPr>
              <w:t>of incorporation)</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00" w:type="dxa"/>
            <w:vAlign w:val="bottom"/>
          </w:tcPr>
          <w:p>
            <w:pPr>
              <w:jc w:val="center"/>
              <w:ind w:right="27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120" w:type="dxa"/>
            <w:vAlign w:val="bottom"/>
            <w:gridSpan w:val="10"/>
          </w:tcPr>
          <w:p>
            <w:pPr>
              <w:jc w:val="center"/>
              <w:ind w:right="2500"/>
              <w:spacing w:after="0"/>
              <w:rPr>
                <w:sz w:val="20"/>
                <w:szCs w:val="20"/>
                <w:color w:val="auto"/>
              </w:rPr>
            </w:pPr>
            <w:r>
              <w:rPr>
                <w:rFonts w:ascii="Arial" w:cs="Arial" w:eastAsia="Arial" w:hAnsi="Arial"/>
                <w:sz w:val="18"/>
                <w:szCs w:val="18"/>
                <w:color w:val="auto"/>
                <w:w w:val="90"/>
              </w:rPr>
              <w:t>400 Water Street, Suite 200, Rochester, MI</w:t>
            </w:r>
          </w:p>
        </w:tc>
        <w:tc>
          <w:tcPr>
            <w:tcW w:w="330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gridSpan w:val="3"/>
          </w:tcPr>
          <w:p>
            <w:pPr>
              <w:spacing w:after="0"/>
              <w:rPr>
                <w:sz w:val="20"/>
                <w:szCs w:val="20"/>
                <w:color w:val="auto"/>
              </w:rPr>
            </w:pPr>
          </w:p>
        </w:tc>
        <w:tc>
          <w:tcPr>
            <w:tcW w:w="3300" w:type="dxa"/>
            <w:vAlign w:val="bottom"/>
            <w:tcBorders>
              <w:top w:val="single" w:sz="8" w:color="auto"/>
            </w:tcBorders>
          </w:tcPr>
          <w:p>
            <w:pPr>
              <w:jc w:val="center"/>
              <w:ind w:right="221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289560</wp:posOffset>
            </wp:positionV>
            <wp:extent cx="43478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August 7, 2018, we issued a press release announcing the results of operations for the quarter ended June 30, 2018. The press release is furnished with this Current Report on Form 8-K as Exhibit 99.1.</w:t>
      </w:r>
    </w:p>
    <w:p>
      <w:pPr>
        <w:spacing w:after="0" w:line="17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4" w:lineRule="exact"/>
        <w:rPr>
          <w:sz w:val="20"/>
          <w:szCs w:val="20"/>
          <w:color w:val="auto"/>
        </w:rPr>
      </w:pPr>
    </w:p>
    <w:p>
      <w:pPr>
        <w:spacing w:after="0"/>
        <w:tabs>
          <w:tab w:leader="none" w:pos="12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August 7, 2018</w:t>
        </w:r>
      </w:hyperlink>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2018</w:t>
      </w:r>
    </w:p>
    <w:p>
      <w:pPr>
        <w:spacing w:after="0" w:line="200" w:lineRule="exact"/>
        <w:rPr>
          <w:sz w:val="20"/>
          <w:szCs w:val="20"/>
          <w:color w:val="auto"/>
        </w:rPr>
      </w:pPr>
    </w:p>
    <w:p>
      <w:pPr>
        <w:spacing w:after="0" w:line="2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90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154940</wp:posOffset>
            </wp:positionV>
            <wp:extent cx="2152650" cy="428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265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Reports Second Quarter 2018 Results; Net Revenue Up 78% to Record $5.1 Million, Driving $0.02 EPS</w:t>
      </w:r>
    </w:p>
    <w:p>
      <w:pPr>
        <w:spacing w:after="0" w:line="225" w:lineRule="exact"/>
        <w:rPr>
          <w:sz w:val="20"/>
          <w:szCs w:val="20"/>
          <w:color w:val="auto"/>
        </w:rPr>
      </w:pPr>
    </w:p>
    <w:p>
      <w:pPr>
        <w:ind w:right="20"/>
        <w:spacing w:after="0" w:line="313" w:lineRule="auto"/>
        <w:rPr>
          <w:sz w:val="20"/>
          <w:szCs w:val="20"/>
          <w:color w:val="auto"/>
        </w:rPr>
      </w:pPr>
      <w:r>
        <w:rPr>
          <w:rFonts w:ascii="Arial" w:cs="Arial" w:eastAsia="Arial" w:hAnsi="Arial"/>
          <w:sz w:val="17"/>
          <w:szCs w:val="17"/>
          <w:b w:val="1"/>
          <w:bCs w:val="1"/>
          <w:color w:val="auto"/>
        </w:rPr>
        <w:t xml:space="preserve">ROCHESTER, Mich., August 7, 2018 — </w:t>
      </w:r>
      <w:r>
        <w:rPr>
          <w:rFonts w:ascii="Arial" w:cs="Arial" w:eastAsia="Arial" w:hAnsi="Arial"/>
          <w:sz w:val="17"/>
          <w:szCs w:val="17"/>
          <w:u w:val="single" w:color="auto"/>
          <w:color w:val="auto"/>
        </w:rPr>
        <w:t>OptimizeRx Corp.</w:t>
      </w:r>
      <w:r>
        <w:rPr>
          <w:rFonts w:ascii="Arial" w:cs="Arial" w:eastAsia="Arial" w:hAnsi="Arial"/>
          <w:sz w:val="17"/>
          <w:szCs w:val="17"/>
          <w:b w:val="1"/>
          <w:bCs w:val="1"/>
          <w:color w:val="auto"/>
        </w:rPr>
        <w:t xml:space="preserve"> </w:t>
      </w:r>
      <w:r>
        <w:rPr>
          <w:rFonts w:ascii="Arial" w:cs="Arial" w:eastAsia="Arial" w:hAnsi="Arial"/>
          <w:sz w:val="17"/>
          <w:szCs w:val="17"/>
          <w:color w:val="auto"/>
        </w:rPr>
        <w:t>(OTCQB: OPRX), a leading global provider of digital health messaging for the pharmaceutical</w:t>
      </w:r>
      <w:r>
        <w:rPr>
          <w:rFonts w:ascii="Arial" w:cs="Arial" w:eastAsia="Arial" w:hAnsi="Arial"/>
          <w:sz w:val="17"/>
          <w:szCs w:val="17"/>
          <w:b w:val="1"/>
          <w:bCs w:val="1"/>
          <w:color w:val="auto"/>
        </w:rPr>
        <w:t xml:space="preserve"> </w:t>
      </w:r>
      <w:r>
        <w:rPr>
          <w:rFonts w:ascii="Arial" w:cs="Arial" w:eastAsia="Arial" w:hAnsi="Arial"/>
          <w:sz w:val="17"/>
          <w:szCs w:val="17"/>
          <w:color w:val="auto"/>
        </w:rPr>
        <w:t>industry, reported results for the second quarter ended June 30, 2018. Quarterly comparisons are to the same year-ago quarter.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29"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revenue increased 78% to a record $5.1 million.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margin improved from 44.0% to 56.1%.</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expense as a percentage of net revenue reduced from 57% to 51%.</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income of $281,000 or $0.02 per diluted share vs. a loss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Raised $9 million in private placement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Highlights</w:t>
      </w:r>
    </w:p>
    <w:p>
      <w:pPr>
        <w:spacing w:after="0" w:line="229"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Up-listed to the Nasdaq Capital Market</w:t>
      </w:r>
    </w:p>
    <w:p>
      <w:pPr>
        <w:spacing w:after="0" w:line="225" w:lineRule="exact"/>
        <w:rPr>
          <w:rFonts w:ascii="Arial" w:cs="Arial" w:eastAsia="Arial" w:hAnsi="Arial"/>
          <w:sz w:val="18"/>
          <w:szCs w:val="18"/>
          <w:color w:val="auto"/>
        </w:rPr>
      </w:pPr>
    </w:p>
    <w:p>
      <w:pPr>
        <w:ind w:left="340" w:right="36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Signed new pharmaceutical manufacturer brands for distributing digital health messaging through OptimizeRx’s expanding network of EHR channel partners.</w:t>
      </w:r>
    </w:p>
    <w:p>
      <w:pPr>
        <w:spacing w:after="0" w:line="170" w:lineRule="exact"/>
        <w:rPr>
          <w:rFonts w:ascii="Arial" w:cs="Arial" w:eastAsia="Arial" w:hAnsi="Arial"/>
          <w:sz w:val="18"/>
          <w:szCs w:val="18"/>
          <w:color w:val="auto"/>
        </w:rPr>
      </w:pPr>
    </w:p>
    <w:p>
      <w:pPr>
        <w:ind w:left="340" w:right="22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Partnered with Patient Connect to deliver real-time digital heath messaging at point-of-care across Europe and provide a broader solution set for global brands.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Net revenue in the second quarter of 2018 increased 78% to a record $5.1 million versus $2.9 million in the same year-ago quarter. The increase was primarily due to growth in OptimizeRx’s two core products of financial and brand messaging, coupled with broader distribution through the company’s new channel partners. The launch of new pharmaceutical brands also contributed to the increase.</w:t>
      </w:r>
    </w:p>
    <w:p>
      <w:pPr>
        <w:spacing w:after="0" w:line="19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Gross margin improved to 56.1% in the second quarter of 2018 from 44.0% in the year-ago quarter. The improvement was due to favorable product mix and reduced revenue share cost. The company remains focused on improving margins, and maintains its gross margin target of at least 55% through the fourth quarter of 2018.</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Operating expenses in the second quarter of 2018 were $2.6 million, up from $1.6 million in the same year-ago quarter. The increase was primarily due to additional expenses related to growth initiatives, including expanding the company’s executive and sales team. However, operating expense as a percentage of revenue decreased to 51% as compared to 57% in the same year-ago quarter.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line="312" w:lineRule="auto"/>
        <w:rPr>
          <w:sz w:val="20"/>
          <w:szCs w:val="20"/>
          <w:color w:val="auto"/>
        </w:rPr>
      </w:pPr>
      <w:r>
        <w:rPr>
          <w:rFonts w:ascii="Arial" w:cs="Arial" w:eastAsia="Arial" w:hAnsi="Arial"/>
          <w:sz w:val="16"/>
          <w:szCs w:val="16"/>
          <w:color w:val="auto"/>
        </w:rPr>
        <w:t>Net income for the second quarter of 2018 was $281,000 or $0.02 per diluted share, as compared to a net loss of $362,000 or $(0.04) per share in the year-ago quarter. Profitability was primarily due to the increase in revenue and decrease in operating expense as a percentage of revenue. The company expects to continue to be profitable on a quarterly basis, although one-time expenses related to growth initiatives may result in quarterly fluctuations in profitability.</w:t>
      </w:r>
    </w:p>
    <w:p>
      <w:pPr>
        <w:spacing w:after="0" w:line="14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Cash and cash equivalents totaled $12.0 million at June 30, 2018, as compared to $5.1 million at December 31, 2017. The increase in cash was due to $9.0 million equity raise completed in May 2018. The company has continued to operate debt-free and expects to generate positive cashflow from operations for the remainder of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Commentary</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Q2, we realized our seventh consecutive quarter of revenue growth and achieved profitability through adding new pharmaceutical brands, growing our digital health messaging revenue and expanding our distribution channels,” said OptimizeRx CEO, William Febbo.</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“OptimizeRx continued to be the largest network of its kind, with promotional programs incorporated into more than 50% of the ambulatory market and with more healthcare providers at 'point-of-prescribe' than any other network. This broad market reach provides us a substantial competitive advantage as we continue to grow our core products and pharma customer base. We continue to believe our addressable market is worth well north of $500 million to a billion once the market fully adopts this channel.</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“Revenue was up 78% from the year-ago quarter and up 24% sequentially, demonstrating how our low fixed-overhead model continues to support a highly-scalable financial opportunity. This was also evident in our expanding margins. In fact, at 56.1% for the quarter, we surpassed our previously announced gross margin goal of 55%, and we expect to again exceed this goal in the second half of the year.</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“For the second half of 2018, we will remain focused on revenue generation from our core products and expanding our channel and partner networks both domestically and internationally. We see this driving continued gross margin improvement as we scale.</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plan to use a portion of the proceeds from our recent $9.0 million raise to make additional sales and channel investments for expanding further into our core ambulatory market where we continue to demonstrate high ROI for pharma marketing spend. We also plan to further expand into the hospital market, a new channel for us that also represents a significant growth opportunity. In addition, we will increase investment in the underlying technology that powers our solutions and will invest in our data strategy.</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“While investments in these growth initiatives may result in quarterly fluctuations in profitability, we expect them to drive further strong topline growth and margin expansion while sustaining our position as the market leader in our space.”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OptimizeRx management will host the presentation, followed by a question and answer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Tuesday, August 7,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4:30 p.m. Eastern time (1:30 p.m. Pacific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dial-in number: 1-888-220-8451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1-323-794-2590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9709267</w:t>
      </w:r>
    </w:p>
    <w:p>
      <w:pPr>
        <w:spacing w:after="0" w:line="21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Please call the conference telephone number five minutes prior to the start time. An operator will register your name and organization. If you have any difficulty connecting with the conference call, please contact CMA at 1-949-432-7566.</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replay of the call will be available after 7:30 p.m. Eastern time on the same day through August 28, 2018, as well as available for replay via the Investors section of the OptimizeRx website at www.optimizerx.com.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Toll-free replay number: 1-844-512-2921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replay number: 1-412-317-6671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Replay ID: 9709267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 xml:space="preserve">OptimizeRx® (NASDAQ: OPRX) is one of the nation’s leading providers of digital health messaging via electronic health records (EHRs), providing a direct channel for pharma companies to communicate with healthcare providers. The company’s cloud-based solution supports patient adherence to medications by providing real-time access to financial assistance, prior authorization, education, and critical clinical information. The company’s network is comprised of leading EHR platforms like Allscripts, Amazing Charts and Quest, and provides more than half of the ambulatory patient market with access to these benefits within their workflow at the point-of-care. For more information, follow the company on </w:t>
      </w:r>
      <w:r>
        <w:rPr>
          <w:rFonts w:ascii="Arial" w:cs="Arial" w:eastAsia="Arial" w:hAnsi="Arial"/>
          <w:sz w:val="16"/>
          <w:szCs w:val="16"/>
          <w:u w:val="single" w:color="auto"/>
          <w:color w:val="auto"/>
        </w:rPr>
        <w:t>Twitter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LinkedIn</w:t>
      </w:r>
      <w:r>
        <w:rPr>
          <w:rFonts w:ascii="Arial" w:cs="Arial" w:eastAsia="Arial" w:hAnsi="Arial"/>
          <w:sz w:val="16"/>
          <w:szCs w:val="16"/>
          <w:color w:val="auto"/>
        </w:rPr>
        <w:t xml:space="preserve"> or visit </w:t>
      </w:r>
      <w:r>
        <w:rPr>
          <w:rFonts w:ascii="Arial" w:cs="Arial" w:eastAsia="Arial" w:hAnsi="Arial"/>
          <w:sz w:val="16"/>
          <w:szCs w:val="16"/>
          <w:u w:val="single" w:color="auto"/>
          <w:color w:val="auto"/>
        </w:rPr>
        <w:t>www.optimizerx.com</w:t>
      </w:r>
      <w:r>
        <w:rPr>
          <w:rFonts w:ascii="Arial" w:cs="Arial" w:eastAsia="Arial" w:hAnsi="Arial"/>
          <w:sz w:val="16"/>
          <w:szCs w:val="16"/>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AS OF JUNE 30, 2018 AND DECEMBER 31, 2017</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receivable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receivable – related party</w:t>
      </w:r>
    </w:p>
    <w:p>
      <w:pPr>
        <w:spacing w:after="0" w:line="9" w:lineRule="exact"/>
        <w:rPr>
          <w:sz w:val="20"/>
          <w:szCs w:val="20"/>
          <w:color w:val="auto"/>
        </w:rPr>
      </w:pPr>
    </w:p>
    <w:p>
      <w:pPr>
        <w:jc w:val="both"/>
        <w:ind w:right="1640" w:firstLine="180"/>
        <w:spacing w:after="0" w:line="298" w:lineRule="auto"/>
        <w:rPr>
          <w:sz w:val="20"/>
          <w:szCs w:val="20"/>
          <w:color w:val="auto"/>
        </w:rPr>
      </w:pPr>
      <w:r>
        <w:rPr>
          <w:rFonts w:ascii="Arial" w:cs="Arial" w:eastAsia="Arial" w:hAnsi="Arial"/>
          <w:sz w:val="17"/>
          <w:szCs w:val="17"/>
          <w:color w:val="auto"/>
        </w:rPr>
        <w:t>Prepaid expenses Total Current Assets Property and equipment, net</w:t>
      </w:r>
    </w:p>
    <w:p>
      <w:pPr>
        <w:spacing w:after="0"/>
        <w:rPr>
          <w:sz w:val="20"/>
          <w:szCs w:val="20"/>
          <w:color w:val="auto"/>
        </w:rPr>
      </w:pPr>
      <w:r>
        <w:rPr>
          <w:rFonts w:ascii="Arial" w:cs="Arial" w:eastAsia="Arial" w:hAnsi="Arial"/>
          <w:sz w:val="18"/>
          <w:szCs w:val="18"/>
          <w:color w:val="auto"/>
        </w:rPr>
        <w:t>Other Assets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Patent rights, net</w:t>
      </w:r>
    </w:p>
    <w:p>
      <w:pPr>
        <w:spacing w:after="0" w:line="9" w:lineRule="exact"/>
        <w:rPr>
          <w:sz w:val="20"/>
          <w:szCs w:val="20"/>
          <w:color w:val="auto"/>
        </w:rPr>
      </w:pPr>
    </w:p>
    <w:p>
      <w:pPr>
        <w:ind w:left="180"/>
        <w:spacing w:after="0" w:line="257" w:lineRule="auto"/>
        <w:rPr>
          <w:sz w:val="20"/>
          <w:szCs w:val="20"/>
          <w:color w:val="auto"/>
        </w:rPr>
      </w:pPr>
      <w:r>
        <w:rPr>
          <w:rFonts w:ascii="Arial" w:cs="Arial" w:eastAsia="Arial" w:hAnsi="Arial"/>
          <w:sz w:val="18"/>
          <w:szCs w:val="18"/>
          <w:color w:val="auto"/>
        </w:rPr>
        <w:t>Web development and other intangible costs, net Security deposit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Total Other Assets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June 30,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2018</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30"/>
        </w:trPr>
        <w:tc>
          <w:tcPr>
            <w:tcW w:w="4920" w:type="dxa"/>
            <w:vAlign w:val="bottom"/>
            <w:gridSpan w:val="2"/>
            <w:vMerge w:val="restart"/>
          </w:tcPr>
          <w:p>
            <w:pPr>
              <w:jc w:val="right"/>
              <w:ind w:right="4260"/>
              <w:spacing w:after="0"/>
              <w:rPr>
                <w:sz w:val="20"/>
                <w:szCs w:val="20"/>
                <w:color w:val="auto"/>
              </w:rPr>
            </w:pPr>
            <w:r>
              <w:rPr>
                <w:rFonts w:ascii="Arial" w:cs="Arial" w:eastAsia="Arial" w:hAnsi="Arial"/>
                <w:sz w:val="18"/>
                <w:szCs w:val="18"/>
                <w:b w:val="1"/>
                <w:bCs w:val="1"/>
                <w:color w:val="auto"/>
                <w:w w:val="88"/>
              </w:rPr>
              <w:t>ASSETS</w:t>
            </w:r>
          </w:p>
        </w:tc>
        <w:tc>
          <w:tcPr>
            <w:tcW w:w="1020" w:type="dxa"/>
            <w:vAlign w:val="bottom"/>
          </w:tcPr>
          <w:p>
            <w:pPr>
              <w:jc w:val="center"/>
              <w:ind w:right="30"/>
              <w:spacing w:after="0"/>
              <w:rPr>
                <w:sz w:val="20"/>
                <w:szCs w:val="20"/>
                <w:color w:val="auto"/>
              </w:rPr>
            </w:pPr>
            <w:r>
              <w:rPr>
                <w:rFonts w:ascii="Arial" w:cs="Arial" w:eastAsia="Arial" w:hAnsi="Arial"/>
                <w:sz w:val="18"/>
                <w:szCs w:val="18"/>
                <w:color w:val="auto"/>
                <w:w w:val="90"/>
              </w:rPr>
              <w:t>(unaudited)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920" w:type="dxa"/>
            <w:vAlign w:val="bottom"/>
            <w:gridSpan w:val="2"/>
            <w:vMerge w:val="continue"/>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49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12,003,864</w:t>
            </w: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5,122,573</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2,954,782</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2,257,276</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2,555,931</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1,173,614</w:t>
            </w: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215,108</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255,428</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17,729,685</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8,808,891</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152,898</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167,305</w:t>
            </w:r>
          </w:p>
        </w:tc>
        <w:tc>
          <w:tcPr>
            <w:tcW w:w="0" w:type="dxa"/>
            <w:vAlign w:val="bottom"/>
          </w:tcPr>
          <w:p>
            <w:pPr>
              <w:spacing w:after="0"/>
              <w:rPr>
                <w:sz w:val="1"/>
                <w:szCs w:val="1"/>
                <w:color w:val="auto"/>
              </w:rPr>
            </w:pPr>
          </w:p>
        </w:tc>
      </w:tr>
      <w:tr>
        <w:trPr>
          <w:trHeight w:val="418"/>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604,820</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638,766</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152,381</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143,730</w:t>
            </w: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5,049</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762,250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787,545</w:t>
            </w:r>
          </w:p>
        </w:tc>
        <w:tc>
          <w:tcPr>
            <w:tcW w:w="0" w:type="dxa"/>
            <w:vAlign w:val="bottom"/>
          </w:tcPr>
          <w:p>
            <w:pPr>
              <w:spacing w:after="0"/>
              <w:rPr>
                <w:sz w:val="1"/>
                <w:szCs w:val="1"/>
                <w:color w:val="auto"/>
              </w:rPr>
            </w:pPr>
          </w:p>
        </w:tc>
      </w:tr>
      <w:tr>
        <w:trPr>
          <w:trHeight w:val="250"/>
        </w:trPr>
        <w:tc>
          <w:tcPr>
            <w:tcW w:w="49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18,644,833</w:t>
            </w: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9,763,741</w:t>
            </w: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-1809115</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-1534160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-1242695</wp:posOffset>
            </wp:positionV>
            <wp:extent cx="72466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-934085</wp:posOffset>
            </wp:positionV>
            <wp:extent cx="72466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-650875</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-359410</wp:posOffset>
            </wp:positionV>
            <wp:extent cx="72466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680" w:space="340"/>
            <w:col w:w="740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Accounts payable – trade</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176,940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457,289</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828,540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953,947</w:t>
            </w: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994,142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1,177,136</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share payable – related party</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447,670</w:t>
            </w:r>
          </w:p>
        </w:tc>
        <w:tc>
          <w:tcPr>
            <w:tcW w:w="0" w:type="dxa"/>
            <w:vAlign w:val="bottom"/>
          </w:tcPr>
          <w:p>
            <w:pPr>
              <w:spacing w:after="0"/>
              <w:rPr>
                <w:sz w:val="1"/>
                <w:szCs w:val="1"/>
                <w:color w:val="auto"/>
              </w:rPr>
            </w:pPr>
          </w:p>
        </w:tc>
      </w:tr>
      <w:tr>
        <w:trPr>
          <w:trHeight w:val="237"/>
        </w:trPr>
        <w:tc>
          <w:tcPr>
            <w:tcW w:w="84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845,153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507,160</w:t>
            </w:r>
          </w:p>
        </w:tc>
        <w:tc>
          <w:tcPr>
            <w:tcW w:w="0" w:type="dxa"/>
            <w:vAlign w:val="bottom"/>
          </w:tcPr>
          <w:p>
            <w:pPr>
              <w:spacing w:after="0"/>
              <w:rPr>
                <w:sz w:val="1"/>
                <w:szCs w:val="1"/>
                <w:color w:val="auto"/>
              </w:rPr>
            </w:pPr>
          </w:p>
        </w:tc>
      </w:tr>
      <w:tr>
        <w:trPr>
          <w:trHeight w:val="236"/>
        </w:trPr>
        <w:tc>
          <w:tcPr>
            <w:tcW w:w="84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2,844,775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3,543,202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480" w:type="dxa"/>
            <w:vAlign w:val="bottom"/>
          </w:tcPr>
          <w:p>
            <w:pPr>
              <w:spacing w:after="0" w:line="203" w:lineRule="exact"/>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4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Preferred stock, $0.001 par value, 10,000,000 shares authorized, no issued and outstanding at June 30, 2018 or</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December 31, 2017</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480" w:type="dxa"/>
            <w:vAlign w:val="bottom"/>
          </w:tcPr>
          <w:p>
            <w:pPr>
              <w:ind w:left="180"/>
              <w:spacing w:after="0" w:line="201" w:lineRule="exact"/>
              <w:rPr>
                <w:sz w:val="20"/>
                <w:szCs w:val="20"/>
                <w:color w:val="auto"/>
              </w:rPr>
            </w:pPr>
            <w:r>
              <w:rPr>
                <w:rFonts w:ascii="Arial" w:cs="Arial" w:eastAsia="Arial" w:hAnsi="Arial"/>
                <w:sz w:val="18"/>
                <w:szCs w:val="18"/>
                <w:color w:val="auto"/>
                <w:w w:val="92"/>
              </w:rPr>
              <w:t>Common stock, $0.001 par value, 166,666,667 shares authorized, 11,556,858 and 9,772,694 shares issued and</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360"/>
              <w:spacing w:after="0"/>
              <w:rPr>
                <w:sz w:val="20"/>
                <w:szCs w:val="20"/>
                <w:color w:val="auto"/>
              </w:rPr>
            </w:pPr>
            <w:r>
              <w:rPr>
                <w:rFonts w:ascii="Arial" w:cs="Arial" w:eastAsia="Arial" w:hAnsi="Arial"/>
                <w:sz w:val="18"/>
                <w:szCs w:val="18"/>
                <w:color w:val="auto"/>
              </w:rPr>
              <w:t>outstanding at June 30, 2018 and December 31, 2017, respectively</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11,557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9,773</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Stock warrants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1,286,424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1,286,424</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Additional paid-in-capital</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44,915,896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35,287,464</w:t>
            </w:r>
          </w:p>
        </w:tc>
        <w:tc>
          <w:tcPr>
            <w:tcW w:w="0" w:type="dxa"/>
            <w:vAlign w:val="bottom"/>
          </w:tcPr>
          <w:p>
            <w:pPr>
              <w:spacing w:after="0"/>
              <w:rPr>
                <w:sz w:val="1"/>
                <w:szCs w:val="1"/>
                <w:color w:val="auto"/>
              </w:rPr>
            </w:pPr>
          </w:p>
        </w:tc>
      </w:tr>
      <w:tr>
        <w:trPr>
          <w:trHeight w:val="25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(30,413,819)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(30,363,122)</w:t>
            </w:r>
          </w:p>
        </w:tc>
        <w:tc>
          <w:tcPr>
            <w:tcW w:w="0" w:type="dxa"/>
            <w:vAlign w:val="bottom"/>
          </w:tcPr>
          <w:p>
            <w:pPr>
              <w:spacing w:after="0"/>
              <w:rPr>
                <w:sz w:val="1"/>
                <w:szCs w:val="1"/>
                <w:color w:val="auto"/>
              </w:rPr>
            </w:pPr>
          </w:p>
        </w:tc>
      </w:tr>
      <w:tr>
        <w:trPr>
          <w:trHeight w:val="210"/>
        </w:trPr>
        <w:tc>
          <w:tcPr>
            <w:tcW w:w="84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15,800,058</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6,220,539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18,644,833</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9,763,741</w:t>
            </w:r>
          </w:p>
        </w:tc>
        <w:tc>
          <w:tcPr>
            <w:tcW w:w="0" w:type="dxa"/>
            <w:vAlign w:val="bottom"/>
          </w:tcPr>
          <w:p>
            <w:pPr>
              <w:spacing w:after="0"/>
              <w:rPr>
                <w:sz w:val="1"/>
                <w:szCs w:val="1"/>
                <w:color w:val="auto"/>
              </w:rPr>
            </w:pPr>
          </w:p>
        </w:tc>
      </w:tr>
      <w:tr>
        <w:trPr>
          <w:trHeight w:val="21"/>
        </w:trPr>
        <w:tc>
          <w:tcPr>
            <w:tcW w:w="8480" w:type="dxa"/>
            <w:vAlign w:val="bottom"/>
            <w:tcBorders>
              <w:top w:val="single" w:sz="8" w:color="CCEEFF"/>
              <w:bottom w:val="single" w:sz="8" w:color="CCEEFF"/>
            </w:tcBorders>
            <w:vMerge w:val="restart"/>
          </w:tcPr>
          <w:p>
            <w:pPr>
              <w:ind w:left="5680"/>
              <w:spacing w:after="0"/>
              <w:rPr>
                <w:sz w:val="20"/>
                <w:szCs w:val="20"/>
                <w:color w:val="auto"/>
              </w:rPr>
            </w:pPr>
            <w:r>
              <w:rPr>
                <w:rFonts w:ascii="Arial" w:cs="Arial" w:eastAsia="Arial" w:hAnsi="Arial"/>
                <w:sz w:val="18"/>
                <w:szCs w:val="18"/>
                <w:color w:val="auto"/>
              </w:rPr>
              <w:t>4</w:t>
            </w: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48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2018 AND 2017</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gridSpan w:val="6"/>
          </w:tcPr>
          <w:p>
            <w:pPr>
              <w:jc w:val="right"/>
              <w:ind w:right="360"/>
              <w:spacing w:after="0"/>
              <w:rPr>
                <w:sz w:val="20"/>
                <w:szCs w:val="20"/>
                <w:color w:val="auto"/>
              </w:rPr>
            </w:pPr>
            <w:r>
              <w:rPr>
                <w:rFonts w:ascii="Arial" w:cs="Arial" w:eastAsia="Arial" w:hAnsi="Arial"/>
                <w:sz w:val="18"/>
                <w:szCs w:val="18"/>
                <w:color w:val="auto"/>
                <w:w w:val="92"/>
              </w:rPr>
              <w:t>For the Three Months Ended</w:t>
            </w:r>
          </w:p>
        </w:tc>
        <w:tc>
          <w:tcPr>
            <w:tcW w:w="200" w:type="dxa"/>
            <w:vAlign w:val="bottom"/>
          </w:tcPr>
          <w:p>
            <w:pPr>
              <w:spacing w:after="0"/>
              <w:rPr>
                <w:sz w:val="19"/>
                <w:szCs w:val="19"/>
                <w:color w:val="auto"/>
              </w:rPr>
            </w:pPr>
          </w:p>
        </w:tc>
        <w:tc>
          <w:tcPr>
            <w:tcW w:w="2400" w:type="dxa"/>
            <w:vAlign w:val="bottom"/>
            <w:gridSpan w:val="6"/>
          </w:tcPr>
          <w:p>
            <w:pPr>
              <w:jc w:val="right"/>
              <w:ind w:right="320"/>
              <w:spacing w:after="0"/>
              <w:rPr>
                <w:sz w:val="20"/>
                <w:szCs w:val="20"/>
                <w:color w:val="auto"/>
              </w:rPr>
            </w:pPr>
            <w:r>
              <w:rPr>
                <w:rFonts w:ascii="Arial" w:cs="Arial" w:eastAsia="Arial" w:hAnsi="Arial"/>
                <w:sz w:val="18"/>
                <w:szCs w:val="18"/>
                <w:color w:val="auto"/>
                <w:w w:val="95"/>
              </w:rPr>
              <w:t>For the 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8"/>
                <w:szCs w:val="18"/>
                <w:color w:val="auto"/>
              </w:rPr>
              <w:t>June 30</w:t>
            </w: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3,192,138</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2,252,222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5,961,257</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3,652,540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Revenue – Related Party</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1,907,336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613,601</w:t>
            </w: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3,250,453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1,365,356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5,099,474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2,865,823</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9,211,710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5,017,896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REVENUE SHARE EXPENSE</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2,236,751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1,605,534</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4,244,842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2,987,267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2,862,723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1,260,289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4,966,868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2,030,629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OPERATING EXPENSES</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2,589,126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1,630,853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4,884,467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3,291,631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(LOSS) FROM OPERATIONS</w:t>
            </w: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273,597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(370,564</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(1,261,002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6,912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9,063</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8,929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16,819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OTHER INCOME (EXPENSE)</w:t>
            </w: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6,912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9,063</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FOR INCOME TAXES</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280,509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(361,501)</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91,330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(1,244,183)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NET INCOME (LOSS)</w:t>
            </w:r>
          </w:p>
        </w:tc>
        <w:tc>
          <w:tcPr>
            <w:tcW w:w="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5240" w:type="dxa"/>
            <w:vAlign w:val="bottom"/>
            <w:vMerge w:val="continue"/>
          </w:tcPr>
          <w:p>
            <w:pPr>
              <w:spacing w:after="0"/>
              <w:rPr>
                <w:sz w:val="24"/>
                <w:szCs w:val="24"/>
                <w:color w:val="auto"/>
              </w:rPr>
            </w:pPr>
          </w:p>
        </w:tc>
        <w:tc>
          <w:tcPr>
            <w:tcW w:w="9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280,509</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(361,501</w:t>
            </w:r>
          </w:p>
        </w:tc>
        <w:tc>
          <w:tcPr>
            <w:tcW w:w="200" w:type="dxa"/>
            <w:vAlign w:val="bottom"/>
            <w:vMerge w:val="continue"/>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91,330</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(1,244,183</w:t>
            </w: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WEIGHTED AVERGE NUMBER OF SHARES OUTSTANDING</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8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10,979,086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9,861,257</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10,373,326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9,883,648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4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DILUTED</w:t>
            </w:r>
          </w:p>
        </w:tc>
        <w:tc>
          <w:tcPr>
            <w:tcW w:w="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40" w:type="dxa"/>
            <w:vAlign w:val="bottom"/>
            <w:tcBorders>
              <w:bottom w:val="single" w:sz="8" w:color="CCEEFF"/>
            </w:tcBorders>
            <w:vMerge w:val="continue"/>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11,949,593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9,861,257</w:t>
            </w:r>
          </w:p>
        </w:tc>
        <w:tc>
          <w:tcPr>
            <w:tcW w:w="2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11,517,604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9,883,648</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INCOME (LOSS) PER SHARE</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9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0.03</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line="256" w:lineRule="exact"/>
              <w:rPr>
                <w:sz w:val="20"/>
                <w:szCs w:val="20"/>
                <w:color w:val="auto"/>
              </w:rPr>
            </w:pPr>
            <w:r>
              <w:rPr>
                <w:rFonts w:ascii="Arial" w:cs="Arial" w:eastAsia="Arial" w:hAnsi="Arial"/>
                <w:sz w:val="16"/>
                <w:szCs w:val="16"/>
                <w:color w:val="auto"/>
              </w:rPr>
              <w:t>(0.04</w:t>
            </w:r>
            <w:r>
              <w:rPr>
                <w:rFonts w:ascii="Arial" w:cs="Arial" w:eastAsia="Arial" w:hAnsi="Arial"/>
                <w:sz w:val="29"/>
                <w:szCs w:val="29"/>
                <w:color w:val="auto"/>
                <w:vertAlign w:val="superscript"/>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6"/>
                <w:szCs w:val="16"/>
                <w:color w:val="auto"/>
              </w:rPr>
              <w:t>(0.13</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4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DILUTED</w:t>
            </w:r>
          </w:p>
        </w:tc>
        <w:tc>
          <w:tcPr>
            <w:tcW w:w="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00" w:type="dxa"/>
            <w:vAlign w:val="bottom"/>
            <w:vMerge w:val="continue"/>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820" w:type="dxa"/>
            <w:vAlign w:val="bottom"/>
            <w:vMerge w:val="restart"/>
          </w:tcPr>
          <w:p>
            <w:pPr>
              <w:jc w:val="right"/>
              <w:ind w:right="230"/>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2018 AND 2017</w:t>
      </w:r>
    </w:p>
    <w:p>
      <w:pPr>
        <w:spacing w:after="0" w:line="211" w:lineRule="exact"/>
        <w:rPr>
          <w:sz w:val="20"/>
          <w:szCs w:val="20"/>
          <w:color w:val="auto"/>
        </w:rPr>
      </w:pPr>
    </w:p>
    <w:p>
      <w:pPr>
        <w:jc w:val="center"/>
        <w:ind w:left="8700"/>
        <w:spacing w:after="0"/>
        <w:rPr>
          <w:sz w:val="20"/>
          <w:szCs w:val="20"/>
          <w:color w:val="auto"/>
        </w:rPr>
      </w:pPr>
      <w:r>
        <w:rPr>
          <w:rFonts w:ascii="Arial" w:cs="Arial" w:eastAsia="Arial" w:hAnsi="Arial"/>
          <w:sz w:val="18"/>
          <w:szCs w:val="18"/>
          <w:color w:val="auto"/>
        </w:rPr>
        <w:t>For the Six Months Ended June</w:t>
      </w:r>
    </w:p>
    <w:p>
      <w:pPr>
        <w:spacing w:after="0" w:line="23" w:lineRule="exact"/>
        <w:rPr>
          <w:sz w:val="20"/>
          <w:szCs w:val="20"/>
          <w:color w:val="auto"/>
        </w:rPr>
      </w:pPr>
    </w:p>
    <w:p>
      <w:pPr>
        <w:jc w:val="center"/>
        <w:ind w:left="8700"/>
        <w:spacing w:after="0"/>
        <w:rPr>
          <w:sz w:val="20"/>
          <w:szCs w:val="20"/>
          <w:color w:val="auto"/>
        </w:rPr>
      </w:pPr>
      <w:r>
        <w:rPr>
          <w:rFonts w:ascii="Arial" w:cs="Arial" w:eastAsia="Arial" w:hAnsi="Arial"/>
          <w:sz w:val="18"/>
          <w:szCs w:val="18"/>
          <w:color w:val="auto"/>
        </w:rPr>
        <w:t>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 for the period</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91,330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(1,244,183)</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Adjustments to reconcile net income(loss) to net cash used in operating activities: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108,946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141,945</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Stock and options issued for services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1,013,822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291,874</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(2,079,823)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638,602</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40,320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(866,333)</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(280,349)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534,743</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share payable</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(183,664)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(751,094)</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(125,407)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(91,981)</w:t>
            </w:r>
          </w:p>
        </w:tc>
      </w:tr>
      <w:tr>
        <w:trPr>
          <w:trHeight w:val="25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3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195,966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650,331</w:t>
            </w:r>
          </w:p>
        </w:tc>
      </w:tr>
      <w:tr>
        <w:trPr>
          <w:trHeight w:val="210"/>
        </w:trPr>
        <w:tc>
          <w:tcPr>
            <w:tcW w:w="74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OPERATING ACTIVITIES</w:t>
            </w:r>
          </w:p>
        </w:tc>
        <w:tc>
          <w:tcPr>
            <w:tcW w:w="138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(1,218,859</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(696,096</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7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Web development and other intangible costs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(12,593)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(56,651)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(69,244)</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(24,599)</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(81,350)</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(105,949)</w:t>
      </w:r>
    </w:p>
    <w:p>
      <w:pPr>
        <w:spacing w:after="0" w:line="222" w:lineRule="exact"/>
        <w:rPr>
          <w:sz w:val="20"/>
          <w:szCs w:val="20"/>
          <w:color w:val="auto"/>
        </w:rPr>
      </w:pPr>
    </w:p>
    <w:p>
      <w:pPr>
        <w:sectPr>
          <w:pgSz w:w="11900" w:h="16838" w:orient="portrait"/>
          <w:cols w:equalWidth="0" w:num="3">
            <w:col w:w="8680" w:space="720"/>
            <w:col w:w="620" w:space="640"/>
            <w:col w:w="760"/>
          </w:cols>
          <w:pgMar w:left="240" w:top="904" w:right="239" w:bottom="1440" w:gutter="0" w:footer="0" w:header="0"/>
          <w:type w:val="continuous"/>
        </w:sectPr>
      </w:pP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Net proceeds from issuance of common stock for cash</w:t>
            </w: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8,169,394</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common stock and stock payable</w:t>
            </w:r>
          </w:p>
        </w:tc>
        <w:tc>
          <w:tcPr>
            <w:tcW w:w="18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(USED IN) FINANCING ACTIVITIES</w:t>
            </w:r>
          </w:p>
        </w:tc>
        <w:tc>
          <w:tcPr>
            <w:tcW w:w="18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8,169,394</w:t>
            </w:r>
          </w:p>
        </w:tc>
        <w:tc>
          <w:tcPr>
            <w:tcW w:w="2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(390,000</w:t>
            </w:r>
          </w:p>
        </w:tc>
        <w:tc>
          <w:tcPr>
            <w:tcW w:w="8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CHANGEIN CASH AND CASH EQUIVALENTS</w:t>
            </w:r>
          </w:p>
        </w:tc>
        <w:tc>
          <w:tcPr>
            <w:tcW w:w="1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6,881,291</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(1,192,045)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CASH AND CASH EQUIVALENTS - BEGINNING OF PERIOD</w:t>
            </w:r>
          </w:p>
        </w:tc>
        <w:tc>
          <w:tcPr>
            <w:tcW w:w="1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5,122,573</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7,034,647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CASH AND CASH EQUIVALENTS - END OF PERIOD</w:t>
            </w:r>
          </w:p>
        </w:tc>
        <w:tc>
          <w:tcPr>
            <w:tcW w:w="18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920" w:type="dxa"/>
            <w:vAlign w:val="bottom"/>
            <w:vMerge w:val="continue"/>
            <w:shd w:val="clear" w:color="auto" w:fill="CCEEFF"/>
          </w:tcPr>
          <w:p>
            <w:pPr>
              <w:spacing w:after="0"/>
              <w:rPr>
                <w:sz w:val="21"/>
                <w:szCs w:val="21"/>
                <w:color w:val="auto"/>
              </w:rPr>
            </w:pPr>
          </w:p>
        </w:tc>
        <w:tc>
          <w:tcPr>
            <w:tcW w:w="20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12,003,864</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5,842,602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Cash paid for interest</w:t>
            </w:r>
          </w:p>
        </w:tc>
        <w:tc>
          <w:tcPr>
            <w:tcW w:w="20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Cash paid for income taxes</w:t>
            </w:r>
          </w:p>
        </w:tc>
        <w:tc>
          <w:tcPr>
            <w:tcW w:w="18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20" w:type="dxa"/>
            <w:vAlign w:val="bottom"/>
            <w:vMerge w:val="restart"/>
          </w:tcPr>
          <w:p>
            <w:pPr>
              <w:ind w:left="160"/>
              <w:spacing w:after="0"/>
              <w:rPr>
                <w:sz w:val="20"/>
                <w:szCs w:val="20"/>
                <w:color w:val="auto"/>
              </w:rPr>
            </w:pPr>
            <w:r>
              <w:rPr>
                <w:rFonts w:ascii="Arial" w:cs="Arial" w:eastAsia="Arial" w:hAnsi="Arial"/>
                <w:sz w:val="18"/>
                <w:szCs w:val="18"/>
                <w:color w:val="auto"/>
              </w:rPr>
              <w:t>Non-cash issuance of shares to WPP</w:t>
            </w:r>
          </w:p>
        </w:tc>
        <w:tc>
          <w:tcPr>
            <w:tcW w:w="20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vMerge w:val="continue"/>
          </w:tcPr>
          <w:p>
            <w:pPr>
              <w:spacing w:after="0"/>
              <w:rPr>
                <w:sz w:val="19"/>
                <w:szCs w:val="19"/>
                <w:color w:val="auto"/>
              </w:rPr>
            </w:pPr>
          </w:p>
        </w:tc>
        <w:tc>
          <w:tcPr>
            <w:tcW w:w="18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447,000</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contact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2019-12-28T20:20:15Z</dcterms:created>
  <dcterms:modified xsi:type="dcterms:W3CDTF">2019-12-28T20:20:15Z</dcterms:modified>
</cp:coreProperties>
</file>