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8380" w:type="dxa"/>
            <w:vAlign w:val="bottom"/>
            <w:gridSpan w:val="7"/>
          </w:tcPr>
          <w:p>
            <w:pPr>
              <w:jc w:val="center"/>
              <w:ind w:right="2770"/>
              <w:spacing w:after="0"/>
              <w:rPr>
                <w:sz w:val="20"/>
                <w:szCs w:val="20"/>
                <w:color w:val="auto"/>
              </w:rPr>
            </w:pPr>
            <w:r>
              <w:rPr>
                <w:rFonts w:ascii="Arial" w:cs="Arial" w:eastAsia="Arial" w:hAnsi="Arial"/>
                <w:sz w:val="18"/>
                <w:szCs w:val="18"/>
                <w:b w:val="1"/>
                <w:bCs w:val="1"/>
                <w:color w:val="auto"/>
                <w:w w:val="91"/>
              </w:rPr>
              <w:t>Date of Report (Date of Earliest Event Reported): November 6, 2023</w:t>
            </w:r>
          </w:p>
        </w:tc>
      </w:tr>
      <w:tr>
        <w:trPr>
          <w:trHeight w:val="418"/>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2"/>
        </w:trPr>
        <w:tc>
          <w:tcPr>
            <w:tcW w:w="286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gridSpan w:val="5"/>
          </w:tcPr>
          <w:p>
            <w:pPr>
              <w:jc w:val="center"/>
              <w:ind w:left="87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60" w:type="dxa"/>
            <w:vAlign w:val="bottom"/>
            <w:tcBorders>
              <w:top w:val="single" w:sz="8" w:color="auto"/>
            </w:tcBorders>
          </w:tcPr>
          <w:p>
            <w:pPr>
              <w:jc w:val="center"/>
              <w:ind w:left="630"/>
              <w:spacing w:after="0" w:line="201" w:lineRule="exact"/>
              <w:rPr>
                <w:sz w:val="20"/>
                <w:szCs w:val="20"/>
                <w:color w:val="auto"/>
              </w:rPr>
            </w:pPr>
            <w:r>
              <w:rPr>
                <w:rFonts w:ascii="Arial" w:cs="Arial" w:eastAsia="Arial" w:hAnsi="Arial"/>
                <w:sz w:val="18"/>
                <w:szCs w:val="18"/>
                <w:color w:val="auto"/>
                <w:w w:val="92"/>
              </w:rPr>
              <w:t>(State or other jurisdiction</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60" w:type="dxa"/>
            <w:vAlign w:val="bottom"/>
          </w:tcPr>
          <w:p>
            <w:pPr>
              <w:jc w:val="center"/>
              <w:ind w:left="67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2"/>
              </w:rPr>
              <w:t>260 Charles Street, Suite 302, Waltham, MA</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02453</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November 6, 2023, OptimizeRx Corporation issued a press release announcing its financial results for the third quarter ended September 30, 2023. A copy of the press release is furnished with this Current Report on Form 8-K as Exhibit 99.1 and is incorporated herein by reference.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6, 2023</w:t>
      </w:r>
    </w:p>
    <w:p>
      <w:pPr>
        <w:spacing w:after="0" w:line="23" w:lineRule="exact"/>
        <w:rPr>
          <w:sz w:val="20"/>
          <w:szCs w:val="20"/>
          <w:color w:val="auto"/>
        </w:rPr>
      </w:pPr>
    </w:p>
    <w:p>
      <w:pPr>
        <w:ind w:left="5580" w:right="428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November 6, 2023</w:t>
            </w:r>
          </w:p>
        </w:tc>
        <w:tc>
          <w:tcPr>
            <w:tcW w:w="3640" w:type="dxa"/>
            <w:vAlign w:val="bottom"/>
          </w:tcPr>
          <w:p>
            <w:pPr>
              <w:ind w:left="3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3680" w:type="dxa"/>
            <w:vAlign w:val="bottom"/>
          </w:tcPr>
          <w:p>
            <w:pPr>
              <w:spacing w:after="0"/>
              <w:rPr>
                <w:sz w:val="17"/>
                <w:szCs w:val="17"/>
                <w:color w:val="auto"/>
              </w:rPr>
            </w:pPr>
          </w:p>
        </w:tc>
        <w:tc>
          <w:tcPr>
            <w:tcW w:w="364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30"/>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154305</wp:posOffset>
            </wp:positionV>
            <wp:extent cx="26142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Third Quarter 2023 Financial Results</w:t>
      </w:r>
    </w:p>
    <w:p>
      <w:pPr>
        <w:spacing w:after="0" w:line="229" w:lineRule="exact"/>
        <w:rPr>
          <w:sz w:val="20"/>
          <w:szCs w:val="20"/>
          <w:color w:val="auto"/>
        </w:rPr>
      </w:pPr>
    </w:p>
    <w:p>
      <w:pPr>
        <w:ind w:left="3440" w:hanging="107"/>
        <w:spacing w:after="0"/>
        <w:tabs>
          <w:tab w:leader="none" w:pos="3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guidance for 2023 and introduces guidance for 2024</w:t>
      </w:r>
    </w:p>
    <w:p>
      <w:pPr>
        <w:spacing w:after="0" w:line="225" w:lineRule="exact"/>
        <w:rPr>
          <w:rFonts w:ascii="Arial" w:cs="Arial" w:eastAsia="Arial" w:hAnsi="Arial"/>
          <w:sz w:val="18"/>
          <w:szCs w:val="18"/>
          <w:color w:val="auto"/>
        </w:rPr>
      </w:pPr>
    </w:p>
    <w:p>
      <w:pPr>
        <w:ind w:left="4580" w:hanging="104"/>
        <w:spacing w:after="0"/>
        <w:tabs>
          <w:tab w:leader="none" w:pos="4580" w:val="left"/>
        </w:tabs>
        <w:numPr>
          <w:ilvl w:val="5"/>
          <w:numId w:val="3"/>
        </w:numPr>
        <w:rPr>
          <w:rFonts w:ascii="Arial" w:cs="Arial" w:eastAsia="Arial" w:hAnsi="Arial"/>
          <w:sz w:val="18"/>
          <w:szCs w:val="18"/>
          <w:color w:val="auto"/>
        </w:rPr>
      </w:pPr>
      <w:r>
        <w:rPr>
          <w:rFonts w:ascii="Arial" w:cs="Arial" w:eastAsia="Arial" w:hAnsi="Arial"/>
          <w:sz w:val="18"/>
          <w:szCs w:val="18"/>
          <w:color w:val="auto"/>
        </w:rPr>
        <w:t>Total revenue of $16.3 million</w:t>
      </w:r>
    </w:p>
    <w:p>
      <w:pPr>
        <w:spacing w:after="0" w:line="23" w:lineRule="exact"/>
        <w:rPr>
          <w:rFonts w:ascii="Arial" w:cs="Arial" w:eastAsia="Arial" w:hAnsi="Arial"/>
          <w:sz w:val="18"/>
          <w:szCs w:val="18"/>
          <w:color w:val="auto"/>
        </w:rPr>
      </w:pPr>
    </w:p>
    <w:p>
      <w:pPr>
        <w:ind w:left="4400" w:hanging="100"/>
        <w:spacing w:after="0"/>
        <w:tabs>
          <w:tab w:leader="none" w:pos="4400" w:val="left"/>
        </w:tabs>
        <w:numPr>
          <w:ilvl w:val="4"/>
          <w:numId w:val="3"/>
        </w:numPr>
        <w:rPr>
          <w:rFonts w:ascii="Arial" w:cs="Arial" w:eastAsia="Arial" w:hAnsi="Arial"/>
          <w:sz w:val="18"/>
          <w:szCs w:val="18"/>
          <w:color w:val="auto"/>
        </w:rPr>
      </w:pPr>
      <w:r>
        <w:rPr>
          <w:rFonts w:ascii="Arial" w:cs="Arial" w:eastAsia="Arial" w:hAnsi="Arial"/>
          <w:sz w:val="18"/>
          <w:szCs w:val="18"/>
          <w:color w:val="auto"/>
        </w:rPr>
        <w:t>GAAP net loss per share of $(0.17)</w:t>
      </w:r>
    </w:p>
    <w:p>
      <w:pPr>
        <w:spacing w:after="0" w:line="9" w:lineRule="exact"/>
        <w:rPr>
          <w:rFonts w:ascii="Arial" w:cs="Arial" w:eastAsia="Arial" w:hAnsi="Arial"/>
          <w:sz w:val="18"/>
          <w:szCs w:val="18"/>
          <w:color w:val="auto"/>
        </w:rPr>
      </w:pPr>
    </w:p>
    <w:p>
      <w:pPr>
        <w:ind w:left="4160" w:hanging="110"/>
        <w:spacing w:after="0"/>
        <w:tabs>
          <w:tab w:leader="none" w:pos="4160" w:val="left"/>
        </w:tabs>
        <w:numPr>
          <w:ilvl w:val="3"/>
          <w:numId w:val="3"/>
        </w:numPr>
        <w:rPr>
          <w:rFonts w:ascii="Arial" w:cs="Arial" w:eastAsia="Arial" w:hAnsi="Arial"/>
          <w:sz w:val="18"/>
          <w:szCs w:val="18"/>
          <w:color w:val="auto"/>
        </w:rPr>
      </w:pPr>
      <w:r>
        <w:rPr>
          <w:rFonts w:ascii="Arial" w:cs="Arial" w:eastAsia="Arial" w:hAnsi="Arial"/>
          <w:sz w:val="18"/>
          <w:szCs w:val="18"/>
          <w:color w:val="auto"/>
        </w:rPr>
        <w:t>Non-GAAP net income per share of $0.09</w:t>
      </w:r>
    </w:p>
    <w:p>
      <w:pPr>
        <w:spacing w:after="0" w:line="9" w:lineRule="exact"/>
        <w:rPr>
          <w:rFonts w:ascii="Arial" w:cs="Arial" w:eastAsia="Arial" w:hAnsi="Arial"/>
          <w:sz w:val="18"/>
          <w:szCs w:val="18"/>
          <w:color w:val="auto"/>
        </w:rPr>
      </w:pPr>
    </w:p>
    <w:p>
      <w:pPr>
        <w:ind w:left="3540" w:hanging="113"/>
        <w:spacing w:after="0"/>
        <w:tabs>
          <w:tab w:leader="none" w:pos="3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DAAP (fka RWD) deals for the year now stands at 16</w:t>
      </w:r>
    </w:p>
    <w:p>
      <w:pPr>
        <w:spacing w:after="0" w:line="9" w:lineRule="exact"/>
        <w:rPr>
          <w:rFonts w:ascii="Arial" w:cs="Arial" w:eastAsia="Arial" w:hAnsi="Arial"/>
          <w:sz w:val="18"/>
          <w:szCs w:val="18"/>
          <w:color w:val="auto"/>
        </w:rPr>
      </w:pPr>
    </w:p>
    <w:p>
      <w:pPr>
        <w:ind w:left="3600" w:hanging="114"/>
        <w:spacing w:after="0"/>
        <w:tabs>
          <w:tab w:leader="none" w:pos="360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Completed acquisition of Medicx Health after quarter end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WALTHAM, Mass. – November 6, 2023 – </w:t>
      </w:r>
      <w:r>
        <w:rPr>
          <w:rFonts w:ascii="Arial" w:cs="Arial" w:eastAsia="Arial" w:hAnsi="Arial"/>
          <w:sz w:val="18"/>
          <w:szCs w:val="18"/>
          <w:color w:val="auto"/>
        </w:rPr>
        <w:t>OptimizeRx Corp. (the “Company”) (Nasdaq: OPRX), the leading provider of healthcare technology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helping life sciences companies reach and engage healthcare professionals (HCPs) and patients, reported results for the three months ended September 30, 2023. Quarterly comparisons are to the same year-ago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 the third quarter of 2023 increased 8% to $16.3 million, as compared to $15.1 million in the same year ago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in the third quarter of 2023 increased 4% year-over-year to $9.8 million, from $9.4 million during the third quarter of 2022.</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totaled $(2.9) million or $(0.17) per basic and diluted shares outstanding in the third quarter, as compared to $(3.5) million or $(0.19) during the third quarter of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in the third quarter totaled $1.6 million or $0.09 per fully diluted shares outstanding, as compared to $1.3 million or $0.07 per fully diluted shares outstanding during the third quarter of 2022 (see definition of this non-GAAP measure and reconciliation to GAAP, below).</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for the third quarter of 2023 came in at $0.9 million compared to $1.0 million in the same year ago period (see definition of this non-GAAP measure and reconciliation to GAAP, below).</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cash equivalents and short-term investments totaled $63.5 million as of September 30, 2023 as compared to $74.1 million as of December 31, 2022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Will Febbo, OptimizeRx CEO commented, “I am excited to announce third quarter results came in well above expectations. We’ve seen significant momentum build up since the start of the second half of 2023, particularly around the utilization of our Dynamic Audience Activation Platform (DAAP). In fact, our total number of deals for the year is tracking ahead of expectations and now stands at 16. The macro headwinds we’ve been highlighting since the middle of last year have seemed to normalize and large pharma that started initial pilot programs with companies that had newly entered the space are now completing the measurement of these programs and, as we expected, have learned that these solutions are not scalable and are beginning to drive spend back our way.”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we couldn’t have asked for better timing to complete the acquisition of Medicx Health. Both business lines are showing growth, profitability, and are seeing significant client engagement. We are also moving forward as planned on executing against the numerous revenue, technological and operational synergies we identified. On a combined basis, revenues are expected to quickly surpass $100 million over the next 12 months while generating profitability and cash flow. The transaction further expands our omnichannel reach beyond HCPs to patients while adding multiple channels we haven’t accessed previously. The ability to provide significant scale for pharma manufacturers is quickly moving us up the decision maker hierarchy within our larger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16"/>
          <w:szCs w:val="16"/>
          <w:color w:val="auto"/>
        </w:rPr>
        <w:t>“Given that backdrop, I’m happy to say, we’re increasing our guidance for 2023 and are now looking for revenue and adjusted EBITDA to come in between $68-$70 million and $3-$4 million, respectively, for the year. We expect OptimizeRx’s pre-acquisition business will account for $63 to $65 million of 2023’s revenue guidance, which is up from our previous guidance which called for revenue to be in the mid-50 to low-60 million dollar range. We’re also introducing preliminary 2024 guidance and expect revenue to be at least $110 million and expect adjusted EBITDA margins to be at least 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Rolling</w:t>
            </w: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Rolling</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Twelve Months</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Twelve Months</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 (KPIs)*</w:t>
            </w: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r>
      <w:tr>
        <w:trPr>
          <w:trHeight w:val="216"/>
        </w:trPr>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revenue per top 20 pharmaceutical manufacturer</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1,972,308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Percent of top 20 pharmaceutical manufacturers that are customers</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 20 pharmaceutical manufacturers as percent of total net revenues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Net revenue retention</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per averages full-time employee (FTE)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570,973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559,646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Financial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OptimizeRx’s results for the first nine months of 2023 and its recent acquisition, the Company is updating its full year financial outlook for 2023. Revenues for 2023 are now expected to be between $68 million and $70 million and we expect our adjusted EBITDA to come in between $3 million and $4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introducing preliminary 2024 guidance at this time and expects revenue to be at least $110 million with an adjusted EBITDA margin of at least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Monday, November 6, 2023</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6"/>
          <w:szCs w:val="16"/>
          <w:color w:val="auto"/>
        </w:rPr>
        <w:t>8:30 a.m. Eastern Time (5:30 a.m. Pacific Time)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Toll Free:</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1-877-423-9813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1-201-689-8573</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Conference ID:</w:t>
            </w:r>
          </w:p>
        </w:tc>
        <w:tc>
          <w:tcPr>
            <w:tcW w:w="1460" w:type="dxa"/>
            <w:vAlign w:val="bottom"/>
          </w:tcPr>
          <w:p>
            <w:pPr>
              <w:ind w:left="300"/>
              <w:spacing w:after="0"/>
              <w:rPr>
                <w:sz w:val="20"/>
                <w:szCs w:val="20"/>
                <w:color w:val="auto"/>
              </w:rPr>
            </w:pPr>
            <w:r>
              <w:rPr>
                <w:rFonts w:ascii="Arial" w:cs="Arial" w:eastAsia="Arial" w:hAnsi="Arial"/>
                <w:sz w:val="18"/>
                <w:szCs w:val="18"/>
                <w:color w:val="auto"/>
              </w:rPr>
              <w:t>13742267</w:t>
            </w:r>
          </w:p>
        </w:tc>
      </w:tr>
    </w:tbl>
    <w:p>
      <w:pPr>
        <w:spacing w:after="0"/>
        <w:rPr>
          <w:sz w:val="20"/>
          <w:szCs w:val="20"/>
          <w:color w:val="auto"/>
        </w:rPr>
      </w:pPr>
      <w:r>
        <w:rPr>
          <w:rFonts w:ascii="Arial" w:cs="Arial" w:eastAsia="Arial" w:hAnsi="Arial"/>
          <w:sz w:val="18"/>
          <w:szCs w:val="18"/>
          <w:color w:val="auto"/>
        </w:rPr>
        <w:t>Call Me Link: https://callme.viavid.com/viavid/?callme=true&amp;passcode=13742267&amp;h=true&amp;info=company-email&amp;r=true&amp;B=6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https://viavid.webcasts.com/starthere.jsp?ei=1640427&amp;tp_key=4d243008bb.</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earnings release includes a presentation of non-GAAP net income (loss) and non-GAAP net income (loss) per diluted share or non-GAAP EPS, Adjusted EBITDA and Adjusted EBITDA margin, all of which are non-GAAP financial measures.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severance expense related to a reduction in force, income or loss related to the fair value of contingent consideration, and deferred income taxes. Non-GAAP EPS is defined as non-GAAP net income (loss) divided by the number of weighted average shares outstanding on a diluted basis. Adjusted EBITDA is defined as GAAP net income (loss) with an adjustment to add back depreciation, amortization, interest, stock-based compensation, acquisition expenses, severance expense related to a reduction in force, income or loss related to the fair value of contingent consideration, and deferred income taxes. Adjusted EBITDA margin is defined as Adjusted EBITDA divided by revenue.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non-GAAP financial measures may not provide information that is directly comparable to that provided by other companies in the Company’s industry, as other companies in the industry may calculate such non-GAAP financial results differently. The Company’s non-GAAP net income (loss), non-GAAP EPS, Adjusted EBITDA and Adjusted EBITDA margin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table, “Reconciliation of GAAP to NON-GAAP Financial Measures,” included below, provides a reconciliation of non-GAAP net income (loss), non-GAAP EPS, and Adjusted EBITDA for the three and nine months ended September 30, 2023 and 2022. Although the Company provides guidance for Adjusted EBITDA and Adjusted EBITDA margin, it is not able to provide guidance to the most directly comparable GAAP measures.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Definition of Key Performance Indicators*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The definition of “top 20 pharmaceutical manufacturers” is based upon Fierce Pharma’s list of “The top 20</w:t>
      </w:r>
      <w:r>
        <w:rPr>
          <w:rFonts w:ascii="Arial" w:cs="Arial" w:eastAsia="Arial" w:hAnsi="Arial"/>
          <w:sz w:val="18"/>
          <w:szCs w:val="18"/>
          <w:b w:val="1"/>
          <w:bCs w:val="1"/>
          <w:color w:val="auto"/>
        </w:rPr>
        <w:t xml:space="preserve"> </w:t>
      </w:r>
      <w:r>
        <w:rPr>
          <w:rFonts w:ascii="Arial" w:cs="Arial" w:eastAsia="Arial" w:hAnsi="Arial"/>
          <w:sz w:val="18"/>
          <w:szCs w:val="18"/>
          <w:color w:val="auto"/>
        </w:rPr>
        <w:t>pharma companies by 2022 revenue”.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Net revenue retention</w:t>
      </w:r>
      <w:r>
        <w:rPr>
          <w:rFonts w:ascii="Arial" w:cs="Arial" w:eastAsia="Arial" w:hAnsi="Arial"/>
          <w:sz w:val="18"/>
          <w:szCs w:val="18"/>
          <w:color w:val="auto"/>
        </w:rPr>
        <w:t>: Net revenue retention is a comparison of revenue generated from all clients in the previous period to total revenue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clients in the following year (i.e., excludes new client relationships for the most recent year).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 per average Full Time Employee: </w:t>
      </w:r>
      <w:r>
        <w:rPr>
          <w:rFonts w:ascii="Arial" w:cs="Arial" w:eastAsia="Arial" w:hAnsi="Arial"/>
          <w:sz w:val="18"/>
          <w:szCs w:val="18"/>
          <w:color w:val="auto"/>
        </w:rPr>
        <w:t>We define revenue per average full-time employee (FTE) as total revenue over the last 12 months (LTM)</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expected revenues, expected Adjusted EBITDA, expected adjusted EBITDA margin and prospects.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any synergies and other anticipated benefits of the Medicx merger may not be realized or may take longer than anticipated to be realized; the risk that the integration of OptimizeRx and Medicx will be more costly or difficult than expected; the effect of government regulation, competition, and other risks summarized in the Company’s Annual Report on Form 10-K for the fiscal year ended December 31, 2022, its subsequent Quarterly Reports on Form 10-Q, and its other filings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9,921,475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18,208,685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53,620,576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55,931,821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20,838,762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22,155,301</w:t>
            </w: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3,008,858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2,280,828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87,389,671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98,576,635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149,304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137,448</w:t>
            </w:r>
          </w:p>
        </w:tc>
        <w:tc>
          <w:tcPr>
            <w:tcW w:w="10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22,673,820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22,673,820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7,548,337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7,702,895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1,777,669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1,940,178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148,641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235,320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3,141,709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3,384,889</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36,390,176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35,937,102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7"/>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123,929,152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134,651,185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691,159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1,549,979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3,108,907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3,685,390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3,990,440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89,902</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188,394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164,309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7,701,538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120,955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7,822,493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8,540,408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Preferred stock, $0.001 par value, 10,000,000 shares authorized, none issued and outstanding at September 30, 2023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 December 31, 2022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$0.001 par value, 166,666,667 shares authorized, 18,386,920 and 18,288,571 shares issued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September 30, 2023 and December 31, 2022,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18,387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18,289</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Treasury stock, $0.001 par value, 1,741,397 and 1,214,398 shares held at September 30, 2023 and December 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176,206,572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172,785,800</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(60,116,559)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(46,692,098)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116,106,659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126,110,777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123,929,152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134,651,185</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For the Three Months</w:t>
            </w: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Nine Months</w:t>
            </w:r>
          </w:p>
        </w:tc>
      </w:tr>
      <w:tr>
        <w:trPr>
          <w:trHeight w:val="216"/>
        </w:trPr>
        <w:tc>
          <w:tcPr>
            <w:tcW w:w="880" w:type="dxa"/>
            <w:vAlign w:val="bottom"/>
          </w:tcPr>
          <w:p>
            <w:pPr>
              <w:spacing w:after="0"/>
              <w:rPr>
                <w:sz w:val="18"/>
                <w:szCs w:val="18"/>
                <w:color w:val="auto"/>
              </w:rPr>
            </w:pPr>
          </w:p>
        </w:tc>
        <w:tc>
          <w:tcPr>
            <w:tcW w:w="184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1580" w:type="dxa"/>
            <w:vAlign w:val="bottom"/>
            <w:gridSpan w:val="3"/>
          </w:tcPr>
          <w:p>
            <w:pPr>
              <w:jc w:val="center"/>
              <w:ind w:right="79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23" w:lineRule="exact"/>
        <w:rPr>
          <w:sz w:val="20"/>
          <w:szCs w:val="20"/>
          <w:color w:val="auto"/>
        </w:rPr>
      </w:pPr>
    </w:p>
    <w:p>
      <w:pPr>
        <w:ind w:left="180" w:right="155" w:hanging="161"/>
        <w:spacing w:after="0" w:line="257" w:lineRule="auto"/>
        <w:rPr>
          <w:sz w:val="20"/>
          <w:szCs w:val="20"/>
          <w:color w:val="auto"/>
        </w:rPr>
      </w:pPr>
      <w:r>
        <w:rPr>
          <w:rFonts w:ascii="Arial" w:cs="Arial" w:eastAsia="Arial" w:hAnsi="Arial"/>
          <w:sz w:val="18"/>
          <w:szCs w:val="18"/>
          <w:color w:val="auto"/>
        </w:rPr>
        <w:t>Cost of revenues, exclusive of depreciation and amortization presented separately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br w:type="column"/>
      </w:r>
    </w:p>
    <w:p>
      <w:pPr>
        <w:ind w:left="325" w:hanging="325"/>
        <w:spacing w:after="0"/>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16,331,484   $   15,085,504   $   43,152,560   $   42,795,699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1380" w:type="dxa"/>
            <w:vAlign w:val="bottom"/>
            <w:gridSpan w:val="2"/>
          </w:tcPr>
          <w:p>
            <w:pPr>
              <w:ind w:left="400"/>
              <w:spacing w:after="0"/>
              <w:rPr>
                <w:sz w:val="20"/>
                <w:szCs w:val="20"/>
                <w:color w:val="auto"/>
              </w:rPr>
            </w:pPr>
            <w:r>
              <w:rPr>
                <w:rFonts w:ascii="Arial" w:cs="Arial" w:eastAsia="Arial" w:hAnsi="Arial"/>
                <w:sz w:val="18"/>
                <w:szCs w:val="18"/>
                <w:color w:val="auto"/>
              </w:rPr>
              <w:t>6,531,183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5,664,733</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18,093,949</w:t>
            </w:r>
          </w:p>
        </w:tc>
        <w:tc>
          <w:tcPr>
            <w:tcW w:w="1120" w:type="dxa"/>
            <w:vAlign w:val="bottom"/>
          </w:tcPr>
          <w:p>
            <w:pPr>
              <w:jc w:val="right"/>
              <w:spacing w:after="0"/>
              <w:rPr>
                <w:sz w:val="20"/>
                <w:szCs w:val="20"/>
                <w:color w:val="auto"/>
              </w:rPr>
            </w:pPr>
            <w:r>
              <w:rPr>
                <w:rFonts w:ascii="Arial" w:cs="Arial" w:eastAsia="Arial" w:hAnsi="Arial"/>
                <w:sz w:val="18"/>
                <w:szCs w:val="18"/>
                <w:color w:val="auto"/>
              </w:rPr>
              <w:t>16,283,307</w:t>
            </w:r>
          </w:p>
        </w:tc>
      </w:tr>
      <w:tr>
        <w:trPr>
          <w:trHeight w:val="223"/>
        </w:trPr>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7"/>
              </w:rPr>
              <w:t>9,800,301</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9,420,771</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25,058,611</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26,512,392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-161925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12,887,083</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12,661,703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39,161,752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36,373,298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466,706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515,828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1,395,400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1,565,484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13,353,789</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13,177,530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40,557,152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37,938,782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(3,553,487)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(3,756,759)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(15,498,541)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(11,426,390)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688,190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289,967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2,074,081</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313,786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(2,865,297)</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(3,466,792)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(13,424,460)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(11,112,604)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(2,865,297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(3,466,792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(13,424,460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(11,112,604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16,637,606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17,981,184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16,907,482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17,994,288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16,637,606</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17,981,184</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16,907,482</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17,994,288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per share – basic</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Loss per share –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OPTIMIZERX CORPORATION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440" w:type="dxa"/>
            <w:vAlign w:val="bottom"/>
            <w:gridSpan w:val="6"/>
            <w:vMerge w:val="restart"/>
          </w:tcPr>
          <w:p>
            <w:pPr>
              <w:jc w:val="center"/>
              <w:ind w:right="240"/>
              <w:spacing w:after="0"/>
              <w:rPr>
                <w:sz w:val="20"/>
                <w:szCs w:val="20"/>
                <w:color w:val="auto"/>
              </w:rPr>
            </w:pPr>
            <w:r>
              <w:rPr>
                <w:rFonts w:ascii="Arial" w:cs="Arial" w:eastAsia="Arial" w:hAnsi="Arial"/>
                <w:sz w:val="18"/>
                <w:szCs w:val="18"/>
                <w:b w:val="1"/>
                <w:bCs w:val="1"/>
                <w:color w:val="auto"/>
                <w:w w:val="91"/>
              </w:rPr>
              <w:t>For the Nine Months</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Ended</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(13,424,460)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(11,112,604)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1,395,400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11,089,853</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11,476,662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bad debt reserve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478,086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838,453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(728,030)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2,199,333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(858,820)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(305,049)</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(1,704,593)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508,548</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(1,237,689)</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24,084</w:t>
            </w: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(716,693)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7,850,594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(81,767)</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(64,667)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held-to-maturity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(162,777,510)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(37,468,889)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Redemptions of held-to-maturity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165,088,755</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EvinceMed acquisition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(3,796)</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(158,321)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(1,561,447)</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664,235</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(39,691,877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employee withholding taxes related to the vesting of restricted stock units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(292,789)</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(7,522,426)</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(12,561,571)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145,706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origination costs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(7,969,509)</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(11,511,467)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(8,287,209)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(43,352,750)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18,208,685</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84,681,770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9,921,475</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41,329,020</w:t>
            </w:r>
          </w:p>
        </w:tc>
        <w:tc>
          <w:tcPr>
            <w:tcW w:w="100" w:type="dxa"/>
            <w:vAlign w:val="bottom"/>
            <w:tcBorders>
              <w:top w:val="single" w:sz="8" w:color="CCEEFF"/>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Reduction of EvinceMed purchase price for amounts previously paid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708,334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 in connection with acquisition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9,374,455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8"/>
                <w:szCs w:val="18"/>
                <w:color w:val="auto"/>
              </w:rPr>
            </w:pPr>
          </w:p>
        </w:tc>
        <w:tc>
          <w:tcPr>
            <w:tcW w:w="238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Pr>
          <w:p>
            <w:pPr>
              <w:spacing w:after="0"/>
              <w:rPr>
                <w:sz w:val="20"/>
                <w:szCs w:val="20"/>
                <w:color w:val="auto"/>
              </w:rPr>
            </w:pPr>
          </w:p>
        </w:tc>
        <w:tc>
          <w:tcPr>
            <w:tcW w:w="238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2023</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(2,865,297)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(3,466,792)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(13,424,460)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(11,112,604)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 amortization and noncash lease expense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466,706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515,828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1,395,400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1,565,484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3,206,227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4,277,241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11,089,853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11,476,662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Severance expense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206,477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206,477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Acquisition expense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554,741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580,691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 (loss)</w:t>
            </w: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7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1,568,854</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1,326,277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(152,039</w:t>
            </w:r>
          </w:p>
        </w:tc>
        <w:tc>
          <w:tcPr>
            <w:tcW w:w="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1,951,860</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Non-GAAP net income (loss) per share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16,648,778</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18,088,406</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16,907,482</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18,011,885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4"/>
                <w:szCs w:val="24"/>
                <w:color w:val="auto"/>
              </w:rPr>
            </w:pPr>
          </w:p>
        </w:tc>
        <w:tc>
          <w:tcPr>
            <w:tcW w:w="238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Pr>
          <w:p>
            <w:pPr>
              <w:spacing w:after="0"/>
              <w:rPr>
                <w:sz w:val="20"/>
                <w:szCs w:val="20"/>
                <w:color w:val="auto"/>
              </w:rPr>
            </w:pPr>
          </w:p>
        </w:tc>
        <w:tc>
          <w:tcPr>
            <w:tcW w:w="238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2023</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(2,865,297)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(3,466,792)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(13,424,460)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(11,112,604)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 amortization and noncash lease expense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466,706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515,828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1,395,400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1,565,484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3,206,227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4,277,241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11,089,853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11,476,662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Severance expense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206,477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206,477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Acquisition expense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554,741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580,691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(688,190)</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(289,967)</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(2,074,081)</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(313,786)</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880,664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1,036,310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(2,226,120</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1,638,074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2023-11-06T06:22:21Z</dcterms:created>
  <dcterms:modified xsi:type="dcterms:W3CDTF">2023-11-06T06:22:21Z</dcterms:modified>
</cp:coreProperties>
</file>