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25, 2021</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Nevada</w:t>
            </w:r>
          </w:p>
        </w:tc>
        <w:tc>
          <w:tcPr>
            <w:tcW w:w="3600" w:type="dxa"/>
            <w:vAlign w:val="bottom"/>
          </w:tcPr>
          <w:p>
            <w:pPr>
              <w:jc w:val="right"/>
              <w:ind w:right="133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7640" w:type="dxa"/>
            <w:vAlign w:val="bottom"/>
            <w:gridSpan w:val="4"/>
          </w:tcPr>
          <w:p>
            <w:pPr>
              <w:jc w:val="center"/>
              <w:ind w:right="200"/>
              <w:spacing w:after="0"/>
              <w:rPr>
                <w:sz w:val="20"/>
                <w:szCs w:val="20"/>
                <w:color w:val="auto"/>
              </w:rPr>
            </w:pPr>
            <w:r>
              <w:rPr>
                <w:rFonts w:ascii="Arial" w:cs="Arial" w:eastAsia="Arial" w:hAnsi="Arial"/>
                <w:sz w:val="18"/>
                <w:szCs w:val="18"/>
                <w:color w:val="auto"/>
                <w:w w:val="89"/>
              </w:rPr>
              <w:t>400 Water Street, Suite 200, Rochester, MI</w:t>
            </w:r>
          </w:p>
        </w:tc>
        <w:tc>
          <w:tcPr>
            <w:tcW w:w="3600" w:type="dxa"/>
            <w:vAlign w:val="bottom"/>
          </w:tcPr>
          <w:p>
            <w:pPr>
              <w:jc w:val="right"/>
              <w:ind w:right="149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486"/>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385"/>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January 25, 2021, we issued a press release announcing the results of operations for the quarter ended December 31, 2020 and other matters. The press release is furnished with this Current Report on Form 8-K as Exhibit 99.1.</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40" w:type="dxa"/>
            <w:vAlign w:val="bottom"/>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40" w:type="dxa"/>
            <w:vAlign w:val="bottom"/>
            <w:shd w:val="clear" w:color="auto" w:fill="CCEEFF"/>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January 25, 2021</w:t>
              </w:r>
            </w:hyperlink>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165735</wp:posOffset>
            </wp:positionV>
            <wp:extent cx="3497580" cy="728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758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Expects Q4 2020 Revenue up 117% to Record $16 Million, Full Year up 75% to Record $43 Million</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ROCHESTER, Mich. – January 25, 2021 </w:t>
      </w:r>
      <w:r>
        <w:rPr>
          <w:rFonts w:ascii="Arial" w:cs="Arial" w:eastAsia="Arial" w:hAnsi="Arial"/>
          <w:sz w:val="18"/>
          <w:szCs w:val="18"/>
          <w:color w:val="auto"/>
        </w:rPr>
        <w:t>– 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and patients, reported preliminary unaudited results for its fourth quarter and full year ended December 31, 2020.</w:t>
      </w:r>
    </w:p>
    <w:p>
      <w:pPr>
        <w:spacing w:after="0" w:line="16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the fourth quarter, the company expects record revenue of approximately $16 million, up 117% versus the fourth quarter of 2019, along with positive GAAP net income. The record revenue was primarily driven by strong organic growth in messaging and patient engagement solutions.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the company expects record revenue of approximately $43 million, up 75% over 2019.</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fourth quarter showed a strong finish to a great year of growth and market expansion, with this largely driven by life science companies increasingly using our nationwide digital health network to engage providers and patients at key touchpoints along the care journey,” stated OptimizeRx CEO Will Febbo. “This access became increasingly important throughout the year and has long-term durability due to a sustainable shift in customer needs, as the industry transitions to greater adoption of digital communication solutions for clinical and commercial activities.”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teams also delivered across all fronts, while developing innovative customer solutions designed to provide new organic revenue streams in 2021 and beyond,” continued Febbo. “We now have a fully integrated, highly scalable and compliant platform that integrates real-time, real-world data with AI and important voice tools. Our unique value proposition has never been stronger, and this is evident in our results.”</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2020, OptimizeRx maintained a high client renewal rate while adding 60 new brands. Steve Silvestro, the company’s chief commercial officer, commented: “A high contract renewal rate and the increasing demand for effective digital provider and patient engagement solutions have fueled our growth. We began the new year with a sales pipeline of around $170 million, and it is showing a continued shift toward enterprise-level engagements that generate recurring revenue streams. Altogether, we expect another very strong year of growth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company plans to report its full fourth quarter and full year 2020 results in late February.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This press release includes a presentation of non-GAAP net income (loss) and non-GAAP earnings (loss) per share or non-GAAP EPS, both of which are non-GAAP financial measures.</w:t>
      </w:r>
    </w:p>
    <w:p>
      <w:pPr>
        <w:spacing w:after="0" w:line="185"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The company defines non-GAAP net income (loss) as GAAP net income (loss) with an adjustment to add back depreciation, amortization, non-cash lease expense,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 w:name="page6"/>
    <w:bookmarkEnd w:id="5"/>
    <w:p>
      <w:pPr>
        <w:spacing w:after="0" w:line="296"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00"/>
      </w:cols>
      <w:pgMar w:left="320" w:top="8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2021-01-25T11:12:05Z</dcterms:created>
  <dcterms:modified xsi:type="dcterms:W3CDTF">2021-01-25T11:12:05Z</dcterms:modified>
</cp:coreProperties>
</file>