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8-K/A</w:t>
      </w:r>
    </w:p>
    <w:p>
      <w:pPr>
        <w:spacing w:after="0" w:line="3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Report (Date of earliest event reported): July 25, 2014</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OptimizeRx Corporation</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Times New Roman" w:cs="Times New Roman" w:eastAsia="Times New Roman" w:hAnsi="Times New Roman"/>
                <w:sz w:val="18"/>
                <w:szCs w:val="18"/>
                <w:color w:val="auto"/>
                <w:w w:val="98"/>
              </w:rPr>
              <w:t>Nevada</w:t>
            </w:r>
          </w:p>
        </w:tc>
        <w:tc>
          <w:tcPr>
            <w:tcW w:w="33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000-53605</w:t>
            </w:r>
          </w:p>
        </w:tc>
        <w:tc>
          <w:tcPr>
            <w:tcW w:w="33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(Commission File Number)</w:t>
            </w:r>
          </w:p>
        </w:tc>
        <w:tc>
          <w:tcPr>
            <w:tcW w:w="3360" w:type="dxa"/>
            <w:vAlign w:val="bottom"/>
            <w:gridSpan w:val="5"/>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25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115"/>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(17CFR 230.425)</w:t>
      </w:r>
    </w:p>
    <w:p>
      <w:pPr>
        <w:spacing w:after="0" w:line="27" w:lineRule="exact"/>
        <w:rPr>
          <w:rFonts w:ascii="Times New Roman" w:cs="Times New Roman" w:eastAsia="Times New Roman" w:hAnsi="Times New Roman"/>
          <w:sz w:val="18"/>
          <w:szCs w:val="18"/>
          <w:color w:val="auto"/>
        </w:rPr>
      </w:pPr>
    </w:p>
    <w:p>
      <w:pPr>
        <w:ind w:left="220" w:hanging="115"/>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220" w:hanging="115"/>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220" w:hanging="115"/>
        <w:spacing w:after="0"/>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4- MATTERS RELATED TO ACCOUNTANTS AND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July 25, 2014, Silberstein Ungar, PLLC (the “Former Accountant”) notified the Company that its principals joined the accounting firm of KLJ &amp; Associates, LLP. As a result of the transaction, on July 25, 2014, the Former Accountant resigned as the Company’s independent registered public accounting firm and the Company engaged KLJ &amp; Associates, LLP (the “New Accountant”) as the Company’s independent registered public accounting firm. The engagement of the New Accountant was approved by the Company’s Board of Directors.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Former Accountant’s audit reports on the financial statements of the Company for the fiscal years ended December 31, 2013 and 2012 contained no adverse opinion or disclaimer of opinion, nor were they qualified or modified as to uncertainty, audit scope or accounting principles.</w:t>
      </w:r>
    </w:p>
    <w:p>
      <w:pPr>
        <w:spacing w:after="0" w:line="16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2013 and 2012, and through the interim period ended July 25, 2014 , there were no “disagreements” (as such term is defined in Item 304 of Regulation S-K) with the Former Accountant on any matter of accounting principles or practices, financial statement disclosure, or auditing scope or procedures, which disagreements if not resolved to the satisfaction of the Former Accountant would have caused them to make reference thereto in their reports on the financial statements for such periods.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2013 and 2012, and through the interim period ended July 25, 2014 , there were the following “reportable events” (as such term is defined in Item 304 of Regulation S-K). As disclosed in Part I, Item 4 of the Company’s Form 10-Q for the quarterly period ended March 31, 2014, the Company’s management determined that the Company’s internal controls over financial reporting were not effective as of the end of such period due to the existence of material weaknesses related to the following:</w:t>
      </w:r>
    </w:p>
    <w:p>
      <w:pPr>
        <w:spacing w:after="0" w:line="180"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segregation of duties and effective risk assessment; and</w:t>
      </w:r>
    </w:p>
    <w:p>
      <w:pPr>
        <w:spacing w:after="0" w:line="225" w:lineRule="exact"/>
        <w:rPr>
          <w:sz w:val="20"/>
          <w:szCs w:val="20"/>
          <w:color w:val="auto"/>
        </w:rPr>
      </w:pPr>
    </w:p>
    <w:p>
      <w:pPr>
        <w:ind w:left="980" w:right="200" w:hanging="648"/>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written policies and procedures for accounting and financial reporting with respect to the requirements and application of both US GAAP and SEC guidelines.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material weaknesses have not been remediated as of the date of this Current Report on Form 8-K.</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than as disclosed above, there were no reportable events during the fiscal years ended December 31, 2013 and 2012, and through the interim period ended July 25, 2014. The Company’s Board of Directors discussed the subject matter of each reportable event with the Former Accountant. The Company authorized the Former Accountant to respond fully and without limitation to all requests of the New Accountant concerning all matters related to the audited period by the Former Accountant, including with respect to the subject matter of each reportable event.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retaining the New Accountant, the Company did not consult with the New Accountant regarding either: (i) the application of accounting principles to a specified transaction, either contemplated or proposed, or the type of audit opinion that might be rendered on the Company’s financial statements; or (ii) any matter that was the subject of a “disagreement” or a “reportable event” (as those terms are defined in Item 304 of Regulation S-K).</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25, 2014, the Company provided the Former Accountant with its disclosures in the Current Report on Form 8-K disclosing the dismissal of the Former Accountant and requested in writing that the Former Accountant furnish the Company with a letter addressed to the Securities and Exchange Commission stating whether or not they agree with such disclosures. The Former Accountant’s response is filed as an exhibit to this Current Report on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2" w:lineRule="exact"/>
        <w:rPr>
          <w:sz w:val="20"/>
          <w:szCs w:val="20"/>
          <w:color w:val="auto"/>
        </w:rPr>
      </w:pPr>
    </w:p>
    <w:p>
      <w:pPr>
        <w:ind w:left="1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9" w:lineRule="exact"/>
        <w:rPr>
          <w:sz w:val="20"/>
          <w:szCs w:val="20"/>
          <w:color w:val="auto"/>
        </w:rPr>
      </w:pPr>
    </w:p>
    <w:p>
      <w:pPr>
        <w:ind w:left="100"/>
        <w:spacing w:after="0"/>
        <w:tabs>
          <w:tab w:leader="none" w:pos="90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Silberstein Ungar, PLLC to the Securities and Exchange Commission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Doug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2014</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2224B"/>
        </w:rPr>
        <w:t>Silberstein Ungar, PLLC CPAs and Business Advisors</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2224B"/>
        </w:rPr>
        <w:t>Phone (248) 203-0080</w:t>
      </w:r>
    </w:p>
    <w:p>
      <w:pPr>
        <w:jc w:val="right"/>
        <w:spacing w:after="0" w:line="234" w:lineRule="auto"/>
        <w:rPr>
          <w:sz w:val="20"/>
          <w:szCs w:val="20"/>
          <w:color w:val="auto"/>
        </w:rPr>
      </w:pPr>
      <w:r>
        <w:rPr>
          <w:rFonts w:ascii="Times New Roman" w:cs="Times New Roman" w:eastAsia="Times New Roman" w:hAnsi="Times New Roman"/>
          <w:sz w:val="18"/>
          <w:szCs w:val="18"/>
          <w:color w:val="auto"/>
        </w:rPr>
        <w:t>Fax (248) 281-0940</w:t>
      </w:r>
    </w:p>
    <w:p>
      <w:pPr>
        <w:jc w:val="right"/>
        <w:spacing w:after="0" w:line="235" w:lineRule="auto"/>
        <w:rPr>
          <w:sz w:val="20"/>
          <w:szCs w:val="20"/>
          <w:color w:val="auto"/>
        </w:rPr>
      </w:pPr>
      <w:r>
        <w:rPr>
          <w:rFonts w:ascii="Times New Roman" w:cs="Times New Roman" w:eastAsia="Times New Roman" w:hAnsi="Times New Roman"/>
          <w:sz w:val="18"/>
          <w:szCs w:val="18"/>
          <w:color w:val="auto"/>
        </w:rPr>
        <w:t>30600 Telegraph Road, Suite 2175</w:t>
      </w:r>
    </w:p>
    <w:p>
      <w:pPr>
        <w:jc w:val="right"/>
        <w:spacing w:after="0" w:line="235" w:lineRule="auto"/>
        <w:rPr>
          <w:sz w:val="20"/>
          <w:szCs w:val="20"/>
          <w:color w:val="auto"/>
        </w:rPr>
      </w:pPr>
      <w:r>
        <w:rPr>
          <w:rFonts w:ascii="Times New Roman" w:cs="Times New Roman" w:eastAsia="Times New Roman" w:hAnsi="Times New Roman"/>
          <w:sz w:val="18"/>
          <w:szCs w:val="18"/>
          <w:color w:val="auto"/>
        </w:rPr>
        <w:t>Bingham Farms, MI 48025-4586</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2224B"/>
        </w:rPr>
        <w:t>www.sucpas.com</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OptimizeRx Corporation</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read the statements included in the 8-K dated July 25, 2014 of OptimizeRx Corporation to be filed with the Securities and Exchange Commission and are in agreement with the statements concerning our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basis to agree or disagree with the other statements included in such Form 8-K.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 Silberstein Ungar, PLLC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Silberstein Ungar, PLLC</w:t>
      </w:r>
    </w:p>
    <w:sectPr>
      <w:pgSz w:w="11900" w:h="16838" w:orient="portrait"/>
      <w:cols w:equalWidth="0" w:num="1">
        <w:col w:w="11420"/>
      </w:cols>
      <w:pgMar w:left="240" w:top="3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2019-12-07T20:01:50Z</dcterms:created>
  <dcterms:modified xsi:type="dcterms:W3CDTF">2019-12-07T20:01:50Z</dcterms:modified>
</cp:coreProperties>
</file>