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20" w:type="dxa"/>
            <w:vAlign w:val="bottom"/>
            <w:gridSpan w:val="5"/>
          </w:tcPr>
          <w:p>
            <w:pPr>
              <w:jc w:val="center"/>
              <w:ind w:right="660"/>
              <w:spacing w:after="0"/>
              <w:rPr>
                <w:sz w:val="20"/>
                <w:szCs w:val="20"/>
                <w:color w:val="auto"/>
              </w:rPr>
            </w:pPr>
            <w:r>
              <w:rPr>
                <w:rFonts w:ascii="Arial" w:cs="Arial" w:eastAsia="Arial" w:hAnsi="Arial"/>
                <w:sz w:val="18"/>
                <w:szCs w:val="18"/>
                <w:b w:val="1"/>
                <w:bCs w:val="1"/>
                <w:color w:val="auto"/>
              </w:rPr>
              <w:t>FORM 8-K</w:t>
            </w:r>
          </w:p>
        </w:tc>
        <w:tc>
          <w:tcPr>
            <w:tcW w:w="3180" w:type="dxa"/>
            <w:vAlign w:val="bottom"/>
          </w:tcPr>
          <w:p>
            <w:pPr>
              <w:spacing w:after="0"/>
              <w:rPr>
                <w:sz w:val="20"/>
                <w:szCs w:val="20"/>
                <w:color w:val="auto"/>
              </w:rPr>
            </w:pPr>
          </w:p>
        </w:tc>
      </w:tr>
      <w:tr>
        <w:trPr>
          <w:trHeight w:val="432"/>
        </w:trPr>
        <w:tc>
          <w:tcPr>
            <w:tcW w:w="3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20" w:type="dxa"/>
            <w:vAlign w:val="bottom"/>
            <w:gridSpan w:val="5"/>
          </w:tcPr>
          <w:p>
            <w:pPr>
              <w:jc w:val="center"/>
              <w:ind w:right="660"/>
              <w:spacing w:after="0"/>
              <w:rPr>
                <w:sz w:val="20"/>
                <w:szCs w:val="20"/>
                <w:color w:val="auto"/>
              </w:rPr>
            </w:pPr>
            <w:r>
              <w:rPr>
                <w:rFonts w:ascii="Arial" w:cs="Arial" w:eastAsia="Arial" w:hAnsi="Arial"/>
                <w:sz w:val="18"/>
                <w:szCs w:val="18"/>
                <w:b w:val="1"/>
                <w:bCs w:val="1"/>
                <w:color w:val="auto"/>
                <w:w w:val="99"/>
              </w:rPr>
              <w:t>CURRENT REPORT</w:t>
            </w:r>
          </w:p>
        </w:tc>
        <w:tc>
          <w:tcPr>
            <w:tcW w:w="3180" w:type="dxa"/>
            <w:vAlign w:val="bottom"/>
          </w:tcPr>
          <w:p>
            <w:pPr>
              <w:spacing w:after="0"/>
              <w:rPr>
                <w:sz w:val="24"/>
                <w:szCs w:val="24"/>
                <w:color w:val="auto"/>
              </w:rPr>
            </w:pPr>
          </w:p>
        </w:tc>
      </w:tr>
      <w:tr>
        <w:trPr>
          <w:trHeight w:val="414"/>
        </w:trPr>
        <w:tc>
          <w:tcPr>
            <w:tcW w:w="3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20" w:type="dxa"/>
            <w:vAlign w:val="bottom"/>
            <w:gridSpan w:val="5"/>
          </w:tcPr>
          <w:p>
            <w:pPr>
              <w:jc w:val="center"/>
              <w:ind w:right="660"/>
              <w:spacing w:after="0"/>
              <w:rPr>
                <w:sz w:val="20"/>
                <w:szCs w:val="20"/>
                <w:color w:val="auto"/>
              </w:rPr>
            </w:pPr>
            <w:r>
              <w:rPr>
                <w:rFonts w:ascii="Arial" w:cs="Arial" w:eastAsia="Arial" w:hAnsi="Arial"/>
                <w:sz w:val="18"/>
                <w:szCs w:val="18"/>
                <w:b w:val="1"/>
                <w:bCs w:val="1"/>
                <w:color w:val="auto"/>
                <w:w w:val="90"/>
              </w:rPr>
              <w:t>Pursuant to Section 13 or 15(d) of</w:t>
            </w:r>
          </w:p>
        </w:tc>
        <w:tc>
          <w:tcPr>
            <w:tcW w:w="3180" w:type="dxa"/>
            <w:vAlign w:val="bottom"/>
          </w:tcPr>
          <w:p>
            <w:pPr>
              <w:spacing w:after="0"/>
              <w:rPr>
                <w:sz w:val="24"/>
                <w:szCs w:val="24"/>
                <w:color w:val="auto"/>
              </w:rPr>
            </w:pPr>
          </w:p>
        </w:tc>
      </w:tr>
      <w:tr>
        <w:trPr>
          <w:trHeight w:val="234"/>
        </w:trPr>
        <w:tc>
          <w:tcPr>
            <w:tcW w:w="3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20" w:type="dxa"/>
            <w:vAlign w:val="bottom"/>
            <w:gridSpan w:val="5"/>
          </w:tcPr>
          <w:p>
            <w:pPr>
              <w:jc w:val="center"/>
              <w:ind w:right="640"/>
              <w:spacing w:after="0"/>
              <w:rPr>
                <w:sz w:val="20"/>
                <w:szCs w:val="20"/>
                <w:color w:val="auto"/>
              </w:rPr>
            </w:pPr>
            <w:r>
              <w:rPr>
                <w:rFonts w:ascii="Arial" w:cs="Arial" w:eastAsia="Arial" w:hAnsi="Arial"/>
                <w:sz w:val="18"/>
                <w:szCs w:val="18"/>
                <w:b w:val="1"/>
                <w:bCs w:val="1"/>
                <w:color w:val="auto"/>
                <w:w w:val="88"/>
              </w:rPr>
              <w:t>the Securities Exchange Act of 1934</w:t>
            </w:r>
          </w:p>
        </w:tc>
        <w:tc>
          <w:tcPr>
            <w:tcW w:w="3180" w:type="dxa"/>
            <w:vAlign w:val="bottom"/>
          </w:tcPr>
          <w:p>
            <w:pPr>
              <w:spacing w:after="0"/>
              <w:rPr>
                <w:sz w:val="20"/>
                <w:szCs w:val="20"/>
                <w:color w:val="auto"/>
              </w:rPr>
            </w:pPr>
          </w:p>
        </w:tc>
      </w:tr>
      <w:tr>
        <w:trPr>
          <w:trHeight w:val="432"/>
        </w:trPr>
        <w:tc>
          <w:tcPr>
            <w:tcW w:w="3000" w:type="dxa"/>
            <w:vAlign w:val="bottom"/>
          </w:tcPr>
          <w:p>
            <w:pPr>
              <w:spacing w:after="0"/>
              <w:rPr>
                <w:sz w:val="24"/>
                <w:szCs w:val="24"/>
                <w:color w:val="auto"/>
              </w:rPr>
            </w:pPr>
          </w:p>
        </w:tc>
        <w:tc>
          <w:tcPr>
            <w:tcW w:w="5060" w:type="dxa"/>
            <w:vAlign w:val="bottom"/>
            <w:gridSpan w:val="7"/>
          </w:tcPr>
          <w:p>
            <w:pPr>
              <w:jc w:val="center"/>
              <w:ind w:left="90"/>
              <w:spacing w:after="0"/>
              <w:rPr>
                <w:sz w:val="20"/>
                <w:szCs w:val="20"/>
                <w:color w:val="auto"/>
              </w:rPr>
            </w:pPr>
            <w:r>
              <w:rPr>
                <w:rFonts w:ascii="Arial" w:cs="Arial" w:eastAsia="Arial" w:hAnsi="Arial"/>
                <w:sz w:val="18"/>
                <w:szCs w:val="18"/>
                <w:b w:val="1"/>
                <w:bCs w:val="1"/>
                <w:color w:val="auto"/>
                <w:w w:val="92"/>
              </w:rPr>
              <w:t>Date of Report (Date of Earliest Event Reported): May 4, 2022</w:t>
            </w:r>
          </w:p>
        </w:tc>
        <w:tc>
          <w:tcPr>
            <w:tcW w:w="3180" w:type="dxa"/>
            <w:vAlign w:val="bottom"/>
          </w:tcPr>
          <w:p>
            <w:pPr>
              <w:spacing w:after="0"/>
              <w:rPr>
                <w:sz w:val="24"/>
                <w:szCs w:val="24"/>
                <w:color w:val="auto"/>
              </w:rPr>
            </w:pPr>
          </w:p>
        </w:tc>
      </w:tr>
      <w:tr>
        <w:trPr>
          <w:trHeight w:val="418"/>
        </w:trPr>
        <w:tc>
          <w:tcPr>
            <w:tcW w:w="3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20" w:type="dxa"/>
            <w:vAlign w:val="bottom"/>
            <w:gridSpan w:val="5"/>
          </w:tcPr>
          <w:p>
            <w:pPr>
              <w:jc w:val="center"/>
              <w:ind w:right="640"/>
              <w:spacing w:after="0"/>
              <w:rPr>
                <w:sz w:val="20"/>
                <w:szCs w:val="20"/>
                <w:color w:val="auto"/>
              </w:rPr>
            </w:pPr>
            <w:r>
              <w:rPr>
                <w:rFonts w:ascii="Arial" w:cs="Arial" w:eastAsia="Arial" w:hAnsi="Arial"/>
                <w:sz w:val="18"/>
                <w:szCs w:val="18"/>
                <w:b w:val="1"/>
                <w:bCs w:val="1"/>
                <w:color w:val="auto"/>
                <w:w w:val="93"/>
              </w:rPr>
              <w:t>OptimizeRx Corporation</w:t>
            </w:r>
          </w:p>
        </w:tc>
        <w:tc>
          <w:tcPr>
            <w:tcW w:w="3180" w:type="dxa"/>
            <w:vAlign w:val="bottom"/>
          </w:tcPr>
          <w:p>
            <w:pPr>
              <w:spacing w:after="0"/>
              <w:rPr>
                <w:sz w:val="24"/>
                <w:szCs w:val="24"/>
                <w:color w:val="auto"/>
              </w:rPr>
            </w:pPr>
          </w:p>
        </w:tc>
      </w:tr>
      <w:tr>
        <w:trPr>
          <w:trHeight w:val="230"/>
        </w:trPr>
        <w:tc>
          <w:tcPr>
            <w:tcW w:w="3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20" w:type="dxa"/>
            <w:vAlign w:val="bottom"/>
            <w:gridSpan w:val="5"/>
          </w:tcPr>
          <w:p>
            <w:pPr>
              <w:jc w:val="center"/>
              <w:ind w:right="640"/>
              <w:spacing w:after="0"/>
              <w:rPr>
                <w:sz w:val="20"/>
                <w:szCs w:val="20"/>
                <w:color w:val="auto"/>
              </w:rPr>
            </w:pPr>
            <w:r>
              <w:rPr>
                <w:rFonts w:ascii="Arial" w:cs="Arial" w:eastAsia="Arial" w:hAnsi="Arial"/>
                <w:sz w:val="18"/>
                <w:szCs w:val="18"/>
                <w:color w:val="auto"/>
                <w:w w:val="90"/>
              </w:rPr>
              <w:t>(Exact name of registrant as specified in charter)</w:t>
            </w:r>
          </w:p>
        </w:tc>
        <w:tc>
          <w:tcPr>
            <w:tcW w:w="3180" w:type="dxa"/>
            <w:vAlign w:val="bottom"/>
          </w:tcPr>
          <w:p>
            <w:pPr>
              <w:spacing w:after="0"/>
              <w:rPr>
                <w:sz w:val="20"/>
                <w:szCs w:val="20"/>
                <w:color w:val="auto"/>
              </w:rPr>
            </w:pPr>
          </w:p>
        </w:tc>
      </w:tr>
      <w:tr>
        <w:trPr>
          <w:trHeight w:val="452"/>
        </w:trPr>
        <w:tc>
          <w:tcPr>
            <w:tcW w:w="3000" w:type="dxa"/>
            <w:vAlign w:val="bottom"/>
          </w:tcPr>
          <w:p>
            <w:pPr>
              <w:jc w:val="center"/>
              <w:ind w:left="530"/>
              <w:spacing w:after="0"/>
              <w:rPr>
                <w:sz w:val="20"/>
                <w:szCs w:val="20"/>
                <w:color w:val="auto"/>
              </w:rPr>
            </w:pPr>
            <w:r>
              <w:rPr>
                <w:rFonts w:ascii="Arial" w:cs="Arial" w:eastAsia="Arial" w:hAnsi="Arial"/>
                <w:sz w:val="18"/>
                <w:szCs w:val="18"/>
                <w:b w:val="1"/>
                <w:bCs w:val="1"/>
                <w:color w:val="auto"/>
                <w:w w:val="90"/>
              </w:rPr>
              <w:t>Nevada</w:t>
            </w:r>
          </w:p>
        </w:tc>
        <w:tc>
          <w:tcPr>
            <w:tcW w:w="4440" w:type="dxa"/>
            <w:vAlign w:val="bottom"/>
            <w:gridSpan w:val="5"/>
          </w:tcPr>
          <w:p>
            <w:pPr>
              <w:jc w:val="center"/>
              <w:ind w:left="730"/>
              <w:spacing w:after="0"/>
              <w:rPr>
                <w:sz w:val="20"/>
                <w:szCs w:val="20"/>
                <w:color w:val="auto"/>
              </w:rPr>
            </w:pPr>
            <w:r>
              <w:rPr>
                <w:rFonts w:ascii="Arial" w:cs="Arial" w:eastAsia="Arial" w:hAnsi="Arial"/>
                <w:sz w:val="18"/>
                <w:szCs w:val="18"/>
                <w:b w:val="1"/>
                <w:bCs w:val="1"/>
                <w:color w:val="auto"/>
                <w:w w:val="90"/>
              </w:rPr>
              <w:t>001-38543</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80" w:type="dxa"/>
            <w:vAlign w:val="bottom"/>
          </w:tcPr>
          <w:p>
            <w:pPr>
              <w:jc w:val="center"/>
              <w:ind w:right="330"/>
              <w:spacing w:after="0"/>
              <w:rPr>
                <w:sz w:val="20"/>
                <w:szCs w:val="20"/>
                <w:color w:val="auto"/>
              </w:rPr>
            </w:pPr>
            <w:r>
              <w:rPr>
                <w:rFonts w:ascii="Arial" w:cs="Arial" w:eastAsia="Arial" w:hAnsi="Arial"/>
                <w:sz w:val="18"/>
                <w:szCs w:val="18"/>
                <w:b w:val="1"/>
                <w:bCs w:val="1"/>
                <w:color w:val="auto"/>
                <w:w w:val="91"/>
              </w:rPr>
              <w:t>26-1265381</w:t>
            </w:r>
          </w:p>
        </w:tc>
      </w:tr>
      <w:tr>
        <w:trPr>
          <w:trHeight w:val="202"/>
        </w:trPr>
        <w:tc>
          <w:tcPr>
            <w:tcW w:w="3000" w:type="dxa"/>
            <w:vAlign w:val="bottom"/>
            <w:tcBorders>
              <w:top w:val="single" w:sz="8" w:color="auto"/>
            </w:tcBorders>
          </w:tcPr>
          <w:p>
            <w:pPr>
              <w:jc w:val="center"/>
              <w:ind w:left="530"/>
              <w:spacing w:after="0" w:line="201" w:lineRule="exact"/>
              <w:rPr>
                <w:sz w:val="20"/>
                <w:szCs w:val="20"/>
                <w:color w:val="auto"/>
              </w:rPr>
            </w:pPr>
            <w:r>
              <w:rPr>
                <w:rFonts w:ascii="Arial" w:cs="Arial" w:eastAsia="Arial" w:hAnsi="Arial"/>
                <w:sz w:val="18"/>
                <w:szCs w:val="18"/>
                <w:color w:val="auto"/>
                <w:w w:val="92"/>
              </w:rPr>
              <w:t>(State or other jurisdiction</w:t>
            </w:r>
          </w:p>
        </w:tc>
        <w:tc>
          <w:tcPr>
            <w:tcW w:w="6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180" w:type="dxa"/>
            <w:vAlign w:val="bottom"/>
            <w:tcBorders>
              <w:top w:val="single" w:sz="8" w:color="auto"/>
            </w:tcBorders>
          </w:tcPr>
          <w:p>
            <w:pPr>
              <w:jc w:val="center"/>
              <w:ind w:right="31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000" w:type="dxa"/>
            <w:vAlign w:val="bottom"/>
          </w:tcPr>
          <w:p>
            <w:pPr>
              <w:jc w:val="center"/>
              <w:ind w:left="530"/>
              <w:spacing w:after="0"/>
              <w:rPr>
                <w:sz w:val="20"/>
                <w:szCs w:val="20"/>
                <w:color w:val="auto"/>
              </w:rPr>
            </w:pPr>
            <w:r>
              <w:rPr>
                <w:rFonts w:ascii="Arial" w:cs="Arial" w:eastAsia="Arial" w:hAnsi="Arial"/>
                <w:sz w:val="18"/>
                <w:szCs w:val="18"/>
                <w:color w:val="auto"/>
                <w:w w:val="93"/>
              </w:rPr>
              <w:t>of incorporation)</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180" w:type="dxa"/>
            <w:vAlign w:val="bottom"/>
          </w:tcPr>
          <w:p>
            <w:pPr>
              <w:jc w:val="center"/>
              <w:ind w:right="310"/>
              <w:spacing w:after="0"/>
              <w:rPr>
                <w:sz w:val="20"/>
                <w:szCs w:val="20"/>
                <w:color w:val="auto"/>
              </w:rPr>
            </w:pPr>
            <w:r>
              <w:rPr>
                <w:rFonts w:ascii="Arial" w:cs="Arial" w:eastAsia="Arial" w:hAnsi="Arial"/>
                <w:sz w:val="18"/>
                <w:szCs w:val="18"/>
                <w:color w:val="auto"/>
                <w:w w:val="95"/>
              </w:rPr>
              <w:t>Identification No.)</w:t>
            </w:r>
          </w:p>
        </w:tc>
      </w:tr>
      <w:tr>
        <w:trPr>
          <w:trHeight w:val="439"/>
        </w:trPr>
        <w:tc>
          <w:tcPr>
            <w:tcW w:w="8060" w:type="dxa"/>
            <w:vAlign w:val="bottom"/>
            <w:gridSpan w:val="8"/>
          </w:tcPr>
          <w:p>
            <w:pPr>
              <w:jc w:val="center"/>
              <w:ind w:right="2540"/>
              <w:spacing w:after="0"/>
              <w:rPr>
                <w:sz w:val="20"/>
                <w:szCs w:val="20"/>
                <w:color w:val="auto"/>
              </w:rPr>
            </w:pPr>
            <w:r>
              <w:rPr>
                <w:rFonts w:ascii="Arial" w:cs="Arial" w:eastAsia="Arial" w:hAnsi="Arial"/>
                <w:sz w:val="18"/>
                <w:szCs w:val="18"/>
                <w:b w:val="1"/>
                <w:bCs w:val="1"/>
                <w:color w:val="auto"/>
                <w:w w:val="91"/>
              </w:rPr>
              <w:t>400 Water Street, Suite 200, Rochester, MI</w:t>
            </w:r>
          </w:p>
        </w:tc>
        <w:tc>
          <w:tcPr>
            <w:tcW w:w="3180" w:type="dxa"/>
            <w:vAlign w:val="bottom"/>
          </w:tcPr>
          <w:p>
            <w:pPr>
              <w:jc w:val="right"/>
              <w:ind w:right="2430"/>
              <w:spacing w:after="0"/>
              <w:rPr>
                <w:sz w:val="20"/>
                <w:szCs w:val="20"/>
                <w:color w:val="auto"/>
              </w:rPr>
            </w:pPr>
            <w:r>
              <w:rPr>
                <w:rFonts w:ascii="Arial" w:cs="Arial" w:eastAsia="Arial" w:hAnsi="Arial"/>
                <w:sz w:val="18"/>
                <w:szCs w:val="18"/>
                <w:b w:val="1"/>
                <w:bCs w:val="1"/>
                <w:color w:val="auto"/>
              </w:rPr>
              <w:t>48307</w:t>
            </w:r>
          </w:p>
        </w:tc>
      </w:tr>
      <w:tr>
        <w:trPr>
          <w:trHeight w:val="230"/>
        </w:trPr>
        <w:tc>
          <w:tcPr>
            <w:tcW w:w="552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2320" w:type="dxa"/>
            <w:vAlign w:val="bottom"/>
            <w:tcBorders>
              <w:top w:val="single" w:sz="8" w:color="auto"/>
            </w:tcBorders>
            <w:gridSpan w:val="3"/>
          </w:tcPr>
          <w:p>
            <w:pPr>
              <w:spacing w:after="0"/>
              <w:rPr>
                <w:sz w:val="20"/>
                <w:szCs w:val="20"/>
                <w:color w:val="auto"/>
              </w:rPr>
            </w:pPr>
          </w:p>
        </w:tc>
        <w:tc>
          <w:tcPr>
            <w:tcW w:w="3180" w:type="dxa"/>
            <w:vAlign w:val="bottom"/>
            <w:tcBorders>
              <w:top w:val="single" w:sz="8" w:color="auto"/>
            </w:tcBorders>
          </w:tcPr>
          <w:p>
            <w:pPr>
              <w:jc w:val="center"/>
              <w:ind w:right="2210"/>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u w:val="single" w:color="auto"/>
          <w:color w:val="auto"/>
        </w:rPr>
        <w:t>248.651.6568</w:t>
      </w:r>
    </w:p>
    <w:p>
      <w:pPr>
        <w:spacing w:after="0" w:line="225" w:lineRule="exact"/>
        <w:rPr>
          <w:sz w:val="24"/>
          <w:szCs w:val="24"/>
          <w:color w:val="auto"/>
        </w:rPr>
      </w:pPr>
    </w:p>
    <w:p>
      <w:pPr>
        <w:ind w:left="4960"/>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-7620</wp:posOffset>
            </wp:positionV>
            <wp:extent cx="23837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790" cy="8255"/>
                    </a:xfrm>
                    <a:prstGeom prst="rect">
                      <a:avLst/>
                    </a:prstGeom>
                    <a:noFill/>
                  </pic:spPr>
                </pic:pic>
              </a:graphicData>
            </a:graphic>
          </wp:anchor>
        </w:drawing>
      </w:r>
    </w:p>
    <w:p>
      <w:pPr>
        <w:spacing w:after="0" w:line="7"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Trading</w:t>
            </w:r>
          </w:p>
        </w:tc>
        <w:tc>
          <w:tcPr>
            <w:tcW w:w="3600" w:type="dxa"/>
            <w:vAlign w:val="bottom"/>
          </w:tcPr>
          <w:p>
            <w:pPr>
              <w:spacing w:after="0"/>
              <w:rPr>
                <w:sz w:val="18"/>
                <w:szCs w:val="18"/>
                <w:color w:val="auto"/>
              </w:rPr>
            </w:pPr>
          </w:p>
        </w:tc>
      </w:tr>
      <w:tr>
        <w:trPr>
          <w:trHeight w:val="241"/>
        </w:trPr>
        <w:tc>
          <w:tcPr>
            <w:tcW w:w="3840" w:type="dxa"/>
            <w:vAlign w:val="bottom"/>
            <w:gridSpan w:val="2"/>
          </w:tcPr>
          <w:p>
            <w:pPr>
              <w:ind w:left="1140"/>
              <w:spacing w:after="0"/>
              <w:rPr>
                <w:sz w:val="20"/>
                <w:szCs w:val="20"/>
                <w:color w:val="auto"/>
              </w:rPr>
            </w:pPr>
            <w:r>
              <w:rPr>
                <w:rFonts w:ascii="Arial" w:cs="Arial" w:eastAsia="Arial" w:hAnsi="Arial"/>
                <w:sz w:val="18"/>
                <w:szCs w:val="18"/>
                <w:b w:val="1"/>
                <w:bCs w:val="1"/>
                <w:color w:val="auto"/>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Stock, $0.001 Par Value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OPRX</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The Nasdaq Capital Market</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630555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May 4, 2022, OptimizeRx Corporation issued a press release announcing its financial results for the first quarter ended March 31, 2022. A copy of the press release is furnished with this Current Report on Form 8-K as Exhibit 99.1 and is incorporated herein by reference.</w:t>
      </w:r>
    </w:p>
    <w:p>
      <w:pPr>
        <w:spacing w:after="0" w:line="17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information in this Item 2.02 and Exhibit 99.1 attached hereto are furnished and shall not be deemed “filed” for purposes of Section 18 of the Securities Exchange Act of 1934, as amended (the “Exchange Act”), or otherwise subject to the liabilities of that section, nor shall such information be deemed incorporated by reference into any filing under the Securities Act of 1933, as amended, or the Exchange Act, except as expressly set forth by specific reference in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8" w:lineRule="exact"/>
        <w:rPr>
          <w:sz w:val="20"/>
          <w:szCs w:val="20"/>
          <w:color w:val="auto"/>
        </w:rPr>
      </w:pPr>
    </w:p>
    <w:p>
      <w:pPr>
        <w:spacing w:after="0"/>
        <w:tabs>
          <w:tab w:leader="none" w:pos="112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May 4,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5580" w:right="4120" w:hanging="5572"/>
        <w:spacing w:after="0" w:line="778" w:lineRule="auto"/>
        <w:tabs>
          <w:tab w:leader="none" w:pos="1143"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-842645</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904" w:right="4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tabs>
          <w:tab w:leader="none" w:pos="6740" w:val="left"/>
          <w:tab w:leader="none" w:pos="7200" w:val="left"/>
        </w:tabs>
        <w:rPr>
          <w:sz w:val="20"/>
          <w:szCs w:val="20"/>
          <w:color w:val="auto"/>
        </w:rPr>
      </w:pPr>
      <w:r>
        <w:rPr>
          <w:rFonts w:ascii="Arial" w:cs="Arial" w:eastAsia="Arial" w:hAnsi="Arial"/>
          <w:sz w:val="18"/>
          <w:szCs w:val="18"/>
          <w:color w:val="auto"/>
        </w:rPr>
        <w:t>Date: May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Edward Stelmakh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Edward Stelmakh</w:t>
      </w:r>
    </w:p>
    <w:p>
      <w:pPr>
        <w:spacing w:after="0" w:line="23" w:lineRule="exact"/>
        <w:rPr>
          <w:sz w:val="20"/>
          <w:szCs w:val="20"/>
          <w:color w:val="auto"/>
        </w:rPr>
      </w:pPr>
    </w:p>
    <w:p>
      <w:pPr>
        <w:ind w:left="722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154305</wp:posOffset>
            </wp:positionV>
            <wp:extent cx="2503170" cy="4718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0317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Reports First Quarter 2022 Financial Results, Revenue Up 22%, Successfully Completes EvinceMed Acquisition</w:t>
      </w:r>
    </w:p>
    <w:p>
      <w:pPr>
        <w:spacing w:after="0" w:line="229"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Up 22% to $13.7 million on increased average revenue per top 20 pharmaceutical manufacturer client</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Traction with top 20 pharmaceutical manufacturers continues to advance and drive growth</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flow positive from operations of $4.1 million</w:t>
      </w:r>
    </w:p>
    <w:p>
      <w:pPr>
        <w:spacing w:after="0" w:line="221"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 xml:space="preserve">ROCHESTER, Mich. – May 4, 2022 – </w:t>
      </w:r>
      <w:r>
        <w:rPr>
          <w:rFonts w:ascii="Arial" w:cs="Arial" w:eastAsia="Arial" w:hAnsi="Arial"/>
          <w:sz w:val="18"/>
          <w:szCs w:val="18"/>
          <w:color w:val="auto"/>
        </w:rPr>
        <w:t>OptimizeRx Corp. (the “Company”) (Nasdaq: OPRX), a leading provider of point-of-care technology solutions</w:t>
      </w:r>
      <w:r>
        <w:rPr>
          <w:rFonts w:ascii="Arial" w:cs="Arial" w:eastAsia="Arial" w:hAnsi="Arial"/>
          <w:sz w:val="18"/>
          <w:szCs w:val="18"/>
          <w:b w:val="1"/>
          <w:bCs w:val="1"/>
          <w:color w:val="auto"/>
        </w:rPr>
        <w:t xml:space="preserve"> </w:t>
      </w:r>
      <w:r>
        <w:rPr>
          <w:rFonts w:ascii="Arial" w:cs="Arial" w:eastAsia="Arial" w:hAnsi="Arial"/>
          <w:sz w:val="18"/>
          <w:szCs w:val="18"/>
          <w:color w:val="auto"/>
        </w:rPr>
        <w:t>helping patients start and stay on therapy, reported results for the three months ended March 31, 2022. Quarterly comparisons are to the same year-ago period.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TTM March 31</w:t>
            </w:r>
          </w:p>
        </w:tc>
      </w:tr>
      <w:tr>
        <w:trPr>
          <w:trHeight w:val="237"/>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Key Performance Indicators (KPIs)*</w:t>
            </w: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r>
      <w:tr>
        <w:trPr>
          <w:trHeight w:val="216"/>
        </w:trPr>
        <w:tc>
          <w:tcPr>
            <w:tcW w:w="8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Average revenue per top 20 pharmaceutical manufacturers</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2,549,836</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2,120,780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Percent of top 20 pharmaceutical manufacturers that are clients</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Top 20 pharmaceutical manufacturers as percent of total net revenues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Net revenue retention</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124%</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161%</w:t>
            </w: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per average full-time employee (FTE)</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733,275</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634,571</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Highlights</w:t>
      </w:r>
    </w:p>
    <w:p>
      <w:pPr>
        <w:spacing w:after="0" w:line="229"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Revenue in the first quarter of 2022 increased 22% to a record $13.7 million, from $11.2 million as compared to the same year ago period.</w:t>
      </w:r>
    </w:p>
    <w:p>
      <w:pPr>
        <w:spacing w:after="0" w:line="263" w:lineRule="exact"/>
        <w:rPr>
          <w:rFonts w:ascii="Arial" w:cs="Arial" w:eastAsia="Arial" w:hAnsi="Arial"/>
          <w:sz w:val="17"/>
          <w:szCs w:val="17"/>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profit in the first quarter of 2022 increased 32% year-over-year to $8.1 million.</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GAAP net loss totaled $3.8 million or $(0.21) per basic and diluted share in the first quarter.</w:t>
      </w:r>
    </w:p>
    <w:p>
      <w:pPr>
        <w:spacing w:after="0" w:line="252" w:lineRule="exact"/>
        <w:rPr>
          <w:rFonts w:ascii="Arial" w:cs="Arial" w:eastAsia="Arial" w:hAnsi="Arial"/>
          <w:sz w:val="18"/>
          <w:szCs w:val="18"/>
          <w:color w:val="auto"/>
        </w:rPr>
      </w:pPr>
    </w:p>
    <w:p>
      <w:pPr>
        <w:ind w:left="340" w:right="12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Non-GAAP net loss in the first quarter totaled $0.1 million or $(0.01) per basic and fully diluted shares outstanding. (see definition of this non-GAAP measure and reconciliation to GAAP, below).</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and cash equivalents totaled $89.0 million as of March 31, 2022 as compared to $84.7 million as of December 31,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Year To Date Highlights</w:t>
      </w:r>
    </w:p>
    <w:p>
      <w:pPr>
        <w:spacing w:after="0" w:line="229"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Completed the acquisition of EvinceMed, a specialty drug prescription initiation platform.</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Ranked as one of The Americas’ fastest-growing companies by the Financial Times for the third consecutive year</w:t>
      </w:r>
    </w:p>
    <w:p>
      <w:pPr>
        <w:spacing w:after="0" w:line="252" w:lineRule="exact"/>
        <w:rPr>
          <w:rFonts w:ascii="Arial" w:cs="Arial" w:eastAsia="Arial" w:hAnsi="Arial"/>
          <w:sz w:val="18"/>
          <w:szCs w:val="18"/>
          <w:color w:val="auto"/>
        </w:rPr>
      </w:pPr>
    </w:p>
    <w:p>
      <w:pPr>
        <w:ind w:left="340" w:right="68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Announced the deployment of OptimizeRx’s digital access solution to address and streamline patient therapy initiation challenges for a top 10 pharmaceutical manufacturer.</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Published the Company’s first Environmental, Social and Governance (ESG) report</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Mike Rousselle, OptimizeRx’s vice president of data product, named to MM+M’s “40 Under 40 List”</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OptimizeRx’s AI-Driven </w:t>
      </w:r>
      <w:r>
        <w:rPr>
          <w:rFonts w:ascii="Arial" w:cs="Arial" w:eastAsia="Arial" w:hAnsi="Arial"/>
          <w:sz w:val="18"/>
          <w:szCs w:val="18"/>
          <w:i w:val="1"/>
          <w:iCs w:val="1"/>
          <w:color w:val="auto"/>
        </w:rPr>
        <w:t>Therapy Initiation and Persistence Platform</w:t>
      </w:r>
      <w:r>
        <w:rPr>
          <w:rFonts w:ascii="Arial" w:cs="Arial" w:eastAsia="Arial" w:hAnsi="Arial"/>
          <w:sz w:val="18"/>
          <w:szCs w:val="18"/>
          <w:color w:val="auto"/>
        </w:rPr>
        <w:t xml:space="preserve"> won Business Intelligence’s 2022 BIG Innovation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Management Commentary</w:t>
      </w:r>
    </w:p>
    <w:p>
      <w:pPr>
        <w:spacing w:after="0" w:line="22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Will Febbo, OptimizeRx CEO commented, “We are very pleased with the financial and operational progress made during the quarter and believe a significant portion of the heavy lifting for the Company to hit its 2022 objectives has already been achieved. Our business continues to see limited impact from many of the supply chain related and inflationary macro headwinds that are impacting other industries. Moreover, rapidly shifting pharma commercial models with the need for uninterrupted access to HCPs are acting as catalysts and resulting in increased traction for our commercial team. As a result, my confidence in the trajectory of our business and recently introduced KPIs has only increased this year.”</w:t>
      </w:r>
    </w:p>
    <w:p>
      <w:pPr>
        <w:spacing w:after="0" w:line="176"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“We are also delighted to note the completion of the EvinceMed acquisition, which helps further our industry-leading position and ultimately serves to expand us within key markets, including specialty medications. The acquisition expands the reach of our point-of-care solutions by simplifying the prescribing process of specialty medications and enabling greater access for patients across the nation’s largest digital HCP network.” concluded Mr. Febbo.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Q1 2022 Financial Summary</w:t>
      </w:r>
    </w:p>
    <w:p>
      <w:pPr>
        <w:spacing w:after="0" w:line="225" w:lineRule="exact"/>
        <w:rPr>
          <w:sz w:val="20"/>
          <w:szCs w:val="20"/>
          <w:color w:val="auto"/>
        </w:rPr>
      </w:pPr>
    </w:p>
    <w:p>
      <w:pPr>
        <w:ind w:right="320"/>
        <w:spacing w:after="0" w:line="312" w:lineRule="auto"/>
        <w:rPr>
          <w:sz w:val="20"/>
          <w:szCs w:val="20"/>
          <w:color w:val="auto"/>
        </w:rPr>
      </w:pPr>
      <w:r>
        <w:rPr>
          <w:rFonts w:ascii="Arial" w:cs="Arial" w:eastAsia="Arial" w:hAnsi="Arial"/>
          <w:sz w:val="17"/>
          <w:szCs w:val="17"/>
          <w:b w:val="1"/>
          <w:bCs w:val="1"/>
          <w:color w:val="auto"/>
        </w:rPr>
        <w:t xml:space="preserve">Total revenue </w:t>
      </w:r>
      <w:r>
        <w:rPr>
          <w:rFonts w:ascii="Arial" w:cs="Arial" w:eastAsia="Arial" w:hAnsi="Arial"/>
          <w:sz w:val="17"/>
          <w:szCs w:val="17"/>
          <w:color w:val="auto"/>
        </w:rPr>
        <w:t>reported for the three months ended March 31, 2022 was approximately $13.7 million, an increase of 22% over the approximately $11.2</w:t>
      </w:r>
      <w:r>
        <w:rPr>
          <w:rFonts w:ascii="Arial" w:cs="Arial" w:eastAsia="Arial" w:hAnsi="Arial"/>
          <w:sz w:val="17"/>
          <w:szCs w:val="17"/>
          <w:b w:val="1"/>
          <w:bCs w:val="1"/>
          <w:color w:val="auto"/>
        </w:rPr>
        <w:t xml:space="preserve"> </w:t>
      </w:r>
      <w:r>
        <w:rPr>
          <w:rFonts w:ascii="Arial" w:cs="Arial" w:eastAsia="Arial" w:hAnsi="Arial"/>
          <w:sz w:val="17"/>
          <w:szCs w:val="17"/>
          <w:color w:val="auto"/>
        </w:rPr>
        <w:t>million from the same period in 2021. The increased revenue resulted from increased sales from our core messaging solutions.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Gross margin </w:t>
      </w:r>
      <w:r>
        <w:rPr>
          <w:rFonts w:ascii="Arial" w:cs="Arial" w:eastAsia="Arial" w:hAnsi="Arial"/>
          <w:sz w:val="17"/>
          <w:szCs w:val="17"/>
          <w:color w:val="auto"/>
        </w:rPr>
        <w:t>increased to 59% from 55% in the year-ago quarter, with the increase related to a more favorable channel partner and solution mix.</w:t>
      </w:r>
    </w:p>
    <w:p>
      <w:pPr>
        <w:spacing w:after="0" w:line="237" w:lineRule="exact"/>
        <w:rPr>
          <w:sz w:val="20"/>
          <w:szCs w:val="20"/>
          <w:color w:val="auto"/>
        </w:rPr>
      </w:pPr>
    </w:p>
    <w:p>
      <w:pPr>
        <w:ind w:right="520"/>
        <w:spacing w:after="0" w:line="266"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totaled $11.9 million and increased from $6.8 million in the same year-ago quarter. This increase in expense is primarily due to</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in, and expansion of, our workforce to enable future growth and includes $2.5 million in additional stock based compensation than was recognized in the year-ago quarter.</w:t>
      </w:r>
    </w:p>
    <w:p>
      <w:pPr>
        <w:spacing w:after="0" w:line="176"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on a GAAP basis was approximately $3.8 million or $(0.21) per basic and diluted share, as compared to a net loss of $0.6 million or $(0.04) per</w:t>
      </w:r>
      <w:r>
        <w:rPr>
          <w:rFonts w:ascii="Arial" w:cs="Arial" w:eastAsia="Arial" w:hAnsi="Arial"/>
          <w:sz w:val="18"/>
          <w:szCs w:val="18"/>
          <w:b w:val="1"/>
          <w:bCs w:val="1"/>
          <w:color w:val="auto"/>
        </w:rPr>
        <w:t xml:space="preserve"> </w:t>
      </w:r>
      <w:r>
        <w:rPr>
          <w:rFonts w:ascii="Arial" w:cs="Arial" w:eastAsia="Arial" w:hAnsi="Arial"/>
          <w:sz w:val="18"/>
          <w:szCs w:val="18"/>
          <w:color w:val="auto"/>
        </w:rPr>
        <w:t>basic and fully diluted share in the first quarter of 2021.</w:t>
      </w:r>
    </w:p>
    <w:p>
      <w:pPr>
        <w:spacing w:after="0" w:line="162" w:lineRule="exact"/>
        <w:rPr>
          <w:sz w:val="20"/>
          <w:szCs w:val="20"/>
          <w:color w:val="auto"/>
        </w:rPr>
      </w:pPr>
    </w:p>
    <w:p>
      <w:pPr>
        <w:ind w:right="400"/>
        <w:spacing w:after="0" w:line="266" w:lineRule="auto"/>
        <w:rPr>
          <w:sz w:val="20"/>
          <w:szCs w:val="20"/>
          <w:color w:val="auto"/>
        </w:rPr>
      </w:pPr>
      <w:r>
        <w:rPr>
          <w:rFonts w:ascii="Arial" w:cs="Arial" w:eastAsia="Arial" w:hAnsi="Arial"/>
          <w:sz w:val="18"/>
          <w:szCs w:val="18"/>
          <w:b w:val="1"/>
          <w:bCs w:val="1"/>
          <w:color w:val="auto"/>
        </w:rPr>
        <w:t xml:space="preserve">Non-GAAP net loss </w:t>
      </w:r>
      <w:r>
        <w:rPr>
          <w:rFonts w:ascii="Arial" w:cs="Arial" w:eastAsia="Arial" w:hAnsi="Arial"/>
          <w:sz w:val="18"/>
          <w:szCs w:val="18"/>
          <w:color w:val="auto"/>
        </w:rPr>
        <w:t>was $0.1 million or $(0.01) per basic and fully diluted shares outstanding, compared to non-GAAP net income of $0.6 million or</w:t>
      </w:r>
      <w:r>
        <w:rPr>
          <w:rFonts w:ascii="Arial" w:cs="Arial" w:eastAsia="Arial" w:hAnsi="Arial"/>
          <w:sz w:val="18"/>
          <w:szCs w:val="18"/>
          <w:b w:val="1"/>
          <w:bCs w:val="1"/>
          <w:color w:val="auto"/>
        </w:rPr>
        <w:t xml:space="preserve"> </w:t>
      </w:r>
      <w:r>
        <w:rPr>
          <w:rFonts w:ascii="Arial" w:cs="Arial" w:eastAsia="Arial" w:hAnsi="Arial"/>
          <w:sz w:val="18"/>
          <w:szCs w:val="18"/>
          <w:color w:val="auto"/>
        </w:rPr>
        <w:t>$0.04 and $0.03 per basic and fully diluted share in the same year-ago period (see definition of this non-GAAP measure and reconciliation to GAAP, below).</w:t>
      </w:r>
    </w:p>
    <w:p>
      <w:pPr>
        <w:spacing w:after="0" w:line="176"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totaled $89.0 million as of March 31, 2022, as compared to $84.7 million as of December 31, 2021. The increase to our cash</w:t>
      </w:r>
      <w:r>
        <w:rPr>
          <w:rFonts w:ascii="Arial" w:cs="Arial" w:eastAsia="Arial" w:hAnsi="Arial"/>
          <w:sz w:val="18"/>
          <w:szCs w:val="18"/>
          <w:b w:val="1"/>
          <w:bCs w:val="1"/>
          <w:color w:val="auto"/>
        </w:rPr>
        <w:t xml:space="preserve"> </w:t>
      </w:r>
      <w:r>
        <w:rPr>
          <w:rFonts w:ascii="Arial" w:cs="Arial" w:eastAsia="Arial" w:hAnsi="Arial"/>
          <w:sz w:val="18"/>
          <w:szCs w:val="18"/>
          <w:color w:val="auto"/>
        </w:rPr>
        <w:t>balance was almost completely due to cash flows from operating activities.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2022 Financial Outlook</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is reaffirming its full year financial outlook for 2022 and continues to expect net revenues of $80 million to $85 million, representing year-over-year growth of 31% to 39%, respectively, and gross margins to come in between 57% and 60%.</w:t>
      </w:r>
    </w:p>
    <w:p>
      <w:pPr>
        <w:spacing w:after="0" w:line="170"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The Company expects revenue growth will align closely with continued progress on the KPIs highlighted above and will be driven by its “land and expand” strategy of obtaining new customers and growing its existing clients’ spend by increasing the number of solutions each brand leverages, the number of brands supported, and overall utilization of its platform.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OptimizeRx management will host the presentation, followed by a question-and-answer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Wednesday, May 4,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4:30 p.m. Eastern time (1:30 p.m. Pacific 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Web access: https://event.choruscall.com/mediaframe/webcast.html?webcastid=mJzKX2F9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Toll-free dial-in number: 1-877-423-9813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dial-in number: 1-201-689-8573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13729156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Please call the conference telephone number five minutes prior to the start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replay of the call will remain available for 12 months via the Investors section of the OptimizeRx website at www.optimizerx.com/investors.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Use of Non-GAAP Financial Measures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This earnings release includes a presentation of non-GAAP net income (loss) and non-GAAP earnings (loss) per share or non-GAAP EPS, both of which are non-GAAP financial measures.</w:t>
      </w:r>
    </w:p>
    <w:p>
      <w:pPr>
        <w:spacing w:after="0" w:line="170" w:lineRule="exact"/>
        <w:rPr>
          <w:sz w:val="20"/>
          <w:szCs w:val="20"/>
          <w:color w:val="auto"/>
        </w:rPr>
      </w:pPr>
    </w:p>
    <w:p>
      <w:pPr>
        <w:jc w:val="both"/>
        <w:ind w:right="260"/>
        <w:spacing w:after="0" w:line="275" w:lineRule="auto"/>
        <w:rPr>
          <w:sz w:val="20"/>
          <w:szCs w:val="20"/>
          <w:color w:val="auto"/>
        </w:rPr>
      </w:pPr>
      <w:r>
        <w:rPr>
          <w:rFonts w:ascii="Arial" w:cs="Arial" w:eastAsia="Arial" w:hAnsi="Arial"/>
          <w:sz w:val="17"/>
          <w:szCs w:val="17"/>
          <w:color w:val="auto"/>
        </w:rPr>
        <w:t>The Company defines non-GAAP net income (loss) as GAAP net income (loss) with an adjustment to add back depreciation, amortization, stock-based compensation, acquisition expenses, income or loss related to the fair value of contingent consideration, and deferred income taxes. Non-GAAP EPS is defined as non-GAAP net income (loss) divided by the number of weighted average shares outstanding on a basic and diluted basis. The Company has provided non-GAAP financial measures to aid investors in better understanding its performance. Management believes that these non-GAAP financial measures provide additional insight into the operations and cashflow of the Company.</w:t>
      </w:r>
    </w:p>
    <w:p>
      <w:pPr>
        <w:spacing w:after="0" w:line="176"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Because of varying available valuation methodologies, subjective assumptions and the variety of equity instruments that can impact a Company’s non-cash operating expenses, management believes that providing non-GAAP financial measures that excludes non-cash expenses allows for meaningful comparisons between the Company’s core business operating results and those of other companies, as well as provides an important tool for financial and operational decision making and for evaluating the Company’s own core business operating results over different periods of time.</w:t>
      </w: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6" w:name="page7"/>
    <w:bookmarkEnd w:id="6"/>
    <w:p>
      <w:pPr>
        <w:spacing w:after="0" w:line="296" w:lineRule="auto"/>
        <w:rPr>
          <w:sz w:val="20"/>
          <w:szCs w:val="20"/>
          <w:color w:val="auto"/>
        </w:rPr>
      </w:pPr>
      <w:r>
        <w:rPr>
          <w:rFonts w:ascii="Arial" w:cs="Arial" w:eastAsia="Arial" w:hAnsi="Arial"/>
          <w:sz w:val="16"/>
          <w:szCs w:val="16"/>
          <w:color w:val="auto"/>
        </w:rPr>
        <w:t>The Company’s non-GAAP net income (loss) and non-GAAP EPS measures may not provide information that is directly comparable to that provided by other companies in the Company’s industry, as other companies in the industry may calculate such non-GAAP financial results differently. The Company’s non-GAAP net income (loss) and non-GAAP EPS are not measurements of financial performance under GAAP and should not be considered as an alternative to operating income or as an indication of operating performance or any other measure of performance derived in accordance with GAAP. The Company does not consider these non-GAAP measures to be substitutes for or superior to the information provided by its GAAP financial results.</w:t>
      </w:r>
    </w:p>
    <w:p>
      <w:pPr>
        <w:spacing w:after="0" w:line="16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table, “Reconciliation of non-GAAP to GAAP Financial Measures,” included below, provides a reconciliation of non-GAAP net income (loss) and non-GAAP EPS for the three months ended March 31, 2022 and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Key Performance Indicators*</w:t>
      </w:r>
    </w:p>
    <w:p>
      <w:pPr>
        <w:spacing w:after="0" w:line="225"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 xml:space="preserve">Top 20 pharmaceutical manufacturers: </w:t>
      </w:r>
      <w:r>
        <w:rPr>
          <w:rFonts w:ascii="Arial" w:cs="Arial" w:eastAsia="Arial" w:hAnsi="Arial"/>
          <w:sz w:val="18"/>
          <w:szCs w:val="18"/>
          <w:color w:val="auto"/>
        </w:rPr>
        <w:t>Top 20 pharmaceutical manufacturers are based on Fierce Pharma’s “The top 20 pharma companies by 2020</w:t>
      </w:r>
      <w:r>
        <w:rPr>
          <w:rFonts w:ascii="Arial" w:cs="Arial" w:eastAsia="Arial" w:hAnsi="Arial"/>
          <w:sz w:val="18"/>
          <w:szCs w:val="18"/>
          <w:b w:val="1"/>
          <w:bCs w:val="1"/>
          <w:color w:val="auto"/>
        </w:rPr>
        <w:t xml:space="preserve"> </w:t>
      </w:r>
      <w:r>
        <w:rPr>
          <w:rFonts w:ascii="Arial" w:cs="Arial" w:eastAsia="Arial" w:hAnsi="Arial"/>
          <w:sz w:val="18"/>
          <w:szCs w:val="18"/>
          <w:color w:val="auto"/>
        </w:rPr>
        <w:t>revenue.”</w:t>
      </w:r>
    </w:p>
    <w:p>
      <w:pPr>
        <w:spacing w:after="0" w:line="162"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Net revenue retention</w:t>
      </w:r>
      <w:r>
        <w:rPr>
          <w:rFonts w:ascii="Arial" w:cs="Arial" w:eastAsia="Arial" w:hAnsi="Arial"/>
          <w:sz w:val="18"/>
          <w:szCs w:val="18"/>
          <w:color w:val="auto"/>
        </w:rPr>
        <w:t>: Net revenue retention is a comparison of revenue generated from all clients in the previous period to total revenue generated from</w:t>
      </w:r>
      <w:r>
        <w:rPr>
          <w:rFonts w:ascii="Arial" w:cs="Arial" w:eastAsia="Arial" w:hAnsi="Arial"/>
          <w:sz w:val="18"/>
          <w:szCs w:val="18"/>
          <w:b w:val="1"/>
          <w:bCs w:val="1"/>
          <w:color w:val="auto"/>
        </w:rPr>
        <w:t xml:space="preserve"> </w:t>
      </w:r>
      <w:r>
        <w:rPr>
          <w:rFonts w:ascii="Arial" w:cs="Arial" w:eastAsia="Arial" w:hAnsi="Arial"/>
          <w:sz w:val="18"/>
          <w:szCs w:val="18"/>
          <w:color w:val="auto"/>
        </w:rPr>
        <w:t>the same clients in the following year (i.e., excludes new client relationships for the most recent year).</w:t>
      </w:r>
    </w:p>
    <w:p>
      <w:pPr>
        <w:spacing w:after="0" w:line="162"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 xml:space="preserve">Revenue per average Full Time Employee: </w:t>
      </w:r>
      <w:r>
        <w:rPr>
          <w:rFonts w:ascii="Arial" w:cs="Arial" w:eastAsia="Arial" w:hAnsi="Arial"/>
          <w:sz w:val="18"/>
          <w:szCs w:val="18"/>
          <w:color w:val="auto"/>
        </w:rPr>
        <w:t>We define revenue per average full-time employee (FTE) as total revenue over the last 12 months (LTM)</w:t>
      </w:r>
      <w:r>
        <w:rPr>
          <w:rFonts w:ascii="Arial" w:cs="Arial" w:eastAsia="Arial" w:hAnsi="Arial"/>
          <w:sz w:val="18"/>
          <w:szCs w:val="18"/>
          <w:b w:val="1"/>
          <w:bCs w:val="1"/>
          <w:color w:val="auto"/>
        </w:rPr>
        <w:t xml:space="preserve"> </w:t>
      </w:r>
      <w:r>
        <w:rPr>
          <w:rFonts w:ascii="Arial" w:cs="Arial" w:eastAsia="Arial" w:hAnsi="Arial"/>
          <w:sz w:val="18"/>
          <w:szCs w:val="18"/>
          <w:color w:val="auto"/>
        </w:rPr>
        <w:t>divided by the average number of employees over the LTM, which is calculated by taking our total number of FTEs at the end of the prior year period by our total FTE headcount at the end of the most recent.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OptimizeRx is the best-in-class health technology company enabling care-focused engagement between life sciences organizations, healthcare providers, and patients at critical junctures throughout the patient care journey. Connecting over 60% of U.S. healthcare providers and millions of their patients through the most intelligent technology platform embedded within a proprietary digital point-of-care network, OptimizeRx helps patients start and stay on their medications.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follow the Company on Twitter, LinkedIn or visit www.optimizerx.com.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Forward-Looking Statements</w:t>
      </w:r>
    </w:p>
    <w:p>
      <w:pPr>
        <w:spacing w:after="0" w:line="229"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Words such as “anticipates”, “believes”, “estimates”, “expects”, “forecasts”, “intends”, “plans”, “projects”, “targets”, “designed”, “could”, “may”, “should”, “will” or other similar words and expressions are intended to identify these forward-looking statements. All statements that reflect the Company’s expectations, assumptions, projections, beliefs or opinions about the future, other than statements of historical fact, are forward-looking statements, including, without limitation, statements relating to the Company’s growth, business plans and future performance. These forward-looking statements are based on the Company’s current expectations and assumptions regarding the Company’s business, the economy, and other future conditions. The Company disclaims any intention or obligation to publicly update or revise any forward-looking statements, whether because of new information, future events, or otherwise, except as required by applicable law.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risks summarized in the Company’s Annual Report on Form 10-K for the fiscal year ended December 31, 2021, its subsequent Quarterly Reports on Form 10-Q, and its other filings with the Securities and Exchange Commission.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Andy D’Silva, SVP Corporate Finance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adsilva@optimizerx.com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Maira Alejandra, Media Relations Manager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malejandra@optimizerx.com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Ashley Robinson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LifeSci Advisors,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arr@lifesciadvisors.com</w:t>
      </w:r>
    </w:p>
    <w:p>
      <w:pPr>
        <w:spacing w:after="0" w:line="200" w:lineRule="exact"/>
        <w:rPr>
          <w:sz w:val="20"/>
          <w:szCs w:val="20"/>
          <w:color w:val="auto"/>
        </w:rPr>
      </w:pP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March 31,</w:t>
            </w:r>
          </w:p>
        </w:tc>
        <w:tc>
          <w:tcPr>
            <w:tcW w:w="122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88,954,391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84,681,770</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19,135,824</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24,800,585</w:t>
            </w:r>
          </w:p>
        </w:tc>
      </w:tr>
      <w:tr>
        <w:trPr>
          <w:trHeight w:val="249"/>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4,609,489</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5,630,655</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112,699,704</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3"/>
              </w:rPr>
              <w:t>115,113,010</w:t>
            </w:r>
          </w:p>
        </w:tc>
        <w:tc>
          <w:tcPr>
            <w:tcW w:w="100" w:type="dxa"/>
            <w:vAlign w:val="bottom"/>
            <w:tcBorders>
              <w:top w:val="single" w:sz="8" w:color="CCEEFF"/>
              <w:bottom w:val="single" w:sz="8" w:color="CCEEFF"/>
            </w:tcBorders>
            <w:gridSpan w:val="2"/>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137,441</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143,818</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14,740,031</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14,740,031</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10,548,884</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10,975,474</w:t>
            </w:r>
          </w:p>
        </w:tc>
      </w:tr>
      <w:tr>
        <w:trPr>
          <w:trHeight w:val="249"/>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Security deposits and other assets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12,859</w:t>
            </w:r>
          </w:p>
        </w:tc>
        <w:tc>
          <w:tcPr>
            <w:tcW w:w="16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12,859</w:t>
            </w: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Other Assets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25,301,774</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25,728,364</w:t>
            </w:r>
          </w:p>
        </w:tc>
        <w:tc>
          <w:tcPr>
            <w:tcW w:w="100" w:type="dxa"/>
            <w:vAlign w:val="bottom"/>
            <w:tcBorders>
              <w:top w:val="single" w:sz="8" w:color="CCEEFF"/>
              <w:bottom w:val="single" w:sz="8" w:color="CCEEFF"/>
            </w:tcBorders>
            <w:gridSpan w:val="2"/>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138,138,919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140,985,192</w:t>
            </w:r>
          </w:p>
        </w:tc>
        <w:tc>
          <w:tcPr>
            <w:tcW w:w="80" w:type="dxa"/>
            <w:vAlign w:val="bottom"/>
            <w:shd w:val="clear" w:color="auto" w:fill="CCEEFF"/>
          </w:tcPr>
          <w:p>
            <w:pPr>
              <w:spacing w:after="0"/>
              <w:rPr>
                <w:sz w:val="21"/>
                <w:szCs w:val="2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 trade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600,729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606,808</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1,718,055</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2,902,836</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 share payable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3,175,719</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4,378,216</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Current portion of lease obligations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87,581</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90,982</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contingent purchase price payable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36"/>
        </w:trPr>
        <w:tc>
          <w:tcPr>
            <w:tcW w:w="868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1,293,044</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1,389,907</w:t>
            </w:r>
          </w:p>
        </w:tc>
        <w:tc>
          <w:tcPr>
            <w:tcW w:w="80" w:type="dxa"/>
            <w:vAlign w:val="bottom"/>
          </w:tcPr>
          <w:p>
            <w:pPr>
              <w:spacing w:after="0"/>
              <w:rPr>
                <w:sz w:val="20"/>
                <w:szCs w:val="20"/>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6,875,128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9,368,749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ind w:left="340"/>
              <w:spacing w:after="0" w:line="203" w:lineRule="exact"/>
              <w:rPr>
                <w:sz w:val="20"/>
                <w:szCs w:val="20"/>
                <w:color w:val="auto"/>
              </w:rPr>
            </w:pPr>
            <w:r>
              <w:rPr>
                <w:rFonts w:ascii="Arial" w:cs="Arial" w:eastAsia="Arial" w:hAnsi="Arial"/>
                <w:sz w:val="18"/>
                <w:szCs w:val="18"/>
                <w:color w:val="auto"/>
              </w:rPr>
              <w:t>Non-Current Liabilities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50"/>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 liabilities, net of current portion</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212,946</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236,726</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7,088,074</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9,605,475</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(See note 8)</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86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1"/>
              </w:rPr>
              <w:t>Preferred stock, $0.001 par value, 10,000,000 shares authorized, none issued and outstanding at March 31, 2022 or</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December 31, 2021</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r>
      <w:tr>
        <w:trPr>
          <w:trHeight w:val="202"/>
        </w:trPr>
        <w:tc>
          <w:tcPr>
            <w:tcW w:w="8680" w:type="dxa"/>
            <w:vAlign w:val="bottom"/>
          </w:tcPr>
          <w:p>
            <w:pPr>
              <w:ind w:left="180"/>
              <w:spacing w:after="0" w:line="201" w:lineRule="exact"/>
              <w:rPr>
                <w:sz w:val="20"/>
                <w:szCs w:val="20"/>
                <w:color w:val="auto"/>
              </w:rPr>
            </w:pPr>
            <w:r>
              <w:rPr>
                <w:rFonts w:ascii="Arial" w:cs="Arial" w:eastAsia="Arial" w:hAnsi="Arial"/>
                <w:sz w:val="18"/>
                <w:szCs w:val="18"/>
                <w:color w:val="auto"/>
                <w:w w:val="93"/>
              </w:rPr>
              <w:t>Common stock, $0.001 par value, 166,666,667 shares authorized, 17,902,608 and 17,860,975 shares issued and</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8680" w:type="dxa"/>
            <w:vAlign w:val="bottom"/>
          </w:tcPr>
          <w:p>
            <w:pPr>
              <w:ind w:left="340"/>
              <w:spacing w:after="0"/>
              <w:rPr>
                <w:sz w:val="20"/>
                <w:szCs w:val="20"/>
                <w:color w:val="auto"/>
              </w:rPr>
            </w:pPr>
            <w:r>
              <w:rPr>
                <w:rFonts w:ascii="Arial" w:cs="Arial" w:eastAsia="Arial" w:hAnsi="Arial"/>
                <w:sz w:val="18"/>
                <w:szCs w:val="18"/>
                <w:color w:val="auto"/>
              </w:rPr>
              <w:t>outstanding at March 31, 2022 and December 31, 2021, respectively</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17,903</w:t>
            </w:r>
          </w:p>
        </w:tc>
        <w:tc>
          <w:tcPr>
            <w:tcW w:w="160" w:type="dxa"/>
            <w:vAlign w:val="bottom"/>
          </w:tcPr>
          <w:p>
            <w:pPr>
              <w:spacing w:after="0"/>
              <w:rPr>
                <w:sz w:val="20"/>
                <w:szCs w:val="20"/>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17,861</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paid-in-capital</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170,047,698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166,615,514</w:t>
            </w: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(39,014,756)</w:t>
            </w:r>
          </w:p>
        </w:tc>
        <w:tc>
          <w:tcPr>
            <w:tcW w:w="16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(35,253,658)</w:t>
            </w: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131,050,845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131,379,717</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138,138,919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140,985,192</w:t>
            </w:r>
          </w:p>
        </w:tc>
        <w:tc>
          <w:tcPr>
            <w:tcW w:w="80" w:type="dxa"/>
            <w:vAlign w:val="bottom"/>
          </w:tcPr>
          <w:p>
            <w:pPr>
              <w:spacing w:after="0"/>
              <w:rPr>
                <w:sz w:val="20"/>
                <w:szCs w:val="20"/>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60" w:type="dxa"/>
            <w:vAlign w:val="bottom"/>
            <w:gridSpan w:val="5"/>
          </w:tcPr>
          <w:p>
            <w:pPr>
              <w:jc w:val="right"/>
              <w:ind w:right="401"/>
              <w:spacing w:after="0"/>
              <w:rPr>
                <w:sz w:val="20"/>
                <w:szCs w:val="20"/>
                <w:color w:val="auto"/>
              </w:rPr>
            </w:pPr>
            <w:r>
              <w:rPr>
                <w:rFonts w:ascii="Arial" w:cs="Arial" w:eastAsia="Arial" w:hAnsi="Arial"/>
                <w:sz w:val="18"/>
                <w:szCs w:val="18"/>
                <w:b w:val="1"/>
                <w:bCs w:val="1"/>
                <w:color w:val="auto"/>
              </w:rPr>
              <w:t>For the Three Months</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60" w:type="dxa"/>
            <w:vAlign w:val="bottom"/>
            <w:gridSpan w:val="5"/>
          </w:tcPr>
          <w:p>
            <w:pPr>
              <w:jc w:val="right"/>
              <w:ind w:right="601"/>
              <w:spacing w:after="0"/>
              <w:rPr>
                <w:sz w:val="20"/>
                <w:szCs w:val="20"/>
                <w:color w:val="auto"/>
              </w:rPr>
            </w:pPr>
            <w:r>
              <w:rPr>
                <w:rFonts w:ascii="Arial" w:cs="Arial" w:eastAsia="Arial" w:hAnsi="Arial"/>
                <w:sz w:val="18"/>
                <w:szCs w:val="18"/>
                <w:b w:val="1"/>
                <w:bCs w:val="1"/>
                <w:color w:val="auto"/>
              </w:rPr>
              <w:t>Ended March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9"/>
              </w:rPr>
              <w:t>13,731,530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9"/>
              </w:rPr>
              <w:t>11,229,211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Cost of revenues</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5,629,858</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5,104,603</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margin</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8,101,672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6,124,609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Salaries, Wages, &amp; Benefits</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5,305,866</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3,580,817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3,174,098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707,153</w:t>
            </w:r>
          </w:p>
        </w:tc>
        <w:tc>
          <w:tcPr>
            <w:tcW w:w="0" w:type="dxa"/>
            <w:vAlign w:val="bottom"/>
          </w:tcPr>
          <w:p>
            <w:pPr>
              <w:spacing w:after="0"/>
              <w:rPr>
                <w:sz w:val="1"/>
                <w:szCs w:val="1"/>
                <w:color w:val="auto"/>
              </w:rPr>
            </w:pPr>
          </w:p>
        </w:tc>
      </w:tr>
      <w:tr>
        <w:trPr>
          <w:trHeight w:val="237"/>
        </w:trPr>
        <w:tc>
          <w:tcPr>
            <w:tcW w:w="8680" w:type="dxa"/>
            <w:vAlign w:val="bottom"/>
          </w:tcPr>
          <w:p>
            <w:pPr>
              <w:ind w:left="340"/>
              <w:spacing w:after="0"/>
              <w:rPr>
                <w:sz w:val="20"/>
                <w:szCs w:val="20"/>
                <w:color w:val="auto"/>
              </w:rPr>
            </w:pPr>
            <w:r>
              <w:rPr>
                <w:rFonts w:ascii="Arial" w:cs="Arial" w:eastAsia="Arial" w:hAnsi="Arial"/>
                <w:sz w:val="18"/>
                <w:szCs w:val="18"/>
                <w:color w:val="auto"/>
              </w:rPr>
              <w:t>Other general and administrative expenses</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3,382,809</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2,474,946</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11,862,773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6,762,916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w w:val="97"/>
              </w:rPr>
              <w:t>(3,761,101)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(638,308)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(3,761,098)</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(637,377)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Income tax benefit</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(3,761,098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(637,377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Arial" w:cs="Arial" w:eastAsia="Arial" w:hAnsi="Arial"/>
                <w:sz w:val="18"/>
                <w:szCs w:val="18"/>
                <w:color w:val="auto"/>
              </w:rPr>
              <w:t>Weighted average number of shares outstanding – basic</w:t>
            </w:r>
          </w:p>
        </w:tc>
        <w:tc>
          <w:tcPr>
            <w:tcW w:w="2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17,878,068</w:t>
            </w:r>
          </w:p>
        </w:tc>
        <w:tc>
          <w:tcPr>
            <w:tcW w:w="2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16,101,837</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shares outstanding – diluted</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17,878,068</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16,101,837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Arial" w:cs="Arial" w:eastAsia="Arial" w:hAnsi="Arial"/>
                <w:sz w:val="18"/>
                <w:szCs w:val="18"/>
                <w:color w:val="auto"/>
              </w:rPr>
              <w:t>Income (loss) per share – basic</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220" w:type="dxa"/>
            <w:vAlign w:val="bottom"/>
            <w:tcBorders>
              <w:bottom w:val="single" w:sz="8" w:color="CCEEFF"/>
            </w:tcBorders>
            <w:vMerge w:val="continue"/>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Income (loss) per share – diluted</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For the Three Months</w:t>
      </w:r>
    </w:p>
    <w:p>
      <w:pPr>
        <w:spacing w:after="0" w:line="27"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Ended 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   (3,761,098)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(637,377)</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471,539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496,321</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3,174,098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582,159</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issued for board service</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124,994</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Provision for loss on accounts receivable</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21,000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20,000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Changes in:</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5,643,761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3,126,815</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assets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1,021,166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937,083</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(6,079)</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(118,971)</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 share payable</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(1,202,497)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(1,476,063)</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(1,184,781)</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(1,550,569)</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leases, net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(987)</w:t>
            </w: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(96,863)</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162,345</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4,080,244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1,665,750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sectPr>
          <w:pgSz w:w="11900" w:h="16838" w:orient="portrait"/>
          <w:cols w:equalWidth="0" w:num="1">
            <w:col w:w="11240"/>
          </w:cols>
          <w:pgMar w:left="320" w:top="904" w:right="339" w:bottom="1440" w:gutter="0" w:footer="0" w:header="0"/>
        </w:sectPr>
      </w:pPr>
    </w:p>
    <w:p>
      <w:pPr>
        <w:spacing w:after="0"/>
        <w:rPr>
          <w:sz w:val="20"/>
          <w:szCs w:val="20"/>
          <w:color w:val="auto"/>
        </w:rPr>
      </w:pPr>
      <w:r>
        <w:rPr>
          <w:rFonts w:ascii="Arial" w:cs="Arial" w:eastAsia="Arial" w:hAnsi="Arial"/>
          <w:sz w:val="18"/>
          <w:szCs w:val="18"/>
          <w:b w:val="1"/>
          <w:bCs w:val="1"/>
          <w:color w:val="auto"/>
        </w:rPr>
        <w:t>CASH FLOWS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Purchase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ind w:right="3580" w:firstLine="162"/>
        <w:spacing w:after="0" w:line="285" w:lineRule="auto"/>
        <w:rPr>
          <w:sz w:val="20"/>
          <w:szCs w:val="20"/>
          <w:color w:val="auto"/>
        </w:rPr>
      </w:pPr>
      <w:r>
        <w:rPr>
          <w:rFonts w:ascii="Arial" w:cs="Arial" w:eastAsia="Arial" w:hAnsi="Arial"/>
          <w:sz w:val="18"/>
          <w:szCs w:val="18"/>
          <w:color w:val="auto"/>
        </w:rPr>
        <w:t>Purchase of intangible assets, including intellectual property rights NET CASH USED IN INVESTING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tabs>
          <w:tab w:leader="none" w:pos="1300" w:val="left"/>
        </w:tabs>
        <w:rPr>
          <w:sz w:val="20"/>
          <w:szCs w:val="20"/>
          <w:color w:val="auto"/>
        </w:rPr>
      </w:pPr>
      <w:r>
        <w:rPr>
          <w:rFonts w:ascii="Arial" w:cs="Arial" w:eastAsia="Arial" w:hAnsi="Arial"/>
          <w:sz w:val="16"/>
          <w:szCs w:val="16"/>
          <w:color w:val="auto"/>
        </w:rPr>
        <w:t>(14,480)</w:t>
      </w:r>
      <w:r>
        <w:rPr>
          <w:sz w:val="20"/>
          <w:szCs w:val="20"/>
          <w:color w:val="auto"/>
        </w:rPr>
        <w:tab/>
      </w:r>
      <w:r>
        <w:rPr>
          <w:rFonts w:ascii="Arial" w:cs="Arial" w:eastAsia="Arial" w:hAnsi="Arial"/>
          <w:sz w:val="16"/>
          <w:szCs w:val="16"/>
          <w:color w:val="auto"/>
        </w:rPr>
        <w:t>(19,871)</w:t>
      </w:r>
    </w:p>
    <w:p>
      <w:pPr>
        <w:spacing w:after="0" w:line="46"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(51,271)</w:t>
      </w:r>
      <w:r>
        <w:rPr>
          <w:sz w:val="20"/>
          <w:szCs w:val="20"/>
          <w:color w:val="auto"/>
        </w:rPr>
        <w:tab/>
      </w:r>
      <w:r>
        <w:rPr>
          <w:rFonts w:ascii="Arial" w:cs="Arial" w:eastAsia="Arial" w:hAnsi="Arial"/>
          <w:sz w:val="16"/>
          <w:szCs w:val="16"/>
          <w:color w:val="auto"/>
        </w:rPr>
        <w:t>(64,693</w:t>
      </w:r>
    </w:p>
    <w:p>
      <w:pPr>
        <w:spacing w:after="0" w:line="23"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(65,751)</w:t>
      </w:r>
      <w:r>
        <w:rPr>
          <w:sz w:val="20"/>
          <w:szCs w:val="20"/>
          <w:color w:val="auto"/>
        </w:rPr>
        <w:tab/>
      </w:r>
      <w:r>
        <w:rPr>
          <w:rFonts w:ascii="Arial" w:cs="Arial" w:eastAsia="Arial" w:hAnsi="Arial"/>
          <w:sz w:val="16"/>
          <w:szCs w:val="16"/>
          <w:color w:val="auto"/>
        </w:rPr>
        <w:t>(84,564)</w:t>
      </w:r>
    </w:p>
    <w:p>
      <w:pPr>
        <w:spacing w:after="0" w:line="56" w:lineRule="exact"/>
        <w:rPr>
          <w:sz w:val="20"/>
          <w:szCs w:val="20"/>
          <w:color w:val="auto"/>
        </w:rPr>
      </w:pPr>
    </w:p>
    <w:p>
      <w:pPr>
        <w:sectPr>
          <w:pgSz w:w="11900" w:h="16838" w:orient="portrait"/>
          <w:cols w:equalWidth="0" w:num="2">
            <w:col w:w="8540" w:space="720"/>
            <w:col w:w="1980"/>
          </w:cols>
          <w:pgMar w:left="320" w:top="904" w:right="339" w:bottom="144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86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PROVIDED BY FINANCING ACTIVITIES: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public offering of common stock, net of offering costs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70,671,536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258,128</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1,120,011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contingent consideration</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(1,610,813)</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PROVIDED BY FINANCING ACTIVITIES</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258,128</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70,180,734</w:t>
            </w:r>
          </w:p>
        </w:tc>
        <w:tc>
          <w:tcPr>
            <w:tcW w:w="100" w:type="dxa"/>
            <w:vAlign w:val="bottom"/>
            <w:tcBorders>
              <w:top w:val="single" w:sz="8" w:color="CCEEFF"/>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4,272,621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71,761,920</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CASH AND CASH EQUIVALENTS - BEGINNING OF PERIOD</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84,681,770</w:t>
            </w:r>
          </w:p>
        </w:tc>
        <w:tc>
          <w:tcPr>
            <w:tcW w:w="200" w:type="dxa"/>
            <w:vAlign w:val="bottom"/>
          </w:tcPr>
          <w:p>
            <w:pPr>
              <w:spacing w:after="0"/>
              <w:rPr>
                <w:sz w:val="19"/>
                <w:szCs w:val="19"/>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10,516,776</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CASH AND CASH EQUIVALENTS - END OF PERIOD</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gridSpan w:val="2"/>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88,954,391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82,278,696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ind w:left="180"/>
              <w:spacing w:after="0"/>
              <w:rPr>
                <w:sz w:val="20"/>
                <w:szCs w:val="20"/>
                <w:color w:val="auto"/>
              </w:rPr>
            </w:pPr>
            <w:r>
              <w:rPr>
                <w:rFonts w:ascii="Arial" w:cs="Arial" w:eastAsia="Arial" w:hAnsi="Arial"/>
                <w:sz w:val="18"/>
                <w:szCs w:val="18"/>
                <w:color w:val="auto"/>
              </w:rPr>
              <w:t>Cash paid for interest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Cash paid for income taxes</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180"/>
              <w:spacing w:after="0"/>
              <w:rPr>
                <w:sz w:val="20"/>
                <w:szCs w:val="20"/>
                <w:color w:val="auto"/>
              </w:rPr>
            </w:pPr>
            <w:r>
              <w:rPr>
                <w:rFonts w:ascii="Arial" w:cs="Arial" w:eastAsia="Arial" w:hAnsi="Arial"/>
                <w:sz w:val="18"/>
                <w:szCs w:val="18"/>
                <w:color w:val="auto"/>
              </w:rPr>
              <w:t>Lease liabilities arising from right of use assets</w:t>
            </w:r>
          </w:p>
        </w:tc>
        <w:tc>
          <w:tcPr>
            <w:tcW w:w="2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0" w:name="page11"/>
    <w:bookmarkEnd w:id="10"/>
    <w:p>
      <w:pPr>
        <w:jc w:val="center"/>
        <w:ind w:left="272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left="2720"/>
        <w:spacing w:after="0"/>
        <w:rPr>
          <w:sz w:val="20"/>
          <w:szCs w:val="20"/>
          <w:color w:val="auto"/>
        </w:rPr>
      </w:pPr>
      <w:r>
        <w:rPr>
          <w:rFonts w:ascii="Arial" w:cs="Arial" w:eastAsia="Arial" w:hAnsi="Arial"/>
          <w:sz w:val="17"/>
          <w:szCs w:val="17"/>
          <w:b w:val="1"/>
          <w:bCs w:val="1"/>
          <w:color w:val="auto"/>
        </w:rPr>
        <w:t>RECONCIALIATION of NON-GAAP to GAAP FINANCIAL MEASURES</w:t>
      </w:r>
    </w:p>
    <w:p>
      <w:pPr>
        <w:spacing w:after="0" w:line="21" w:lineRule="exact"/>
        <w:rPr>
          <w:sz w:val="20"/>
          <w:szCs w:val="20"/>
          <w:color w:val="auto"/>
        </w:rPr>
      </w:pPr>
    </w:p>
    <w:p>
      <w:pPr>
        <w:jc w:val="center"/>
        <w:ind w:left="27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Stock-based compensation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Acquisition expense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Non-GAAP 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79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Non-GAAP net income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Basic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For the Three Months</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Ended 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2"/>
        </w:trPr>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w w:val="95"/>
              </w:rPr>
              <w:t>(3,761,098)</w:t>
            </w:r>
          </w:p>
        </w:tc>
        <w:tc>
          <w:tcPr>
            <w:tcW w:w="220" w:type="dxa"/>
            <w:vAlign w:val="bottom"/>
          </w:tcPr>
          <w:p>
            <w:pPr>
              <w:spacing w:after="0"/>
              <w:rPr>
                <w:sz w:val="17"/>
                <w:szCs w:val="17"/>
                <w:color w:val="auto"/>
              </w:rPr>
            </w:pPr>
          </w:p>
        </w:tc>
        <w:tc>
          <w:tcPr>
            <w:tcW w:w="240" w:type="dxa"/>
            <w:vAlign w:val="bottom"/>
          </w:tcPr>
          <w:p>
            <w:pPr>
              <w:jc w:val="right"/>
              <w:ind w:right="50"/>
              <w:spacing w:after="0" w:line="201"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(637,377)</w:t>
            </w:r>
          </w:p>
        </w:tc>
        <w:tc>
          <w:tcPr>
            <w:tcW w:w="60" w:type="dxa"/>
            <w:vAlign w:val="bottom"/>
            <w:gridSpan w:val="2"/>
          </w:tcPr>
          <w:p>
            <w:pPr>
              <w:spacing w:after="0"/>
              <w:rPr>
                <w:sz w:val="17"/>
                <w:szCs w:val="17"/>
                <w:color w:val="auto"/>
              </w:rPr>
            </w:pPr>
          </w:p>
        </w:tc>
      </w:tr>
      <w:tr>
        <w:trPr>
          <w:trHeight w:val="216"/>
        </w:trPr>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471,539</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496,321</w:t>
            </w:r>
          </w:p>
        </w:tc>
        <w:tc>
          <w:tcPr>
            <w:tcW w:w="40" w:type="dxa"/>
            <w:vAlign w:val="bottom"/>
          </w:tcPr>
          <w:p>
            <w:pPr>
              <w:spacing w:after="0"/>
              <w:rPr>
                <w:sz w:val="18"/>
                <w:szCs w:val="18"/>
                <w:color w:val="auto"/>
              </w:rPr>
            </w:pPr>
          </w:p>
        </w:tc>
      </w:tr>
      <w:tr>
        <w:trPr>
          <w:trHeight w:val="230"/>
        </w:trPr>
        <w:tc>
          <w:tcPr>
            <w:tcW w:w="220" w:type="dxa"/>
            <w:vAlign w:val="bottom"/>
          </w:tcPr>
          <w:p>
            <w:pPr>
              <w:spacing w:after="0"/>
              <w:rPr>
                <w:sz w:val="19"/>
                <w:szCs w:val="19"/>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3,174,098</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707,153</w:t>
            </w:r>
          </w:p>
        </w:tc>
        <w:tc>
          <w:tcPr>
            <w:tcW w:w="40" w:type="dxa"/>
            <w:vAlign w:val="bottom"/>
          </w:tcPr>
          <w:p>
            <w:pPr>
              <w:spacing w:after="0"/>
              <w:rPr>
                <w:sz w:val="19"/>
                <w:szCs w:val="19"/>
                <w:color w:val="auto"/>
              </w:rPr>
            </w:pPr>
          </w:p>
        </w:tc>
      </w:tr>
      <w:tr>
        <w:trPr>
          <w:trHeight w:val="237"/>
        </w:trPr>
        <w:tc>
          <w:tcPr>
            <w:tcW w:w="22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17,160</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r>
      <w:tr>
        <w:trPr>
          <w:trHeight w:val="250"/>
        </w:trPr>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(98,301</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566,097</w:t>
            </w:r>
          </w:p>
        </w:tc>
        <w:tc>
          <w:tcPr>
            <w:tcW w:w="40" w:type="dxa"/>
            <w:vAlign w:val="bottom"/>
          </w:tcPr>
          <w:p>
            <w:pPr>
              <w:spacing w:after="0"/>
              <w:rPr>
                <w:sz w:val="21"/>
                <w:szCs w:val="21"/>
                <w:color w:val="auto"/>
              </w:rPr>
            </w:pPr>
          </w:p>
        </w:tc>
      </w:tr>
      <w:tr>
        <w:trPr>
          <w:trHeight w:val="21"/>
        </w:trPr>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688"/>
        </w:trPr>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(0.01</w:t>
            </w:r>
            <w:r>
              <w:rPr>
                <w:rFonts w:ascii="Arial" w:cs="Arial" w:eastAsia="Arial" w:hAnsi="Arial"/>
                <w:sz w:val="35"/>
                <w:szCs w:val="35"/>
                <w:color w:val="auto"/>
                <w:vertAlign w:val="superscript"/>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0.04</w:t>
            </w:r>
          </w:p>
        </w:tc>
      </w:tr>
    </w:tbl>
    <w:p>
      <w:pPr>
        <w:spacing w:after="0" w:line="20" w:lineRule="exact"/>
        <w:rPr>
          <w:sz w:val="20"/>
          <w:szCs w:val="20"/>
          <w:color w:val="auto"/>
        </w:rPr>
      </w:pPr>
    </w:p>
    <w:p>
      <w:pPr>
        <w:sectPr>
          <w:pgSz w:w="11900" w:h="16838" w:orient="portrait"/>
          <w:cols w:equalWidth="0" w:num="2">
            <w:col w:w="8520" w:space="160"/>
            <w:col w:w="2560"/>
          </w:cols>
          <w:pgMar w:left="320" w:top="904" w:right="339" w:bottom="1440" w:gutter="0" w:footer="0" w:header="0"/>
        </w:sectPr>
      </w:pPr>
    </w:p>
    <w:tbl>
      <w:tblPr>
        <w:tblLayout w:type="fixed"/>
        <w:tblInd w:w="0" w:type="dxa"/>
        <w:tblCellMar>
          <w:top w:w="0" w:type="dxa"/>
          <w:left w:w="0" w:type="dxa"/>
          <w:bottom w:w="0" w:type="dxa"/>
          <w:right w:w="0" w:type="dxa"/>
        </w:tblCellMar>
      </w:tblPr>
      <w:tr>
        <w:trPr>
          <w:trHeight w:val="28"/>
        </w:trPr>
        <w:tc>
          <w:tcPr>
            <w:tcW w:w="86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000000"/>
          </w:tcPr>
          <w:p>
            <w:pPr>
              <w:spacing w:after="0"/>
              <w:rPr>
                <w:sz w:val="2"/>
                <w:szCs w:val="2"/>
                <w:color w:val="auto"/>
              </w:rPr>
            </w:pPr>
          </w:p>
        </w:tc>
        <w:tc>
          <w:tcPr>
            <w:tcW w:w="940" w:type="dxa"/>
            <w:vAlign w:val="bottom"/>
            <w:gridSpan w:val="2"/>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vMerge w:val="continue"/>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Borders>
              <w:top w:val="single" w:sz="8" w:color="CCEEFF"/>
              <w:bottom w:val="single" w:sz="8" w:color="CCEEFF"/>
            </w:tcBorders>
            <w:vMerge w:val="continue"/>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9"/>
              </w:rPr>
              <w:t>17,878,068</w:t>
            </w:r>
          </w:p>
        </w:tc>
        <w:tc>
          <w:tcPr>
            <w:tcW w:w="2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16,101,837</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17,878,068</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17,085,582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0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2022-05-04T15:20:20Z</dcterms:created>
  <dcterms:modified xsi:type="dcterms:W3CDTF">2022-05-04T15:20:20Z</dcterms:modified>
</cp:coreProperties>
</file>