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ea0302582-s8_optimizerx.htm"/>
      <w:bookmarkStart w:id="1" w:name="ksea0302582s8_optimizerx"/>
      <w:bookmarkEnd w:id="0"/>
      <w:bookmarkEnd w:id="1"/>
      <w:r>
        <w:rPr>
          <w:rFonts w:ascii="Times New Roman;Times;Serif" w:hAnsi="Times New Roman;Times;Serif"/>
          <w:b w:val="false"/>
          <w:i w:val="false"/>
          <w:caps w:val="false"/>
          <w:smallCaps w:val="false"/>
          <w:sz w:val="20"/>
        </w:rPr>
        <w:t>As filed with the Securities and Exchange Commission on August 20,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333-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4175"/>
      </w:tblGrid>
      <w:tr>
        <w:trPr/>
        <w:tc>
          <w:tcPr>
            <w:tcW w:w="4175" w:type="dxa"/>
            <w:tcBorders/>
            <w:vAlign w:val="center"/>
          </w:tcPr>
          <w:p>
            <w:pPr>
              <w:pStyle w:val="TableContents"/>
              <w:bidi w:val="0"/>
              <w:spacing w:before="0" w:after="283"/>
              <w:jc w:val="center"/>
              <w:rPr>
                <w:b/>
                <w:sz w:val="20"/>
              </w:rPr>
            </w:pPr>
            <w:r>
              <w:rPr>
                <w:b/>
                <w:sz w:val="20"/>
              </w:rPr>
              <w:t>OptimizeRx Corporation</w:t>
            </w:r>
          </w:p>
        </w:tc>
      </w:tr>
      <w:tr>
        <w:trPr/>
        <w:tc>
          <w:tcPr>
            <w:tcW w:w="4175" w:type="dxa"/>
            <w:tcBorders/>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28" w:type="dxa"/>
          <w:right w:w="0" w:type="dxa"/>
        </w:tblCellMar>
      </w:tblPr>
      <w:tblGrid>
        <w:gridCol w:w="3755"/>
        <w:gridCol w:w="60"/>
        <w:gridCol w:w="1535"/>
      </w:tblGrid>
      <w:tr>
        <w:trPr/>
        <w:tc>
          <w:tcPr>
            <w:tcW w:w="3755" w:type="dxa"/>
            <w:tcBorders>
              <w:bottom w:val="single" w:sz="12" w:space="0" w:color="000000"/>
            </w:tcBorders>
            <w:vAlign w:val="center"/>
          </w:tcPr>
          <w:p>
            <w:pPr>
              <w:pStyle w:val="TableContents"/>
              <w:bidi w:val="0"/>
              <w:spacing w:before="0" w:after="283"/>
              <w:jc w:val="center"/>
              <w:rPr>
                <w:b/>
                <w:sz w:val="20"/>
              </w:rPr>
            </w:pPr>
            <w:r>
              <w:rPr>
                <w:b/>
                <w:sz w:val="20"/>
              </w:rPr>
              <w:t>Nevada</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26-1265381</w:t>
            </w:r>
          </w:p>
        </w:tc>
      </w:tr>
      <w:tr>
        <w:trPr/>
        <w:tc>
          <w:tcPr>
            <w:tcW w:w="375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r>
        <w:trPr/>
        <w:tc>
          <w:tcPr>
            <w:tcW w:w="37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r>
      <w:tr>
        <w:trPr/>
        <w:tc>
          <w:tcPr>
            <w:tcW w:w="3755" w:type="dxa"/>
            <w:tcBorders>
              <w:bottom w:val="single" w:sz="12" w:space="0" w:color="000000"/>
            </w:tcBorders>
            <w:vAlign w:val="center"/>
          </w:tcPr>
          <w:p>
            <w:pPr>
              <w:pStyle w:val="TableContents"/>
              <w:bidi w:val="0"/>
              <w:spacing w:before="0" w:after="283"/>
              <w:jc w:val="center"/>
              <w:rPr>
                <w:b/>
                <w:sz w:val="20"/>
              </w:rPr>
            </w:pPr>
            <w:r>
              <w:rPr>
                <w:b/>
                <w:sz w:val="20"/>
              </w:rPr>
              <w:t>260 Charles Street, Suite 302, Waltham, MA</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02453</w:t>
            </w:r>
          </w:p>
        </w:tc>
      </w:tr>
      <w:tr>
        <w:trPr/>
        <w:tc>
          <w:tcPr>
            <w:tcW w:w="375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Equity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Marion Odence-Ford, Esquire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Legal &amp; Administrative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 Charles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302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 02453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 651-6568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ADDITIONAL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GENERAL INSTRUCTION 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E of Form S-8, the Registrant hereby makes the following statement: This Registration Statement on Form S-8 is being filed by the Registrant to register an additional 1,000,000 shares of its common stock which, pursuant to an amendment to the Registrant’s 2021 Equity Incentive Plan (the “Plan”), are issuable upon the grant, exercise or vesting of awards under the Plan. These 1,000,000 shares of common stock are in addition to (i) the 2,500,000 shares of the Registrant’s common stock which were previously registered pursuant to the Registrant’s Registration Statement on Form S-8 (Commission File No. 333-259218) filed with the Securities and Exchange Commission (the “Commission”) on August 31, 2021, and (ii) the 1,950,000 shares of the Registrant’s common stock which were previously registered pursuant to the Registrant’s Registration Statement on Form S-8 (Commission File No. 333-280300) filed with the SEC on June 18, 2024 , as amended by Post-Effective Amendment No. 1 to Form S-8 on July 23, 2024 Commission File No. 333-280300) (collectively, the “Prior Registration Statements”). Pursuant to Instruction E of Form S-8, the contents of the Prior Registration Statements are hereby incorporated by reference.</w:t>
      </w:r>
    </w:p>
    <w:p>
      <w:pPr>
        <w:pStyle w:val="TextBody"/>
        <w:bidi w:val="0"/>
        <w:spacing w:before="0" w:after="0"/>
        <w:ind w:left="0" w:right="0" w:firstLine="720"/>
        <w:jc w:val="both"/>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as filed with the Commission, are incorporated by reference into this Registration Statement by the Registrant:</w:t>
      </w:r>
    </w:p>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both"/>
              <w:rPr/>
            </w:pPr>
            <w:r>
              <w:rPr/>
              <w:t xml:space="preserve">the Registrant’s Annual Report on </w:t>
            </w:r>
            <w:hyperlink r:id="rId2">
              <w:r>
                <w:rPr>
                  <w:rStyle w:val="InternetLink"/>
                </w:rPr>
                <w:t>Form 10-K</w:t>
              </w:r>
            </w:hyperlink>
            <w:r>
              <w:rPr/>
              <w:t xml:space="preserve"> for the fiscal year ended December 31, 2025, filed on March 12, 2026  (including information specifically incorporated by reference therein from the Registrant’s Definitive Proxy Statement on </w:t>
            </w:r>
            <w:hyperlink r:id="rId3">
              <w:r>
                <w:rPr>
                  <w:rStyle w:val="InternetLink"/>
                </w:rPr>
                <w:t>Schedule 14A</w:t>
              </w:r>
            </w:hyperlink>
            <w:r>
              <w:rPr/>
              <w:t>, filed on April 30, 2026);</w:t>
            </w:r>
          </w:p>
        </w:tc>
      </w:tr>
    </w:tbl>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(b)</w:t>
            </w:r>
          </w:p>
        </w:tc>
        <w:tc>
          <w:tcPr>
            <w:tcW w:w="9883" w:type="dxa"/>
            <w:tcBorders/>
            <w:vAlign w:val="center"/>
          </w:tcPr>
          <w:p>
            <w:pPr>
              <w:pStyle w:val="TableContents"/>
              <w:bidi w:val="0"/>
              <w:spacing w:before="0" w:after="283"/>
              <w:jc w:val="both"/>
              <w:rPr/>
            </w:pPr>
            <w:r>
              <w:rPr/>
              <w:t xml:space="preserve">the Registrant’s Quarterly Report on </w:t>
            </w:r>
            <w:hyperlink r:id="rId4">
              <w:r>
                <w:rPr>
                  <w:rStyle w:val="InternetLink"/>
                </w:rPr>
                <w:t>Form 10-Q</w:t>
              </w:r>
            </w:hyperlink>
            <w:r>
              <w:rPr/>
              <w:t xml:space="preserve"> for the quarter ended March 31, 2026, filed on May 13, 2026;</w:t>
            </w:r>
          </w:p>
        </w:tc>
      </w:tr>
    </w:tbl>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(c)</w:t>
            </w:r>
          </w:p>
        </w:tc>
        <w:tc>
          <w:tcPr>
            <w:tcW w:w="9899" w:type="dxa"/>
            <w:tcBorders/>
            <w:vAlign w:val="center"/>
          </w:tcPr>
          <w:p>
            <w:pPr>
              <w:pStyle w:val="TableContents"/>
              <w:bidi w:val="0"/>
              <w:spacing w:before="0" w:after="283"/>
              <w:jc w:val="both"/>
              <w:rPr/>
            </w:pPr>
            <w:r>
              <w:rPr/>
              <w:t xml:space="preserve">the Registrant’s Quarterly Report on </w:t>
            </w:r>
            <w:hyperlink r:id="rId5">
              <w:r>
                <w:rPr>
                  <w:rStyle w:val="InternetLink"/>
                </w:rPr>
                <w:t>Form 10-Q</w:t>
              </w:r>
            </w:hyperlink>
            <w:r>
              <w:rPr/>
              <w:t xml:space="preserve"> for the quarter ended June 30, 2026, filed on August 13, 2026;</w:t>
            </w:r>
          </w:p>
        </w:tc>
      </w:tr>
    </w:tbl>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(d)</w:t>
            </w:r>
          </w:p>
        </w:tc>
        <w:tc>
          <w:tcPr>
            <w:tcW w:w="9909" w:type="dxa"/>
            <w:tcBorders/>
            <w:vAlign w:val="center"/>
          </w:tcPr>
          <w:p>
            <w:pPr>
              <w:pStyle w:val="TableContents"/>
              <w:bidi w:val="0"/>
              <w:spacing w:before="0" w:after="283"/>
              <w:jc w:val="both"/>
              <w:rPr/>
            </w:pPr>
            <w:r>
              <w:rPr/>
              <w:t xml:space="preserve">the Registrant’s Current Reports on Form 8-K filed on </w:t>
            </w:r>
            <w:hyperlink r:id="rId6">
              <w:r>
                <w:rPr>
                  <w:rStyle w:val="InternetLink"/>
                </w:rPr>
                <w:t>March 5, 2026</w:t>
              </w:r>
            </w:hyperlink>
            <w:r>
              <w:rPr/>
              <w:t xml:space="preserve">, </w:t>
            </w:r>
            <w:hyperlink r:id="rId7">
              <w:r>
                <w:rPr>
                  <w:rStyle w:val="InternetLink"/>
                </w:rPr>
                <w:t>March 30, 2026</w:t>
              </w:r>
            </w:hyperlink>
            <w:r>
              <w:rPr/>
              <w:t xml:space="preserve">, </w:t>
            </w:r>
            <w:hyperlink r:id="rId8">
              <w:r>
                <w:rPr>
                  <w:rStyle w:val="InternetLink"/>
                </w:rPr>
                <w:t>April 9, 2026</w:t>
              </w:r>
            </w:hyperlink>
            <w:r>
              <w:rPr/>
              <w:t xml:space="preserve">, </w:t>
            </w:r>
            <w:hyperlink r:id="rId9">
              <w:r>
                <w:rPr>
                  <w:rStyle w:val="InternetLink"/>
                </w:rPr>
                <w:t>May 12, 2026</w:t>
              </w:r>
            </w:hyperlink>
            <w:r>
              <w:rPr/>
              <w:t xml:space="preserve">, </w:t>
            </w:r>
            <w:hyperlink r:id="rId10">
              <w:r>
                <w:rPr>
                  <w:rStyle w:val="InternetLink"/>
                </w:rPr>
                <w:t>June 5, 2026</w:t>
              </w:r>
            </w:hyperlink>
            <w:r>
              <w:rPr/>
              <w:t xml:space="preserve">, </w:t>
            </w:r>
            <w:hyperlink r:id="rId11">
              <w:r>
                <w:rPr>
                  <w:rStyle w:val="InternetLink"/>
                </w:rPr>
                <w:t>June 12, 2026</w:t>
              </w:r>
            </w:hyperlink>
            <w:r>
              <w:rPr/>
              <w:t xml:space="preserve"> and </w:t>
            </w:r>
            <w:hyperlink r:id="rId12">
              <w:r>
                <w:rPr>
                  <w:rStyle w:val="InternetLink"/>
                </w:rPr>
                <w:t>August 12, 2026</w:t>
              </w:r>
            </w:hyperlink>
            <w:r>
              <w:rPr/>
              <w:t>;</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(e)</w:t>
            </w:r>
          </w:p>
        </w:tc>
        <w:tc>
          <w:tcPr>
            <w:tcW w:w="9912" w:type="dxa"/>
            <w:tcBorders/>
            <w:vAlign w:val="center"/>
          </w:tcPr>
          <w:p>
            <w:pPr>
              <w:pStyle w:val="TableContents"/>
              <w:bidi w:val="0"/>
              <w:spacing w:before="0" w:after="283"/>
              <w:jc w:val="both"/>
              <w:rPr/>
            </w:pPr>
            <w:r>
              <w:rPr/>
              <w:t>the description of the Registrant’s Common Stock contained in the Registrant’s Current Report on Form 8-K filed on August 31, 2021.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the Registrant with the Commission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of this Registration Statement from the date of the filing of such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information contained in any Current Report on Form 8-K, or any exhibit thereto, is or was furnished to, rather than filed with, the Commission, such information or exhibit is specifically not incorporated by reference.</w:t>
      </w:r>
    </w:p>
    <w:p>
      <w:pPr>
        <w:pStyle w:val="TextBody"/>
        <w:bidi w:val="0"/>
        <w:spacing w:before="0" w:after="0"/>
        <w:ind w:left="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Registration Statement or, where so indicated have been previously filed and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12" w:space="0" w:color="000000"/>
            </w:tcBorders>
            <w:vAlign w:val="center"/>
          </w:tcPr>
          <w:p>
            <w:pPr>
              <w:pStyle w:val="TableContents"/>
              <w:bidi w:val="0"/>
              <w:spacing w:before="0" w:after="283"/>
              <w:jc w:val="both"/>
              <w:rPr>
                <w:b/>
                <w:sz w:val="20"/>
              </w:rPr>
            </w:pPr>
            <w:r>
              <w:rPr>
                <w:b/>
                <w:sz w:val="20"/>
              </w:rPr>
              <w:t>Exhibit</w:t>
            </w:r>
          </w:p>
        </w:tc>
        <w:tc>
          <w:tcPr>
            <w:tcW w:w="60" w:type="dxa"/>
            <w:tcBorders/>
            <w:tcMar>
              <w:bottom w:w="0" w:type="dxa"/>
            </w:tcMar>
            <w:vAlign w:val="center"/>
          </w:tcPr>
          <w:p>
            <w:pPr>
              <w:pStyle w:val="TableContents"/>
              <w:bidi w:val="0"/>
              <w:spacing w:before="0" w:after="283"/>
              <w:jc w:val="both"/>
              <w:rPr/>
            </w:pPr>
            <w:r>
              <w:rPr/>
              <w:t> </w:t>
            </w:r>
          </w:p>
        </w:tc>
        <w:tc>
          <w:tcPr>
            <w:tcW w:w="9480" w:type="dxa"/>
            <w:tcBorders>
              <w:bottom w:val="single" w:sz="12" w:space="0" w:color="000000"/>
            </w:tcBorders>
            <w:vAlign w:val="center"/>
          </w:tcPr>
          <w:p>
            <w:pPr>
              <w:pStyle w:val="TableContents"/>
              <w:bidi w:val="0"/>
              <w:spacing w:before="0" w:after="283"/>
              <w:jc w:val="both"/>
              <w:rPr>
                <w:b/>
                <w:sz w:val="20"/>
              </w:rPr>
            </w:pPr>
            <w:r>
              <w:rPr>
                <w:b/>
                <w:sz w:val="20"/>
              </w:rPr>
              <w:t>Description of Exhibit</w:t>
            </w:r>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4.1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80" w:type="dxa"/>
            <w:tcBorders/>
            <w:shd w:fill="CCEEFF" w:val="clear"/>
            <w:tcMar>
              <w:bottom w:w="0" w:type="dxa"/>
            </w:tcMar>
            <w:vAlign w:val="center"/>
          </w:tcPr>
          <w:p>
            <w:pPr>
              <w:pStyle w:val="TableContents"/>
              <w:bidi w:val="0"/>
              <w:spacing w:before="0" w:after="283"/>
              <w:jc w:val="both"/>
              <w:rPr/>
            </w:pPr>
            <w:hyperlink r:id="rId13">
              <w:r>
                <w:rPr>
                  <w:rStyle w:val="InternetLink"/>
                  <w:sz w:val="20"/>
                </w:rPr>
                <w:t>Articles of Incorporation of the Registrant (incorporated by reference to Exhibit 3.1 of the Registrant’s Registration Statement on Form S-1, as filed with the Commission on November 12, 2008).</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4.2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shd w:fill="FFFFFF" w:val="clear"/>
            <w:tcMar>
              <w:bottom w:w="0" w:type="dxa"/>
            </w:tcMar>
            <w:vAlign w:val="center"/>
          </w:tcPr>
          <w:p>
            <w:pPr>
              <w:pStyle w:val="TableContents"/>
              <w:bidi w:val="0"/>
              <w:spacing w:before="0" w:after="283"/>
              <w:jc w:val="both"/>
              <w:rPr/>
            </w:pPr>
            <w:hyperlink r:id="rId14">
              <w:r>
                <w:rPr>
                  <w:rStyle w:val="InternetLink"/>
                  <w:sz w:val="20"/>
                </w:rPr>
                <w:t>Certificate of Correction of the Registrant, dated April 30, 2018 (incorporated by reference to Exhibit 3.5 of the Registrant’s Annual Report on Form 10-K for the fiscal year ended December 31, 2018, as filed with the Commission on March 12, 2019).</w:t>
              </w:r>
            </w:hyperlink>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4.3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80" w:type="dxa"/>
            <w:tcBorders/>
            <w:shd w:fill="CCEEFF" w:val="clear"/>
            <w:tcMar>
              <w:bottom w:w="0" w:type="dxa"/>
            </w:tcMar>
            <w:vAlign w:val="center"/>
          </w:tcPr>
          <w:p>
            <w:pPr>
              <w:pStyle w:val="TableContents"/>
              <w:bidi w:val="0"/>
              <w:spacing w:before="0" w:after="283"/>
              <w:jc w:val="both"/>
              <w:rPr/>
            </w:pPr>
            <w:hyperlink r:id="rId15">
              <w:r>
                <w:rPr>
                  <w:rStyle w:val="InternetLink"/>
                  <w:sz w:val="20"/>
                </w:rPr>
                <w:t>Fourth Amended and Restated Bylaws of the Registrant (incorporated by reference to Exhibit 3.1 to the Registrant’s Quarterly Report on Form 10-Q for the quarter ended June 30, 2025, as filed with the Commision on August 8, 2025).</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left"/>
              <w:rPr/>
            </w:pPr>
            <w:hyperlink r:id="rId16">
              <w:r>
                <w:rPr>
                  <w:rStyle w:val="InternetLink"/>
                  <w:sz w:val="20"/>
                </w:rPr>
                <w:t>OptimizeRx Corporation 2021 Equity Incentive Plan (incorporated by reference to Exhibit 10.1 of the Registrant’s Current Report on Form 8-K, as filed with the Commission on August 25, 2021).</w:t>
              </w:r>
            </w:hyperlink>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pPr>
            <w:hyperlink r:id="rId17">
              <w:r>
                <w:rPr>
                  <w:rStyle w:val="InternetLink"/>
                </w:rPr>
                <w:t>Amendment No. 1 to the OptimizeRx 2021 Equity Incentive Plan (incorporated by reference to Exhibit 10.1 of the Registrant’s Current Report on Form 8-K, as filed with the Commission on June 7, 2024).</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80" w:type="dxa"/>
            <w:tcBorders/>
            <w:shd w:fill="FFFFFF" w:val="clear"/>
            <w:tcMar>
              <w:bottom w:w="0" w:type="dxa"/>
            </w:tcMar>
            <w:vAlign w:val="center"/>
          </w:tcPr>
          <w:p>
            <w:pPr>
              <w:pStyle w:val="TableContents"/>
              <w:bidi w:val="0"/>
              <w:spacing w:before="0" w:after="283"/>
              <w:jc w:val="both"/>
              <w:rPr/>
            </w:pPr>
            <w:hyperlink r:id="rId18">
              <w:r>
                <w:rPr>
                  <w:rStyle w:val="InternetLink"/>
                </w:rPr>
                <w:t>Amendment No. 2 to the OptimizeRx 2021 Equity Incentive Plan (incorporated by reference to Exhibit 10.1 to the Registrant’s Current Report on Form 8-K, as filed with the Commision on filed on June 12, 2026).</w:t>
              </w:r>
            </w:hyperlink>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5.1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80" w:type="dxa"/>
            <w:tcBorders/>
            <w:shd w:fill="CCEEFF" w:val="clear"/>
            <w:tcMar>
              <w:bottom w:w="0" w:type="dxa"/>
            </w:tcMar>
            <w:vAlign w:val="center"/>
          </w:tcPr>
          <w:p>
            <w:pPr>
              <w:pStyle w:val="TableContents"/>
              <w:bidi w:val="0"/>
              <w:spacing w:before="0" w:after="283"/>
              <w:jc w:val="both"/>
              <w:rPr/>
            </w:pPr>
            <w:hyperlink w:anchor="ea030258201ex5-1.htm">
              <w:r>
                <w:rPr>
                  <w:rStyle w:val="InternetLink"/>
                  <w:sz w:val="20"/>
                </w:rPr>
                <w:t>Opinion of The Doney Law Firm.</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23.1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shd w:fill="FFFFFF" w:val="clear"/>
            <w:tcMar>
              <w:bottom w:w="0" w:type="dxa"/>
            </w:tcMar>
            <w:vAlign w:val="center"/>
          </w:tcPr>
          <w:p>
            <w:pPr>
              <w:pStyle w:val="TableContents"/>
              <w:bidi w:val="0"/>
              <w:spacing w:before="0" w:after="283"/>
              <w:jc w:val="both"/>
              <w:rPr/>
            </w:pPr>
            <w:hyperlink w:anchor="ea030258201ex23-1.htm">
              <w:r>
                <w:rPr>
                  <w:rStyle w:val="InternetLink"/>
                  <w:sz w:val="20"/>
                </w:rPr>
                <w:t>Consent of UHY LLP.</w:t>
              </w:r>
            </w:hyperlink>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23.2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80" w:type="dxa"/>
            <w:tcBorders/>
            <w:shd w:fill="CCEEFF" w:val="clear"/>
            <w:tcMar>
              <w:bottom w:w="0" w:type="dxa"/>
            </w:tcMar>
            <w:vAlign w:val="center"/>
          </w:tcPr>
          <w:p>
            <w:pPr>
              <w:pStyle w:val="TableContents"/>
              <w:bidi w:val="0"/>
              <w:spacing w:before="0" w:after="283"/>
              <w:jc w:val="both"/>
              <w:rPr/>
            </w:pPr>
            <w:hyperlink w:anchor="ea030258201ex5-1.htm">
              <w:r>
                <w:rPr>
                  <w:rStyle w:val="InternetLink"/>
                  <w:sz w:val="20"/>
                </w:rPr>
                <w:t>Consent of The Doney Law Firm (included in Exhibit 5.1).</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24.1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80" w:type="dxa"/>
            <w:tcBorders/>
            <w:shd w:fill="FFFFFF" w:val="clear"/>
            <w:tcMar>
              <w:bottom w:w="0" w:type="dxa"/>
            </w:tcMar>
            <w:vAlign w:val="center"/>
          </w:tcPr>
          <w:p>
            <w:pPr>
              <w:pStyle w:val="TableContents"/>
              <w:bidi w:val="0"/>
              <w:spacing w:before="0" w:after="283"/>
              <w:jc w:val="both"/>
              <w:rPr/>
            </w:pPr>
            <w:hyperlink w:anchor="a_001">
              <w:r>
                <w:rPr>
                  <w:rStyle w:val="InternetLink"/>
                  <w:sz w:val="20"/>
                </w:rPr>
                <w:t>Power of Attorney (included on the signature page of this Registration Statement).</w:t>
              </w:r>
            </w:hyperlink>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107.1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80" w:type="dxa"/>
            <w:tcBorders/>
            <w:shd w:fill="CCEEFF" w:val="clear"/>
            <w:tcMar>
              <w:bottom w:w="0" w:type="dxa"/>
            </w:tcMar>
            <w:vAlign w:val="center"/>
          </w:tcPr>
          <w:p>
            <w:pPr>
              <w:pStyle w:val="TableContents"/>
              <w:bidi w:val="0"/>
              <w:spacing w:before="0" w:after="283"/>
              <w:jc w:val="both"/>
              <w:rPr/>
            </w:pPr>
            <w:hyperlink w:anchor="ea030258201ex-fee.htm">
              <w:r>
                <w:rPr>
                  <w:rStyle w:val="InternetLink"/>
                  <w:sz w:val="20"/>
                </w:rPr>
                <w:t>Filing Fee table.</w:t>
              </w:r>
            </w:hyperlink>
          </w:p>
        </w:tc>
      </w:tr>
    </w:tbl>
    <w:p>
      <w:pPr>
        <w:pStyle w:val="TextBody"/>
        <w:bidi w:val="0"/>
        <w:spacing w:before="0" w:after="0"/>
        <w:ind w:left="0" w:right="0" w:hanging="0"/>
        <w:jc w:val="center"/>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612"/>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Waltham, Commonwealth of Massachusetts on August 20, 2026.</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both"/>
              <w:rPr/>
            </w:pPr>
            <w:r>
              <w:rPr/>
              <w:t> </w:t>
            </w:r>
          </w:p>
        </w:tc>
        <w:tc>
          <w:tcPr>
            <w:tcW w:w="2500" w:type="dxa"/>
            <w:gridSpan w:val="2"/>
            <w:tcBorders/>
            <w:vAlign w:val="center"/>
          </w:tcPr>
          <w:p>
            <w:pPr>
              <w:pStyle w:val="TableContents"/>
              <w:bidi w:val="0"/>
              <w:spacing w:before="0" w:after="283"/>
              <w:jc w:val="both"/>
              <w:rPr>
                <w:sz w:val="20"/>
              </w:rPr>
            </w:pPr>
            <w:r>
              <w:rPr>
                <w:sz w:val="20"/>
              </w:rPr>
              <w:t>OptimizeRx Corporation</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Stephen Silvestro</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1955" w:type="dxa"/>
            <w:tcBorders/>
            <w:vAlign w:val="center"/>
          </w:tcPr>
          <w:p>
            <w:pPr>
              <w:pStyle w:val="TableContents"/>
              <w:bidi w:val="0"/>
              <w:spacing w:before="0" w:after="283"/>
              <w:jc w:val="both"/>
              <w:rPr>
                <w:sz w:val="20"/>
              </w:rPr>
            </w:pPr>
            <w:r>
              <w:rPr>
                <w:sz w:val="20"/>
              </w:rPr>
              <w:t>Stephen Silvestro</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1955" w:type="dxa"/>
            <w:tcBorders/>
            <w:vAlign w:val="center"/>
          </w:tcPr>
          <w:p>
            <w:pPr>
              <w:pStyle w:val="TableContents"/>
              <w:bidi w:val="0"/>
              <w:spacing w:before="0" w:after="283"/>
              <w:jc w:val="both"/>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firstLine="61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officers and directors of OptimizeRx Corporation, hereby severally constitute and appoint Stephen Silvestro and Edward Stelmakh,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their substitutes, may lawfully do or cause to be done by virtue hereof.</w:t>
      </w:r>
    </w:p>
    <w:p>
      <w:pPr>
        <w:pStyle w:val="TextBody"/>
        <w:bidi w:val="0"/>
        <w:spacing w:before="0" w:after="0"/>
        <w:ind w:left="0" w:right="0" w:firstLine="61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held on the dates indicated.</w:t>
      </w:r>
    </w:p>
    <w:p>
      <w:pPr>
        <w:pStyle w:val="TextBody"/>
        <w:bidi w:val="0"/>
        <w:spacing w:before="0" w:after="0"/>
        <w:ind w:left="0" w:right="0" w:hanging="0"/>
        <w:jc w:val="left"/>
        <w:rPr>
          <w:caps w:val="false"/>
          <w:smallCaps w:val="false"/>
        </w:rPr>
      </w:pPr>
      <w:r>
        <w:rPr>
          <w:caps w:val="false"/>
          <w:smallCaps w:val="false"/>
        </w:rPr>
        <w:t> </w:t>
      </w:r>
    </w:p>
    <w:tbl>
      <w:tblPr>
        <w:tblW w:w="7680" w:type="dxa"/>
        <w:jc w:val="left"/>
        <w:tblInd w:w="0" w:type="dxa"/>
        <w:tblLayout w:type="fixed"/>
        <w:tblCellMar>
          <w:top w:w="0" w:type="dxa"/>
          <w:left w:w="0" w:type="dxa"/>
          <w:bottom w:w="28" w:type="dxa"/>
          <w:right w:w="0" w:type="dxa"/>
        </w:tblCellMar>
      </w:tblPr>
      <w:tblGrid>
        <w:gridCol w:w="2540"/>
        <w:gridCol w:w="60"/>
        <w:gridCol w:w="3635"/>
        <w:gridCol w:w="60"/>
        <w:gridCol w:w="1385"/>
      </w:tblGrid>
      <w:tr>
        <w:trPr/>
        <w:tc>
          <w:tcPr>
            <w:tcW w:w="254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36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3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4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Stephen Silvestro</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20, 2026</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Silvestro</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4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Edward Stelmakh</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&amp; Strategy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20, 2026</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Stelmakh</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4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Lynn O’Connor Vos</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 Chairperson</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20, 2026</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Lynn O’Connor Vos</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4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Lang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20, 2026</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Lang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4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Patrick Spangler</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20, 2026</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Patrick Spangler</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2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4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Gregory Wasson</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20, 2026</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Gregory Wasson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z w:val="20"/>
                <w:shd w:fill="FFFFFF" w:val="clear"/>
              </w:rPr>
              <w:t>Catherine Klema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20, 2026</w:t>
            </w:r>
          </w:p>
        </w:tc>
      </w:tr>
      <w:tr>
        <w:trPr/>
        <w:tc>
          <w:tcPr>
            <w:tcW w:w="2540" w:type="dxa"/>
            <w:tcBorders>
              <w:top w:val="single" w:sz="12" w:space="0" w:color="000000"/>
            </w:tcBorders>
            <w:tcMar>
              <w:top w:w="28" w:type="dxa"/>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Catherine Klema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54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z w:val="20"/>
                <w:shd w:fill="FFFFFF" w:val="clear"/>
              </w:rPr>
              <w:t>Mariyamma Varghese Presti</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20, 2026</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Mariyamma Varghese Presti</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ea030258201ex5-1.htm"/>
      <w:bookmarkStart w:id="4" w:name="ksea030258201ex51"/>
      <w:bookmarkEnd w:id="3"/>
      <w:bookmarkEnd w:id="4"/>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6080" w:type="dxa"/>
        <w:jc w:val="left"/>
        <w:tblInd w:w="0" w:type="dxa"/>
        <w:tblLayout w:type="fixed"/>
        <w:tblCellMar>
          <w:top w:w="0" w:type="dxa"/>
          <w:left w:w="0" w:type="dxa"/>
          <w:bottom w:w="0" w:type="dxa"/>
          <w:right w:w="0" w:type="dxa"/>
        </w:tblCellMar>
      </w:tblPr>
      <w:tblGrid>
        <w:gridCol w:w="75"/>
        <w:gridCol w:w="2705"/>
        <w:gridCol w:w="60"/>
        <w:gridCol w:w="3165"/>
        <w:gridCol w:w="75"/>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705" w:type="dxa"/>
            <w:tcBorders>
              <w:top w:val="single" w:sz="18" w:space="0" w:color="000000"/>
              <w:bottom w:val="single" w:sz="1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The Doney Law Firm</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Securities &amp; Corporate Law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P. Doney, Esq.</w:t>
            </w:r>
          </w:p>
          <w:p>
            <w:pPr>
              <w:pStyle w:val="TableContents"/>
              <w:bidi w:val="0"/>
              <w:spacing w:before="0" w:after="0"/>
              <w:ind w:left="1000" w:right="10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3651 Lindell Rd Ste D121</w:t>
            </w:r>
          </w:p>
          <w:p>
            <w:pPr>
              <w:pStyle w:val="TableContents"/>
              <w:bidi w:val="0"/>
              <w:spacing w:before="0" w:after="0"/>
              <w:ind w:left="1000" w:right="10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NV 89103</w:t>
            </w:r>
          </w:p>
          <w:p>
            <w:pPr>
              <w:pStyle w:val="TableContents"/>
              <w:bidi w:val="0"/>
              <w:spacing w:before="0" w:after="0"/>
              <w:ind w:left="1000" w:right="10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702.982.5686</w:t>
            </w:r>
          </w:p>
          <w:p>
            <w:pPr>
              <w:pStyle w:val="TableContents"/>
              <w:bidi w:val="0"/>
              <w:spacing w:before="0" w:after="0"/>
              <w:ind w:left="1000" w:right="10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scott@doneylawfirm.com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Corporation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 Charles Street, Suite 302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 02453</w:t>
      </w:r>
    </w:p>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365"/>
        <w:gridCol w:w="5300"/>
      </w:tblGrid>
      <w:tr>
        <w:trPr/>
        <w:tc>
          <w:tcPr>
            <w:tcW w:w="365" w:type="dxa"/>
            <w:tcBorders/>
            <w:vAlign w:val="center"/>
          </w:tcPr>
          <w:p>
            <w:pPr>
              <w:pStyle w:val="TableContents"/>
              <w:bidi w:val="0"/>
              <w:spacing w:before="0" w:after="283"/>
              <w:jc w:val="left"/>
              <w:rPr/>
            </w:pPr>
            <w:r>
              <w:rPr/>
              <w:t>Re:</w:t>
            </w:r>
          </w:p>
        </w:tc>
        <w:tc>
          <w:tcPr>
            <w:tcW w:w="5300" w:type="dxa"/>
            <w:tcBorders/>
            <w:vAlign w:val="center"/>
          </w:tcPr>
          <w:p>
            <w:pPr>
              <w:pStyle w:val="TableContents"/>
              <w:bidi w:val="0"/>
              <w:spacing w:before="0" w:after="283"/>
              <w:jc w:val="both"/>
              <w:rPr/>
            </w:pPr>
            <w:r>
              <w:rPr/>
              <w:t>OptimizeRx Corp., Registration Statement on Form S-8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OptimizeRx Corporation, a Nevada corporation (the “Company”), in connection with the preparation of the registration statement on Form S-8 (the “Registration Statement”) to be filed with the Securities and Exchange Commission (the “Commission”) pursuant to the Securities Act of 1933, as amended (the “Act”), relating to the registration of an additional 1,000,000 shares of the Company’s common stock (the “Shares”), which may be issued pursuant to the Company’s 2021 Equity Incentive Plan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below, we have reviewed: (a) the Registration Statement and the exhibits attached thereto; (b) the Company’s Articles of Incorporation, as amended; (c) the Company’s Bylaws, as amended; (d) certain records of the Company’s corporate proceedings as reflected in its minute books including resolutions of the board of directors approving the Plan; (e) the Plan (including Amendment No. 1 and Amendment No. 2 thereto); and (f) such statutes, records and other documents as we have deemed relevant. In our examination, we have assumed the genuineness of all signatures, the authenticity of all documents submitted to us as originals, and conformity with the originals of all documents submitted to us as copies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we are of the opinion that the Shares have been validly authorized, and when the Registration Statement has become effective under the Act, such Shares will, when issued pursuant to the terms of the Plan, be legally issued, fully paid and non-assessable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Doney Law Firm</w:t>
      </w:r>
    </w:p>
    <w:p>
      <w:pPr>
        <w:pStyle w:val="TextBody"/>
        <w:bidi w:val="0"/>
        <w:spacing w:before="0" w:after="0"/>
        <w:ind w:left="0" w:right="0" w:hanging="0"/>
        <w:jc w:val="both"/>
        <w:rPr>
          <w:caps w:val="false"/>
          <w:smallCaps w:val="false"/>
        </w:rPr>
      </w:pPr>
      <w:r>
        <w:rPr>
          <w:caps w:val="false"/>
          <w:smallCaps w:val="false"/>
        </w:rPr>
        <w:t> </w:t>
      </w:r>
    </w:p>
    <w:tbl>
      <w:tblPr>
        <w:tblW w:w="1550" w:type="dxa"/>
        <w:jc w:val="left"/>
        <w:tblInd w:w="0" w:type="dxa"/>
        <w:tblLayout w:type="fixed"/>
        <w:tblCellMar>
          <w:top w:w="0" w:type="dxa"/>
          <w:left w:w="0" w:type="dxa"/>
          <w:bottom w:w="28" w:type="dxa"/>
          <w:right w:w="0" w:type="dxa"/>
        </w:tblCellMar>
      </w:tblPr>
      <w:tblGrid>
        <w:gridCol w:w="1475"/>
        <w:gridCol w:w="75"/>
      </w:tblGrid>
      <w:tr>
        <w:trPr/>
        <w:tc>
          <w:tcPr>
            <w:tcW w:w="1475"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Scott Doney</w:t>
            </w:r>
          </w:p>
        </w:tc>
        <w:tc>
          <w:tcPr>
            <w:tcW w:w="75" w:type="dxa"/>
            <w:tcBorders/>
            <w:tcMar>
              <w:bottom w:w="0" w:type="dxa"/>
            </w:tcMar>
            <w:vAlign w:val="center"/>
          </w:tcPr>
          <w:p>
            <w:pPr>
              <w:pStyle w:val="TableContents"/>
              <w:bidi w:val="0"/>
              <w:spacing w:before="0" w:after="283"/>
              <w:jc w:val="both"/>
              <w:rPr/>
            </w:pPr>
            <w:r>
              <w:rPr/>
              <w:t> </w:t>
            </w:r>
          </w:p>
        </w:tc>
      </w:tr>
      <w:tr>
        <w:trPr/>
        <w:tc>
          <w:tcPr>
            <w:tcW w:w="14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Scott Doney, Esq.</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our name and use of our opinion in connection with the Form S-8 Registration Statement filed with the Securities and Exchange Commission as counsel for the registrant, OptimizeRx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Doney Law Firm</w:t>
      </w:r>
    </w:p>
    <w:p>
      <w:pPr>
        <w:pStyle w:val="TextBody"/>
        <w:bidi w:val="0"/>
        <w:spacing w:before="0" w:after="0"/>
        <w:ind w:left="0" w:right="0" w:hanging="0"/>
        <w:jc w:val="left"/>
        <w:rPr>
          <w:caps w:val="false"/>
          <w:smallCaps w:val="false"/>
        </w:rPr>
      </w:pPr>
      <w:r>
        <w:rPr>
          <w:caps w:val="false"/>
          <w:smallCaps w:val="false"/>
        </w:rPr>
        <w:t> </w:t>
      </w:r>
    </w:p>
    <w:tbl>
      <w:tblPr>
        <w:tblW w:w="1700" w:type="dxa"/>
        <w:jc w:val="left"/>
        <w:tblInd w:w="0" w:type="dxa"/>
        <w:tblLayout w:type="fixed"/>
        <w:tblCellMar>
          <w:top w:w="0" w:type="dxa"/>
          <w:left w:w="0" w:type="dxa"/>
          <w:bottom w:w="28" w:type="dxa"/>
          <w:right w:w="0" w:type="dxa"/>
        </w:tblCellMar>
      </w:tblPr>
      <w:tblGrid>
        <w:gridCol w:w="1625"/>
        <w:gridCol w:w="75"/>
      </w:tblGrid>
      <w:tr>
        <w:trPr/>
        <w:tc>
          <w:tcPr>
            <w:tcW w:w="1625" w:type="dxa"/>
            <w:tcBorders>
              <w:bottom w:val="single" w:sz="12" w:space="0" w:color="000000"/>
            </w:tcBorders>
            <w:vAlign w:val="center"/>
          </w:tcPr>
          <w:p>
            <w:pPr>
              <w:pStyle w:val="TableContents"/>
              <w:bidi w:val="0"/>
              <w:spacing w:before="0" w:after="283"/>
              <w:jc w:val="left"/>
              <w:rPr>
                <w:sz w:val="20"/>
              </w:rPr>
            </w:pPr>
            <w:r>
              <w:rPr>
                <w:sz w:val="20"/>
              </w:rPr>
              <w:t>/s/ Scott P. Doney</w:t>
            </w:r>
          </w:p>
        </w:tc>
        <w:tc>
          <w:tcPr>
            <w:tcW w:w="75" w:type="dxa"/>
            <w:tcBorders/>
            <w:tcMar>
              <w:bottom w:w="0" w:type="dxa"/>
            </w:tcMar>
            <w:vAlign w:val="center"/>
          </w:tcPr>
          <w:p>
            <w:pPr>
              <w:pStyle w:val="TableContents"/>
              <w:bidi w:val="0"/>
              <w:spacing w:before="0" w:after="283"/>
              <w:jc w:val="left"/>
              <w:rPr/>
            </w:pPr>
            <w:r>
              <w:rPr/>
              <w:t> </w:t>
            </w:r>
          </w:p>
        </w:tc>
      </w:tr>
      <w:tr>
        <w:trPr/>
        <w:tc>
          <w:tcPr>
            <w:tcW w:w="1625" w:type="dxa"/>
            <w:tcBorders/>
            <w:tcMar>
              <w:bottom w:w="0" w:type="dxa"/>
            </w:tcMar>
            <w:vAlign w:val="center"/>
          </w:tcPr>
          <w:p>
            <w:pPr>
              <w:pStyle w:val="TableContents"/>
              <w:bidi w:val="0"/>
              <w:spacing w:before="0" w:after="283"/>
              <w:jc w:val="left"/>
              <w:rPr>
                <w:sz w:val="20"/>
              </w:rPr>
            </w:pPr>
            <w:r>
              <w:rPr>
                <w:sz w:val="20"/>
              </w:rPr>
              <w:t>Scott P. Doney, Esq</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 w:name="ea030258201ex23-1.htm"/>
      <w:bookmarkStart w:id="6" w:name="ksea030258201ex231"/>
      <w:bookmarkEnd w:id="5"/>
      <w:bookmarkEnd w:id="6"/>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of OptimizeRx Corporation on Form S-8 of our report dated March 12, 2026, with respect to our audits of the consolidated financial statements of OptimizeRx Corporation and Subsidiaries as of December 31, 2025 and 2024 and for the years then ended appearing in the Annual Report on Form 10-K of OptimizeRx Corporation and Subsidiaries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Sterling Heights, Michigan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p>
      <w:pPr>
        <w:pStyle w:val="TextBody"/>
        <w:bidi w:val="0"/>
        <w:spacing w:before="0" w:after="240"/>
        <w:ind w:left="0" w:right="0" w:hanging="0"/>
        <w:jc w:val="right"/>
        <w:rPr>
          <w:rFonts w:ascii="Times New Roman;Times;Serif" w:hAnsi="Times New Roman;Times;Serif"/>
          <w:b/>
          <w:i w:val="false"/>
          <w:caps w:val="false"/>
          <w:smallCaps w:val="false"/>
          <w:sz w:val="24"/>
        </w:rPr>
      </w:pPr>
      <w:bookmarkStart w:id="7" w:name="ea030258201ex-fee.htm"/>
      <w:bookmarkStart w:id="8" w:name="ksea030258201exfee"/>
      <w:bookmarkEnd w:id="7"/>
      <w:bookmarkEnd w:id="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OptimizeRx Corporation</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32"/>
        <w:gridCol w:w="60"/>
        <w:gridCol w:w="1239"/>
        <w:gridCol w:w="60"/>
        <w:gridCol w:w="575"/>
        <w:gridCol w:w="60"/>
        <w:gridCol w:w="1112"/>
        <w:gridCol w:w="60"/>
        <w:gridCol w:w="1051"/>
        <w:gridCol w:w="60"/>
        <w:gridCol w:w="156"/>
        <w:gridCol w:w="895"/>
        <w:gridCol w:w="60"/>
        <w:gridCol w:w="145"/>
        <w:gridCol w:w="1454"/>
        <w:gridCol w:w="60"/>
        <w:gridCol w:w="1040"/>
        <w:gridCol w:w="60"/>
        <w:gridCol w:w="168"/>
        <w:gridCol w:w="1058"/>
      </w:tblGrid>
      <w:tr>
        <w:trPr/>
        <w:tc>
          <w:tcPr>
            <w:tcW w:w="8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832"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239"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12"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51"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99"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 </w:t>
            </w:r>
          </w:p>
        </w:tc>
      </w:tr>
      <w:tr>
        <w:trPr/>
        <w:tc>
          <w:tcPr>
            <w:tcW w:w="832"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left"/>
              <w:rPr/>
            </w:pPr>
            <w:r>
              <w:rPr/>
              <w:t>Common stock, par value $0.001 per share ("Common Stock")</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1,000,000</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895" w:type="dxa"/>
            <w:tcBorders/>
            <w:vAlign w:val="center"/>
          </w:tcPr>
          <w:p>
            <w:pPr>
              <w:pStyle w:val="TableContents"/>
              <w:bidi w:val="0"/>
              <w:spacing w:before="0" w:after="283"/>
              <w:jc w:val="right"/>
              <w:rPr/>
            </w:pPr>
            <w:r>
              <w:rPr/>
              <w:t>13.0350</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454" w:type="dxa"/>
            <w:tcBorders/>
            <w:vAlign w:val="center"/>
          </w:tcPr>
          <w:p>
            <w:pPr>
              <w:pStyle w:val="TableContents"/>
              <w:bidi w:val="0"/>
              <w:spacing w:before="0" w:after="283"/>
              <w:jc w:val="right"/>
              <w:rPr/>
            </w:pPr>
            <w:r>
              <w:rPr/>
              <w:t>13,035,000.00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1058" w:type="dxa"/>
            <w:tcBorders/>
            <w:vAlign w:val="center"/>
          </w:tcPr>
          <w:p>
            <w:pPr>
              <w:pStyle w:val="TableContents"/>
              <w:bidi w:val="0"/>
              <w:spacing w:before="0" w:after="283"/>
              <w:jc w:val="right"/>
              <w:rPr/>
            </w:pPr>
            <w:r>
              <w:rPr/>
              <w:t>1,800.13</w:t>
            </w:r>
          </w:p>
        </w:tc>
      </w:tr>
      <w:tr>
        <w:trPr/>
        <w:tc>
          <w:tcPr>
            <w:tcW w:w="8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single" w:sz="8" w:space="0" w:color="000000"/>
            </w:tcBorders>
            <w:tcMar>
              <w:bottom w:w="28" w:type="dxa"/>
            </w:tcMar>
            <w:vAlign w:val="center"/>
          </w:tcPr>
          <w:p>
            <w:pPr>
              <w:pStyle w:val="TableContents"/>
              <w:bidi w:val="0"/>
              <w:spacing w:before="0" w:after="283"/>
              <w:jc w:val="left"/>
              <w:rPr/>
            </w:pPr>
            <w:r>
              <w:rPr/>
              <w:t> </w:t>
            </w:r>
          </w:p>
        </w:tc>
        <w:tc>
          <w:tcPr>
            <w:tcW w:w="145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bottom w:val="single" w:sz="8" w:space="0" w:color="000000"/>
            </w:tcBorders>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60"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454" w:type="dxa"/>
            <w:tcBorders/>
            <w:vAlign w:val="center"/>
          </w:tcPr>
          <w:p>
            <w:pPr>
              <w:pStyle w:val="TableContents"/>
              <w:bidi w:val="0"/>
              <w:spacing w:before="0" w:after="283"/>
              <w:jc w:val="right"/>
              <w:rPr/>
            </w:pPr>
            <w:r>
              <w:rPr/>
              <w:t>13,035,000.00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1,800.13</w:t>
            </w:r>
          </w:p>
        </w:tc>
      </w:tr>
      <w:tr>
        <w:trPr/>
        <w:tc>
          <w:tcPr>
            <w:tcW w:w="6160"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bottom w:val="single" w:sz="8" w:space="0" w:color="000000"/>
            </w:tcBorders>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160"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bottom w:val="double" w:sz="8" w:space="0" w:color="000000"/>
            </w:tcBorders>
            <w:tcMar>
              <w:bottom w:w="28" w:type="dxa"/>
            </w:tcMar>
            <w:vAlign w:val="center"/>
          </w:tcPr>
          <w:p>
            <w:pPr>
              <w:pStyle w:val="TableContents"/>
              <w:bidi w:val="0"/>
              <w:spacing w:before="0" w:after="283"/>
              <w:jc w:val="left"/>
              <w:rPr/>
            </w:pPr>
            <w:r>
              <w:rPr/>
              <w:t>$</w:t>
            </w:r>
          </w:p>
        </w:tc>
        <w:tc>
          <w:tcPr>
            <w:tcW w:w="1058" w:type="dxa"/>
            <w:tcBorders>
              <w:bottom w:val="double" w:sz="8" w:space="0" w:color="000000"/>
            </w:tcBorders>
            <w:tcMar>
              <w:bottom w:w="28" w:type="dxa"/>
            </w:tcMar>
            <w:vAlign w:val="center"/>
          </w:tcPr>
          <w:p>
            <w:pPr>
              <w:pStyle w:val="TableContents"/>
              <w:bidi w:val="0"/>
              <w:spacing w:before="0" w:after="283"/>
              <w:jc w:val="right"/>
              <w:rPr/>
            </w:pPr>
            <w:r>
              <w:rPr/>
              <w:t>1,800.13</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3"/>
        <w:gridCol w:w="23"/>
        <w:gridCol w:w="9939"/>
      </w:tblGrid>
      <w:tr>
        <w:trPr/>
        <w:tc>
          <w:tcPr>
            <w:tcW w:w="243"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9" w:type="dxa"/>
            <w:tcBorders/>
            <w:vAlign w:val="center"/>
          </w:tcPr>
          <w:p>
            <w:pPr>
              <w:pStyle w:val="TableContents"/>
              <w:bidi w:val="0"/>
              <w:spacing w:before="0" w:after="283"/>
              <w:jc w:val="both"/>
              <w:rPr/>
            </w:pPr>
            <w:r>
              <w:rPr/>
              <w:t>Pursuant to Rule 416(a) under the Securities Act of 1933, as amended (“Securities Act”), this Registration Statement shall also cover any additional shares of the Registrant’s Common Stock that become issuable in respect of the securities identified in the above table by reason of any stock dividend, stock split, recapitalization or other similar transaction effected without the Registrant’s receipt of consideration that results in an increase in the number of the outstanding shares of the Registrant’s Common Stock.</w:t>
              <w:br/>
              <w:br/>
              <w:t>Estimated in accordance with Rules 457(c) and (h) of the Securities Act solely for the purpose of calculating the registration fee based on the average of the high and low prices of the Registrant’s Common Stock as reported on the Nasdaq Capital Market on August 17,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448431/000144843126000005/oprx-20251231.htm" TargetMode="External"/><Relationship Id="rId3" Type="http://schemas.openxmlformats.org/officeDocument/2006/relationships/hyperlink" Target="https://www.sec.gov/ix?doc=/Archives/edgar/data/1448431/000121390026049698/ea0287361-03.htm" TargetMode="External"/><Relationship Id="rId4" Type="http://schemas.openxmlformats.org/officeDocument/2006/relationships/hyperlink" Target="https://www.sec.gov/ix?doc=/Archives/edgar/data/1448431/000144843126000011/oprx-20260331.htm" TargetMode="External"/><Relationship Id="rId5" Type="http://schemas.openxmlformats.org/officeDocument/2006/relationships/hyperlink" Target="https://www.sec.gov/ix?doc=/Archives/edgar/data/1448431/000144843126000016/oprx-20260630.htm" TargetMode="External"/><Relationship Id="rId6" Type="http://schemas.openxmlformats.org/officeDocument/2006/relationships/hyperlink" Target="https://www.sec.gov/ix?doc=/Archives/edgar/data/1448431/000144843126000002/oprx-20260305.htm" TargetMode="External"/><Relationship Id="rId7" Type="http://schemas.openxmlformats.org/officeDocument/2006/relationships/hyperlink" Target="https://www.sec.gov/ix?doc=/Archives/edgar/data/1448431/000144843126000007/oprx-20260324.htm" TargetMode="External"/><Relationship Id="rId8" Type="http://schemas.openxmlformats.org/officeDocument/2006/relationships/hyperlink" Target="https://www.sec.gov/ix?doc=/Archives/edgar/data/1448431/000121390026041604/ea0285473-8k_optimize.htm" TargetMode="External"/><Relationship Id="rId9" Type="http://schemas.openxmlformats.org/officeDocument/2006/relationships/hyperlink" Target="https://www.sec.gov/ix?doc=/Archives/edgar/data/1448431/000144843126000009/oprx-20260512.htm" TargetMode="External"/><Relationship Id="rId10" Type="http://schemas.openxmlformats.org/officeDocument/2006/relationships/hyperlink" Target="https://www.sec.gov/ix?doc=/Archives/edgar/data/1448431/000121390026065810/ea0293598-8k_optimize.htm" TargetMode="External"/><Relationship Id="rId11" Type="http://schemas.openxmlformats.org/officeDocument/2006/relationships/hyperlink" Target="https://www.sec.gov/ix?doc=/Archives/edgar/data/1448431/000121390026068272/ea0294565-8k_optimize.htm" TargetMode="External"/><Relationship Id="rId12" Type="http://schemas.openxmlformats.org/officeDocument/2006/relationships/hyperlink" Target="https://www.sec.gov/ix?doc=/Archives/edgar/data/1448431/000144843126000014/oprx-20260807.htm" TargetMode="External"/><Relationship Id="rId13" Type="http://schemas.openxmlformats.org/officeDocument/2006/relationships/hyperlink" Target="https://www.sec.gov/Archives/edgar/data/1448431/000136110608000414/optimizerx_s1-ex0301.htm" TargetMode="External"/><Relationship Id="rId14" Type="http://schemas.openxmlformats.org/officeDocument/2006/relationships/hyperlink" Target="https://www.sec.gov/Archives/edgar/data/1448431/000121390019003962/f10k2018ex3-5_optimizerx.htm" TargetMode="External"/><Relationship Id="rId15" Type="http://schemas.openxmlformats.org/officeDocument/2006/relationships/hyperlink" Target="https://www.sec.gov/Archives/edgar/data/1448431/000144843125000012/fourthamendedrestatedbylaws.htm" TargetMode="External"/><Relationship Id="rId16" Type="http://schemas.openxmlformats.org/officeDocument/2006/relationships/hyperlink" Target="https://www.sec.gov/Archives/edgar/data/1448431/000144843125000012/fourthamendedrestatedbylaws.htm" TargetMode="External"/><Relationship Id="rId17" Type="http://schemas.openxmlformats.org/officeDocument/2006/relationships/hyperlink" Target="https://www.sec.gov/Archives/edgar/data/1448431/000121390024050753/ea0207524ex10-1_optimize.htm" TargetMode="External"/><Relationship Id="rId18" Type="http://schemas.openxmlformats.org/officeDocument/2006/relationships/hyperlink" Target="https://www.sec.gov/Archives/edgar/data/1448431/000121390026068272/ea029456501ex10-1.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2064</Words>
  <Characters>11206</Characters>
  <CharactersWithSpaces>13370</CharactersWithSpaces>
  <Paragraphs>510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