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9, 2019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4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rPr>
              <w:t>Nevada</w:t>
            </w:r>
          </w:p>
        </w:tc>
        <w:tc>
          <w:tcPr>
            <w:tcW w:w="3020" w:type="dxa"/>
            <w:vAlign w:val="bottom"/>
            <w:gridSpan w:val="3"/>
          </w:tcPr>
          <w:p>
            <w:pPr>
              <w:jc w:val="right"/>
              <w:ind w:right="1440"/>
              <w:spacing w:after="0"/>
              <w:rPr>
                <w:sz w:val="20"/>
                <w:szCs w:val="20"/>
                <w:color w:val="auto"/>
              </w:rPr>
            </w:pPr>
            <w:r>
              <w:rPr>
                <w:rFonts w:ascii="Times New Roman" w:cs="Times New Roman" w:eastAsia="Times New Roman" w:hAnsi="Times New Roman"/>
                <w:sz w:val="18"/>
                <w:szCs w:val="18"/>
                <w:color w:val="auto"/>
              </w:rPr>
              <w:t>000-53605</w:t>
            </w:r>
          </w:p>
        </w:tc>
        <w:tc>
          <w:tcPr>
            <w:tcW w:w="22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26-1265381</w:t>
            </w:r>
          </w:p>
        </w:tc>
      </w:tr>
      <w:tr>
        <w:trPr>
          <w:trHeight w:val="234"/>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020" w:type="dxa"/>
            <w:vAlign w:val="bottom"/>
            <w:tcBorders>
              <w:top w:val="single" w:sz="8" w:color="auto"/>
            </w:tcBorders>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2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21"/>
        </w:trPr>
        <w:tc>
          <w:tcPr>
            <w:tcW w:w="45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400 Water Street, Suite 200, Rochester, MI</w:t>
            </w:r>
          </w:p>
        </w:tc>
        <w:tc>
          <w:tcPr>
            <w:tcW w:w="10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45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ind w:right="18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39"/>
        </w:trPr>
        <w:tc>
          <w:tcPr>
            <w:tcW w:w="464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14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ind w:right="670"/>
              <w:spacing w:after="0"/>
              <w:rPr>
                <w:sz w:val="20"/>
                <w:szCs w:val="20"/>
                <w:color w:val="auto"/>
              </w:rPr>
            </w:pPr>
            <w:r>
              <w:rPr>
                <w:rFonts w:ascii="Times New Roman" w:cs="Times New Roman" w:eastAsia="Times New Roman" w:hAnsi="Times New Roman"/>
                <w:sz w:val="18"/>
                <w:szCs w:val="18"/>
                <w:color w:val="auto"/>
                <w:w w:val="99"/>
              </w:rPr>
              <w:t>OPRX</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r>
        <w:trPr>
          <w:trHeight w:val="270"/>
        </w:trPr>
        <w:tc>
          <w:tcPr>
            <w:tcW w:w="36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spacing w:after="0"/>
              <w:rPr>
                <w:sz w:val="23"/>
                <w:szCs w:val="23"/>
                <w:color w:val="auto"/>
              </w:rPr>
            </w:pPr>
          </w:p>
        </w:tc>
      </w:tr>
      <w:tr>
        <w:trPr>
          <w:trHeight w:val="28"/>
        </w:trPr>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466"/>
        </w:trPr>
        <w:tc>
          <w:tcPr>
            <w:tcW w:w="3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December 9, 2019, we issued a press release concerning our sales pipeline growth. A copy of the press release is attached as Exhibit 99.1 to this Current Report on Form 8-K.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spacing w:after="0"/>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EE"/>
          </w:rPr>
          <w:t>Press release, dated December 9, 2019</w:t>
        </w:r>
      </w:hyperlink>
    </w:p>
    <w:p>
      <w:pPr>
        <w:spacing w:after="0" w:line="200" w:lineRule="exact"/>
        <w:rPr>
          <w:sz w:val="20"/>
          <w:szCs w:val="20"/>
          <w:color w:val="auto"/>
        </w:rPr>
      </w:pPr>
    </w:p>
    <w:p>
      <w:pPr>
        <w:spacing w:after="0" w:line="3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1780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10, 2019</w:t>
      </w:r>
    </w:p>
    <w:p>
      <w:pPr>
        <w:spacing w:after="0" w:line="200" w:lineRule="exact"/>
        <w:rPr>
          <w:sz w:val="20"/>
          <w:szCs w:val="20"/>
          <w:color w:val="auto"/>
        </w:rPr>
      </w:pPr>
    </w:p>
    <w:p>
      <w:pPr>
        <w:spacing w:after="0" w:line="3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168275</wp:posOffset>
            </wp:positionV>
            <wp:extent cx="189547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Sales Pipeline Up 79% to $84 Million in 2019; Company Reiterates Strong Q4 and 2020 Outlook</w:t>
      </w:r>
    </w:p>
    <w:p>
      <w:pPr>
        <w:spacing w:after="0" w:line="22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ROCHESTER, MI., (December 9, 2019) — </w:t>
      </w:r>
      <w:r>
        <w:rPr>
          <w:rFonts w:ascii="Times New Roman" w:cs="Times New Roman" w:eastAsia="Times New Roman" w:hAnsi="Times New Roman"/>
          <w:sz w:val="18"/>
          <w:szCs w:val="18"/>
          <w:color w:val="auto"/>
        </w:rPr>
        <w:t>OptimizeRx Corp. (NASDAQ: OPRX), a leading provider of digital health solutions for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payers, medtech and medical associations, reported its sales pipeline, which is comprised of outstanding request for proposals (RFPs) submitted, has increased 79% to $84 million in 2019 as compared to last year. The company’s RFPs have historically realized a 35%-50% close rate.</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sales pipeline growth is being driven by an accelerated migration to digital solutions by pharma, along with a greater focus on patient experience,” noted Stephen Silvestro, chief commercial officer of OptimizeRx.</w:t>
      </w:r>
    </w:p>
    <w:p>
      <w:pPr>
        <w:spacing w:after="0" w:line="8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addition to the significant pipeline growth,” continued Silvestro, “we recently reported that we had five enterprise opportunities totaling $30 million currently under review by our clients. They address the need for holistic solution set for improving adherence which we are well positioned to deliver on. We’ve now signed and moved into contracting with several of these and are seeing the appropriate engagement with our clients on the others.”</w:t>
      </w:r>
    </w:p>
    <w:p>
      <w:pPr>
        <w:spacing w:after="0" w:line="9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OptimizeRx’s enhanced core messaging solutions coupled with its recent acquisitions have expanded the company’s total addressable market by adding digital care and health management to its solution set. This has made the company better able to address its existing HCP messaging market, estimated at more than $2.4 billion, but also has expanded its reach into patient engagement, digital therapeutics and care management, bringing its total addressable market to north of $48 billion.</w:t>
      </w:r>
    </w:p>
    <w:p>
      <w:pPr>
        <w:spacing w:after="0" w:line="9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integrated platform approach also allows us to address the needs of a much larger group of manufacturers and we have identified 29 whose needs directly align with our new platform solution,” added Silvestro. “The benefits of this integration have begun to appear in the growth of our aggregate pipeline, including an increase of our average deal size from $130,000 in 2018 to $300,000 in 2019.”</w:t>
      </w:r>
    </w:p>
    <w:p>
      <w:pPr>
        <w:spacing w:after="0" w:line="9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According to OptimizeRx CEO William Febbo: “As we continue to penetrate the market, we see our core digital point of care messaging business continuing to grow and are excited about the opportunities with our patient engagement programs. In fact, within our pipeline, over 20 clients have increased their spend for 2020 which gives us confidence in another year of record growth.”</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OptimizeRx® (NASDAQ: OPRX), a digital health company, connects pharmaceutical companies to patients and providers, offering greater affordability, adherence and brand awareness at the point-of-care. As the nation’s largest digital platform connecting life sciences to the point-of-care, OptimizeRx provides a direct channel for pharma companies, payers, medtech, medical associations to communicate with healthcare providers right within their workflow and also directly to patients.</w:t>
      </w:r>
    </w:p>
    <w:p>
      <w:pPr>
        <w:spacing w:after="0" w:line="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spacing w:after="0" w:line="261" w:lineRule="auto"/>
        <w:rPr>
          <w:sz w:val="20"/>
          <w:szCs w:val="20"/>
          <w:color w:val="auto"/>
        </w:rPr>
      </w:pPr>
      <w:r>
        <w:rPr>
          <w:rFonts w:ascii="Times New Roman" w:cs="Times New Roman" w:eastAsia="Times New Roman" w:hAnsi="Times New Roman"/>
          <w:sz w:val="18"/>
          <w:szCs w:val="18"/>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 and digital therapeutics SaaS platform.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dbaker@optimizerx.com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(860) 800-2344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nicolebrooks@innsena.com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Both, CMA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(949) 432-7557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oprx@cma.team</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80"/>
      </w:cols>
      <w:pgMar w:left="240" w:top="60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2019-12-28T01:07:59Z</dcterms:created>
  <dcterms:modified xsi:type="dcterms:W3CDTF">2019-12-28T01:07:59Z</dcterms:modified>
</cp:coreProperties>
</file>