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0" w:type="dxa"/>
            <w:vAlign w:val="bottom"/>
            <w:gridSpan w:val="4"/>
          </w:tcPr>
          <w:p>
            <w:pPr>
              <w:jc w:val="center"/>
              <w:ind w:right="1800"/>
              <w:spacing w:after="0"/>
              <w:rPr>
                <w:sz w:val="20"/>
                <w:szCs w:val="20"/>
                <w:color w:val="auto"/>
              </w:rPr>
            </w:pPr>
            <w:r>
              <w:rPr>
                <w:rFonts w:ascii="Arial" w:cs="Arial" w:eastAsia="Arial" w:hAnsi="Arial"/>
                <w:sz w:val="18"/>
                <w:szCs w:val="18"/>
                <w:b w:val="1"/>
                <w:bCs w:val="1"/>
                <w:color w:val="auto"/>
              </w:rPr>
              <w:t>FORM 8-K</w:t>
            </w:r>
          </w:p>
        </w:tc>
        <w:tc>
          <w:tcPr>
            <w:tcW w:w="2920" w:type="dxa"/>
            <w:vAlign w:val="bottom"/>
          </w:tcPr>
          <w:p>
            <w:pPr>
              <w:spacing w:after="0"/>
              <w:rPr>
                <w:sz w:val="20"/>
                <w:szCs w:val="20"/>
                <w:color w:val="auto"/>
              </w:rPr>
            </w:pPr>
          </w:p>
        </w:tc>
      </w:tr>
      <w:tr>
        <w:trPr>
          <w:trHeight w:val="414"/>
        </w:trPr>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0" w:type="dxa"/>
            <w:vAlign w:val="bottom"/>
            <w:gridSpan w:val="4"/>
          </w:tcPr>
          <w:p>
            <w:pPr>
              <w:jc w:val="center"/>
              <w:ind w:right="1800"/>
              <w:spacing w:after="0"/>
              <w:rPr>
                <w:sz w:val="20"/>
                <w:szCs w:val="20"/>
                <w:color w:val="auto"/>
              </w:rPr>
            </w:pPr>
            <w:r>
              <w:rPr>
                <w:rFonts w:ascii="Arial" w:cs="Arial" w:eastAsia="Arial" w:hAnsi="Arial"/>
                <w:sz w:val="18"/>
                <w:szCs w:val="18"/>
                <w:b w:val="1"/>
                <w:bCs w:val="1"/>
                <w:color w:val="auto"/>
                <w:w w:val="99"/>
              </w:rPr>
              <w:t>CURRENT REPORT</w:t>
            </w:r>
          </w:p>
        </w:tc>
        <w:tc>
          <w:tcPr>
            <w:tcW w:w="292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gridSpan w:val="5"/>
          </w:tcPr>
          <w:p>
            <w:pPr>
              <w:jc w:val="center"/>
              <w:ind w:right="900"/>
              <w:spacing w:after="0"/>
              <w:rPr>
                <w:sz w:val="20"/>
                <w:szCs w:val="20"/>
                <w:color w:val="auto"/>
              </w:rPr>
            </w:pPr>
            <w:r>
              <w:rPr>
                <w:rFonts w:ascii="Arial" w:cs="Arial" w:eastAsia="Arial" w:hAnsi="Arial"/>
                <w:sz w:val="18"/>
                <w:szCs w:val="18"/>
                <w:b w:val="1"/>
                <w:bCs w:val="1"/>
                <w:color w:val="auto"/>
                <w:w w:val="97"/>
              </w:rPr>
              <w:t>PURSUANT TO SECTION 13 OR 15(d) OF</w:t>
            </w:r>
          </w:p>
        </w:tc>
        <w:tc>
          <w:tcPr>
            <w:tcW w:w="2920" w:type="dxa"/>
            <w:vAlign w:val="bottom"/>
          </w:tcPr>
          <w:p>
            <w:pPr>
              <w:spacing w:after="0"/>
              <w:rPr>
                <w:sz w:val="18"/>
                <w:szCs w:val="18"/>
                <w:color w:val="auto"/>
              </w:rPr>
            </w:pPr>
          </w:p>
        </w:tc>
      </w:tr>
      <w:tr>
        <w:trPr>
          <w:trHeight w:val="234"/>
        </w:trPr>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00" w:type="dxa"/>
            <w:vAlign w:val="bottom"/>
            <w:gridSpan w:val="6"/>
          </w:tcPr>
          <w:p>
            <w:pPr>
              <w:jc w:val="center"/>
              <w:ind w:right="7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2920" w:type="dxa"/>
            <w:vAlign w:val="bottom"/>
          </w:tcPr>
          <w:p>
            <w:pPr>
              <w:spacing w:after="0"/>
              <w:rPr>
                <w:sz w:val="20"/>
                <w:szCs w:val="20"/>
                <w:color w:val="auto"/>
              </w:rPr>
            </w:pPr>
          </w:p>
        </w:tc>
      </w:tr>
      <w:tr>
        <w:trPr>
          <w:trHeight w:val="432"/>
        </w:trPr>
        <w:tc>
          <w:tcPr>
            <w:tcW w:w="3060" w:type="dxa"/>
            <w:vAlign w:val="bottom"/>
          </w:tcPr>
          <w:p>
            <w:pPr>
              <w:spacing w:after="0"/>
              <w:rPr>
                <w:sz w:val="24"/>
                <w:szCs w:val="24"/>
                <w:color w:val="auto"/>
              </w:rPr>
            </w:pPr>
          </w:p>
        </w:tc>
        <w:tc>
          <w:tcPr>
            <w:tcW w:w="5260" w:type="dxa"/>
            <w:vAlign w:val="bottom"/>
            <w:gridSpan w:val="7"/>
          </w:tcPr>
          <w:p>
            <w:pPr>
              <w:jc w:val="center"/>
              <w:ind w:right="140"/>
              <w:spacing w:after="0"/>
              <w:rPr>
                <w:sz w:val="20"/>
                <w:szCs w:val="20"/>
                <w:color w:val="auto"/>
              </w:rPr>
            </w:pPr>
            <w:r>
              <w:rPr>
                <w:rFonts w:ascii="Arial" w:cs="Arial" w:eastAsia="Arial" w:hAnsi="Arial"/>
                <w:sz w:val="18"/>
                <w:szCs w:val="18"/>
                <w:color w:val="auto"/>
                <w:w w:val="91"/>
              </w:rPr>
              <w:t>Date of Report (Date of earliest event reported): May 29, 2020</w:t>
            </w:r>
          </w:p>
        </w:tc>
        <w:tc>
          <w:tcPr>
            <w:tcW w:w="2920" w:type="dxa"/>
            <w:vAlign w:val="bottom"/>
          </w:tcPr>
          <w:p>
            <w:pPr>
              <w:spacing w:after="0"/>
              <w:rPr>
                <w:sz w:val="24"/>
                <w:szCs w:val="24"/>
                <w:color w:val="auto"/>
              </w:rPr>
            </w:pPr>
          </w:p>
        </w:tc>
      </w:tr>
      <w:tr>
        <w:trPr>
          <w:trHeight w:val="392"/>
        </w:trPr>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0" w:type="dxa"/>
            <w:vAlign w:val="bottom"/>
            <w:gridSpan w:val="4"/>
          </w:tcPr>
          <w:p>
            <w:pPr>
              <w:jc w:val="center"/>
              <w:ind w:right="1800"/>
              <w:spacing w:after="0"/>
              <w:rPr>
                <w:sz w:val="20"/>
                <w:szCs w:val="20"/>
                <w:color w:val="auto"/>
              </w:rPr>
            </w:pPr>
            <w:r>
              <w:rPr>
                <w:rFonts w:ascii="Arial" w:cs="Arial" w:eastAsia="Arial" w:hAnsi="Arial"/>
                <w:sz w:val="18"/>
                <w:szCs w:val="18"/>
                <w:color w:val="auto"/>
                <w:w w:val="93"/>
              </w:rPr>
              <w:t>OptimizeRx Corporation</w:t>
            </w:r>
          </w:p>
        </w:tc>
        <w:tc>
          <w:tcPr>
            <w:tcW w:w="2920" w:type="dxa"/>
            <w:vAlign w:val="bottom"/>
          </w:tcPr>
          <w:p>
            <w:pPr>
              <w:spacing w:after="0"/>
              <w:rPr>
                <w:sz w:val="24"/>
                <w:szCs w:val="24"/>
                <w:color w:val="auto"/>
              </w:rPr>
            </w:pPr>
          </w:p>
        </w:tc>
      </w:tr>
      <w:tr>
        <w:trPr>
          <w:trHeight w:val="20"/>
        </w:trPr>
        <w:tc>
          <w:tcPr>
            <w:tcW w:w="3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37"/>
        </w:trPr>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00" w:type="dxa"/>
            <w:vAlign w:val="bottom"/>
            <w:gridSpan w:val="6"/>
          </w:tcPr>
          <w:p>
            <w:pPr>
              <w:jc w:val="center"/>
              <w:ind w:right="700"/>
              <w:spacing w:after="0"/>
              <w:rPr>
                <w:sz w:val="20"/>
                <w:szCs w:val="20"/>
                <w:color w:val="auto"/>
              </w:rPr>
            </w:pPr>
            <w:r>
              <w:rPr>
                <w:rFonts w:ascii="Arial" w:cs="Arial" w:eastAsia="Arial" w:hAnsi="Arial"/>
                <w:sz w:val="18"/>
                <w:szCs w:val="18"/>
                <w:color w:val="auto"/>
                <w:w w:val="90"/>
              </w:rPr>
              <w:t>(Exact name of registrant as specified in its charter)</w:t>
            </w:r>
          </w:p>
        </w:tc>
        <w:tc>
          <w:tcPr>
            <w:tcW w:w="2920" w:type="dxa"/>
            <w:vAlign w:val="bottom"/>
          </w:tcPr>
          <w:p>
            <w:pPr>
              <w:spacing w:after="0"/>
              <w:rPr>
                <w:sz w:val="20"/>
                <w:szCs w:val="20"/>
                <w:color w:val="auto"/>
              </w:rPr>
            </w:pPr>
          </w:p>
        </w:tc>
      </w:tr>
      <w:tr>
        <w:trPr>
          <w:trHeight w:val="453"/>
        </w:trPr>
        <w:tc>
          <w:tcPr>
            <w:tcW w:w="3060" w:type="dxa"/>
            <w:vAlign w:val="bottom"/>
          </w:tcPr>
          <w:p>
            <w:pPr>
              <w:jc w:val="center"/>
              <w:ind w:left="470"/>
              <w:spacing w:after="0"/>
              <w:rPr>
                <w:sz w:val="20"/>
                <w:szCs w:val="20"/>
                <w:color w:val="auto"/>
              </w:rPr>
            </w:pPr>
            <w:r>
              <w:rPr>
                <w:rFonts w:ascii="Arial" w:cs="Arial" w:eastAsia="Arial" w:hAnsi="Arial"/>
                <w:sz w:val="18"/>
                <w:szCs w:val="18"/>
                <w:color w:val="auto"/>
                <w:w w:val="86"/>
              </w:rPr>
              <w:t>Nevada</w:t>
            </w:r>
          </w:p>
        </w:tc>
        <w:tc>
          <w:tcPr>
            <w:tcW w:w="3460" w:type="dxa"/>
            <w:vAlign w:val="bottom"/>
            <w:gridSpan w:val="4"/>
          </w:tcPr>
          <w:p>
            <w:pPr>
              <w:jc w:val="center"/>
              <w:ind w:left="159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jc w:val="right"/>
              <w:ind w:right="1270"/>
              <w:spacing w:after="0"/>
              <w:rPr>
                <w:sz w:val="20"/>
                <w:szCs w:val="20"/>
                <w:color w:val="auto"/>
              </w:rPr>
            </w:pPr>
            <w:r>
              <w:rPr>
                <w:rFonts w:ascii="Arial" w:cs="Arial" w:eastAsia="Arial" w:hAnsi="Arial"/>
                <w:sz w:val="18"/>
                <w:szCs w:val="18"/>
                <w:color w:val="auto"/>
              </w:rPr>
              <w:t>26-1265381</w:t>
            </w:r>
          </w:p>
        </w:tc>
      </w:tr>
      <w:tr>
        <w:trPr>
          <w:trHeight w:val="202"/>
        </w:trPr>
        <w:tc>
          <w:tcPr>
            <w:tcW w:w="3060" w:type="dxa"/>
            <w:vAlign w:val="bottom"/>
            <w:tcBorders>
              <w:top w:val="single" w:sz="8" w:color="auto"/>
            </w:tcBorders>
          </w:tcPr>
          <w:p>
            <w:pPr>
              <w:jc w:val="center"/>
              <w:ind w:left="470"/>
              <w:spacing w:after="0" w:line="201" w:lineRule="exact"/>
              <w:rPr>
                <w:sz w:val="20"/>
                <w:szCs w:val="20"/>
                <w:color w:val="auto"/>
              </w:rPr>
            </w:pPr>
            <w:r>
              <w:rPr>
                <w:rFonts w:ascii="Arial" w:cs="Arial" w:eastAsia="Arial" w:hAnsi="Arial"/>
                <w:sz w:val="18"/>
                <w:szCs w:val="18"/>
                <w:color w:val="auto"/>
                <w:w w:val="92"/>
              </w:rPr>
              <w:t>(State or other jurisdiction</w:t>
            </w: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920" w:type="dxa"/>
            <w:vAlign w:val="bottom"/>
            <w:tcBorders>
              <w:top w:val="single" w:sz="8" w:color="auto"/>
            </w:tcBorders>
          </w:tcPr>
          <w:p>
            <w:pPr>
              <w:jc w:val="center"/>
              <w:ind w:right="59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60" w:type="dxa"/>
            <w:vAlign w:val="bottom"/>
          </w:tcPr>
          <w:p>
            <w:pPr>
              <w:jc w:val="center"/>
              <w:ind w:left="470"/>
              <w:spacing w:after="0"/>
              <w:rPr>
                <w:sz w:val="20"/>
                <w:szCs w:val="20"/>
                <w:color w:val="auto"/>
              </w:rPr>
            </w:pPr>
            <w:r>
              <w:rPr>
                <w:rFonts w:ascii="Arial" w:cs="Arial" w:eastAsia="Arial" w:hAnsi="Arial"/>
                <w:sz w:val="18"/>
                <w:szCs w:val="18"/>
                <w:color w:val="auto"/>
                <w:w w:val="93"/>
              </w:rPr>
              <w:t>of incorporation)</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tcPr>
          <w:p>
            <w:pPr>
              <w:jc w:val="center"/>
              <w:ind w:right="57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320" w:type="dxa"/>
            <w:vAlign w:val="bottom"/>
            <w:gridSpan w:val="8"/>
          </w:tcPr>
          <w:p>
            <w:pPr>
              <w:jc w:val="center"/>
              <w:ind w:right="880"/>
              <w:spacing w:after="0"/>
              <w:rPr>
                <w:sz w:val="20"/>
                <w:szCs w:val="20"/>
                <w:color w:val="auto"/>
              </w:rPr>
            </w:pPr>
            <w:r>
              <w:rPr>
                <w:rFonts w:ascii="Arial" w:cs="Arial" w:eastAsia="Arial" w:hAnsi="Arial"/>
                <w:sz w:val="18"/>
                <w:szCs w:val="18"/>
                <w:color w:val="auto"/>
                <w:w w:val="89"/>
              </w:rPr>
              <w:t>400 Water Street, Suite 200, Rochester, MI</w:t>
            </w:r>
          </w:p>
        </w:tc>
        <w:tc>
          <w:tcPr>
            <w:tcW w:w="2920" w:type="dxa"/>
            <w:vAlign w:val="bottom"/>
          </w:tcPr>
          <w:p>
            <w:pPr>
              <w:jc w:val="right"/>
              <w:ind w:right="1490"/>
              <w:spacing w:after="0"/>
              <w:rPr>
                <w:sz w:val="20"/>
                <w:szCs w:val="20"/>
                <w:color w:val="auto"/>
              </w:rPr>
            </w:pPr>
            <w:r>
              <w:rPr>
                <w:rFonts w:ascii="Arial" w:cs="Arial" w:eastAsia="Arial" w:hAnsi="Arial"/>
                <w:sz w:val="18"/>
                <w:szCs w:val="18"/>
                <w:color w:val="auto"/>
              </w:rPr>
              <w:t>48307</w:t>
            </w:r>
          </w:p>
        </w:tc>
      </w:tr>
      <w:tr>
        <w:trPr>
          <w:trHeight w:val="230"/>
        </w:trPr>
        <w:tc>
          <w:tcPr>
            <w:tcW w:w="7440" w:type="dxa"/>
            <w:vAlign w:val="bottom"/>
            <w:tcBorders>
              <w:top w:val="single" w:sz="8" w:color="auto"/>
            </w:tcBorders>
            <w:gridSpan w:val="6"/>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920" w:type="dxa"/>
            <w:vAlign w:val="bottom"/>
            <w:tcBorders>
              <w:top w:val="single" w:sz="8" w:color="auto"/>
            </w:tcBorders>
          </w:tcPr>
          <w:p>
            <w:pPr>
              <w:jc w:val="center"/>
              <w:ind w:right="5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288925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9"/>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682"/>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On May 29, 2020, we issued a press release concerning our invitation to present in William Blair &amp; Company’s 40th Annual Growth Stock Conference being held June 9-11, 2020. A copy of the press release is attached as Exhibit 99.1 to this Current Report on Form 8-K.</w:t>
      </w:r>
    </w:p>
    <w:p>
      <w:pPr>
        <w:spacing w:after="0" w:line="14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May 29,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 2020</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154305</wp:posOffset>
            </wp:positionV>
            <wp:extent cx="1894205"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9420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340" w:right="120"/>
        <w:spacing w:after="0" w:line="282" w:lineRule="auto"/>
        <w:rPr>
          <w:sz w:val="20"/>
          <w:szCs w:val="20"/>
          <w:color w:val="auto"/>
        </w:rPr>
      </w:pPr>
      <w:r>
        <w:rPr>
          <w:rFonts w:ascii="Arial" w:cs="Arial" w:eastAsia="Arial" w:hAnsi="Arial"/>
          <w:sz w:val="25"/>
          <w:szCs w:val="25"/>
          <w:b w:val="1"/>
          <w:bCs w:val="1"/>
          <w:color w:val="auto"/>
        </w:rPr>
        <w:t>OptimizeRx to Present at William Blair &amp; Company’s 40th Annual Growth Stock Conference, June 9-11, 2020</w:t>
      </w:r>
    </w:p>
    <w:p>
      <w:pPr>
        <w:spacing w:after="0" w:line="139"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 xml:space="preserve">ROCHESTER, Mich., (May 29, 2020) — </w:t>
      </w:r>
      <w:r>
        <w:rPr>
          <w:rFonts w:ascii="Arial" w:cs="Arial" w:eastAsia="Arial" w:hAnsi="Arial"/>
          <w:sz w:val="16"/>
          <w:szCs w:val="16"/>
          <w:color w:val="auto"/>
        </w:rPr>
        <w:t>OptimizeRx Corp. (Nasdaq: OPRX), a leading provider of digital health solutions for life science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payers and providers, has been invited to present in William Blair &amp; Company’s 40th Annual Growth Stock Conference being held June 9-11, 2020.</w:t>
      </w:r>
    </w:p>
    <w:p>
      <w:pPr>
        <w:spacing w:after="0" w:line="12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OptimizeRx CEO William Febbo is scheduled to present on June 10, 2020, at 9:20 a.m. Central time, as well as participate in virtual one-on-one meetings on the same day and June 11.</w:t>
      </w:r>
    </w:p>
    <w:p>
      <w:pPr>
        <w:spacing w:after="0" w:line="170"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He will discuss a number of topics, including how OptimizeRx’s record Q1 results demonstrated an acceleration in platform adoption and the further transformation of the company’s revenue model into SaaS-based enterprise-level deployments. He will also discuss how COVID-19 has made OptimizeRx’s nationwide digital connectivity at the point-of-care even more relevant to its customer base, which now includes the world’s top 20 pharmaceutical companies.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live presentation will be available at investors.optimizerx.com/events-and-presentations.</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event is for institutional clients of William Blair and is by invitation only. To schedule a one-on-one meeting with OptimizeRx, please contact your William Blair institutional sales representative. For further assistance or any questions about OptimizeRx, contact Ron Both of CMA at (949) 432-7557 or submit your inquiry here.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William Blair</w:t>
      </w:r>
    </w:p>
    <w:p>
      <w:pPr>
        <w:spacing w:after="0" w:line="27"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William Blair is a premier global boutique with expertise in investment banking, investment management, and private wealth management. The company provides advisory services, strategies, and solutions to meet its clients’ evolving needs. As an independent and employee-owned firm, together with its strategic partners, William Blair operates in more than 20 offices worldwide. For more information, visit www.williamblair.com.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r>
        <w:rPr>
          <w:rFonts w:ascii="Arial" w:cs="Arial" w:eastAsia="Arial" w:hAnsi="Arial"/>
          <w:sz w:val="29"/>
          <w:szCs w:val="29"/>
          <w:color w:val="auto"/>
          <w:vertAlign w:val="superscript"/>
        </w:rPr>
        <w:t>®</w:t>
      </w:r>
    </w:p>
    <w:p>
      <w:pPr>
        <w:ind w:right="140"/>
        <w:spacing w:after="0" w:line="252" w:lineRule="auto"/>
        <w:rPr>
          <w:sz w:val="20"/>
          <w:szCs w:val="20"/>
          <w:color w:val="auto"/>
        </w:rPr>
      </w:pPr>
      <w:r>
        <w:rPr>
          <w:rFonts w:ascii="Arial" w:cs="Arial" w:eastAsia="Arial" w:hAnsi="Arial"/>
          <w:sz w:val="18"/>
          <w:szCs w:val="18"/>
          <w:color w:val="auto"/>
        </w:rPr>
        <w:t>OptimizeRx Corporation (NASDAQ: OPRX) is a digital health company that facilitates communication at point-of-care among all stakeholders in healthcare. Primarily focused on life science and payer clients, its suite of digital and mobile SaaS-based solutions enables affordability, patient adherence and care management. OptimizeRx’s network reaches more than 60% of U.S. ambulatory providers, delivering therapeutic support on specialty medications and patient financial assistance directly within a provider’s workflow through leading electronic health platforms. OptimizeRx’s fully integrated platform supports the real-time exchange of information, improving provider knowledge and patient engagement, and ultimately leading to healthier outcomes.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go to OptimizeRx.com, and follow the company on Twitter and LinkedIn.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or Grant Stude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2020-06-01T07:33:17Z</dcterms:created>
  <dcterms:modified xsi:type="dcterms:W3CDTF">2020-06-01T07:33:17Z</dcterms:modified>
</cp:coreProperties>
</file>