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BAKER DOUGLAS P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13017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30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08/06/2020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17.01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100,671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2.46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110,671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19157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1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10160</wp:posOffset>
            </wp:positionH>
            <wp:positionV relativeFrom="paragraph">
              <wp:posOffset>37465</wp:posOffset>
            </wp:positionV>
            <wp:extent cx="7017385" cy="13100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7385" cy="131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2.46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08/07/2020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03/31/2017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03/31/2022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2.46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145,559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9"/>
              </w:rPr>
              <w:t>1. These shares sold pursuant to a plan of disposition adopted on June 16, 2020 in accordance with Rule 10b5-1 of the Securities Exchange Act of 1934, as amended.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Doug Baker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08/07/2020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10160</wp:posOffset>
            </wp:positionH>
            <wp:positionV relativeFrom="paragraph">
              <wp:posOffset>-817880</wp:posOffset>
            </wp:positionV>
            <wp:extent cx="7017385" cy="262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7385" cy="26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28775" TargetMode="External"/><Relationship Id="rId14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2020-08-07T16:28:43Z</dcterms:created>
  <dcterms:modified xsi:type="dcterms:W3CDTF">2020-08-07T16:28:43Z</dcterms:modified>
</cp:coreProperties>
</file>