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11, 2015</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OptimizeRx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8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0"/>
              </w:rPr>
              <w:t>Nevada</w:t>
            </w:r>
          </w:p>
        </w:tc>
        <w:tc>
          <w:tcPr>
            <w:tcW w:w="2980" w:type="dxa"/>
            <w:vAlign w:val="bottom"/>
            <w:gridSpan w:val="3"/>
          </w:tcPr>
          <w:p>
            <w:pPr>
              <w:jc w:val="right"/>
              <w:ind w:right="1440"/>
              <w:spacing w:after="0"/>
              <w:rPr>
                <w:sz w:val="20"/>
                <w:szCs w:val="20"/>
                <w:color w:val="auto"/>
              </w:rPr>
            </w:pPr>
            <w:r>
              <w:rPr>
                <w:rFonts w:ascii="Arial" w:cs="Arial" w:eastAsia="Arial" w:hAnsi="Arial"/>
                <w:sz w:val="18"/>
                <w:szCs w:val="18"/>
                <w:b w:val="1"/>
                <w:bCs w:val="1"/>
                <w:color w:val="auto"/>
              </w:rPr>
              <w:t>000-53605</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980" w:type="dxa"/>
            <w:vAlign w:val="bottom"/>
            <w:tcBorders>
              <w:top w:val="single" w:sz="8" w:color="auto"/>
            </w:tcBorders>
            <w:gridSpan w:val="3"/>
          </w:tcPr>
          <w:p>
            <w:pPr>
              <w:jc w:val="center"/>
              <w:ind w:right="680"/>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580" w:type="dxa"/>
            <w:vAlign w:val="bottom"/>
            <w:gridSpan w:val="3"/>
          </w:tcPr>
          <w:p>
            <w:pPr>
              <w:jc w:val="center"/>
              <w:ind w:right="900"/>
              <w:spacing w:after="0"/>
              <w:rPr>
                <w:sz w:val="20"/>
                <w:szCs w:val="20"/>
                <w:color w:val="auto"/>
              </w:rPr>
            </w:pPr>
            <w:r>
              <w:rPr>
                <w:rFonts w:ascii="Arial" w:cs="Arial" w:eastAsia="Arial" w:hAnsi="Arial"/>
                <w:sz w:val="18"/>
                <w:szCs w:val="18"/>
                <w:color w:val="auto"/>
                <w:w w:val="95"/>
              </w:rPr>
              <w:t>of incorporation)</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9"/>
        </w:trPr>
        <w:tc>
          <w:tcPr>
            <w:tcW w:w="458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10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b w:val="1"/>
                <w:bCs w:val="1"/>
                <w:color w:val="auto"/>
              </w:rPr>
              <w:t>48307</w:t>
            </w:r>
          </w:p>
        </w:tc>
      </w:tr>
      <w:tr>
        <w:trPr>
          <w:trHeight w:val="230"/>
        </w:trPr>
        <w:tc>
          <w:tcPr>
            <w:tcW w:w="4580" w:type="dxa"/>
            <w:vAlign w:val="bottom"/>
            <w:gridSpan w:val="3"/>
          </w:tcPr>
          <w:p>
            <w:pPr>
              <w:jc w:val="center"/>
              <w:ind w:left="950"/>
              <w:spacing w:after="0"/>
              <w:rPr>
                <w:sz w:val="20"/>
                <w:szCs w:val="20"/>
                <w:color w:val="auto"/>
              </w:rPr>
            </w:pPr>
            <w:r>
              <w:rPr>
                <w:rFonts w:ascii="Arial" w:cs="Arial" w:eastAsia="Arial" w:hAnsi="Arial"/>
                <w:sz w:val="18"/>
                <w:szCs w:val="18"/>
                <w:color w:val="auto"/>
                <w:w w:val="92"/>
              </w:rPr>
              <w:t>(Address of principal executive offices)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August 11, 2015, we issued a press release announcing the results of operations for the quarter ended June 30, 2015.</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380" w:type="dxa"/>
            <w:vAlign w:val="bottom"/>
            <w:gridSpan w:val="2"/>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99.1</w:t>
            </w:r>
          </w:p>
        </w:tc>
        <w:tc>
          <w:tcPr>
            <w:tcW w:w="100" w:type="dxa"/>
            <w:vAlign w:val="bottom"/>
            <w:tcBorders>
              <w:top w:val="single" w:sz="8" w:color="CCEEFF"/>
            </w:tcBorders>
            <w:shd w:val="clear" w:color="auto" w:fill="CCEEFF"/>
          </w:tcPr>
          <w:p>
            <w:pPr>
              <w:spacing w:after="0"/>
              <w:rPr>
                <w:sz w:val="18"/>
                <w:szCs w:val="18"/>
                <w:color w:val="auto"/>
              </w:rPr>
            </w:pPr>
          </w:p>
        </w:tc>
        <w:tc>
          <w:tcPr>
            <w:tcW w:w="10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Press release, dated August 11 2015</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OptimizeRx Corporation</w:t>
            </w:r>
          </w:p>
        </w:tc>
      </w:tr>
      <w:tr>
        <w:trPr>
          <w:trHeight w:val="439"/>
        </w:trPr>
        <w:tc>
          <w:tcPr>
            <w:tcW w:w="3660" w:type="dxa"/>
            <w:vAlign w:val="bottom"/>
          </w:tcPr>
          <w:p>
            <w:pPr>
              <w:spacing w:after="0"/>
              <w:rPr>
                <w:sz w:val="20"/>
                <w:szCs w:val="20"/>
                <w:color w:val="auto"/>
              </w:rPr>
            </w:pPr>
            <w:r>
              <w:rPr>
                <w:rFonts w:ascii="Arial" w:cs="Arial" w:eastAsia="Arial" w:hAnsi="Arial"/>
                <w:sz w:val="18"/>
                <w:szCs w:val="18"/>
                <w:color w:val="auto"/>
              </w:rPr>
              <w:t>Date: August 11, 2015</w:t>
            </w:r>
          </w:p>
        </w:tc>
        <w:tc>
          <w:tcPr>
            <w:tcW w:w="320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Baker</w:t>
            </w:r>
          </w:p>
        </w:tc>
      </w:tr>
      <w:tr>
        <w:trPr>
          <w:trHeight w:val="230"/>
        </w:trPr>
        <w:tc>
          <w:tcPr>
            <w:tcW w:w="36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1"/>
        </w:trPr>
        <w:tc>
          <w:tcPr>
            <w:tcW w:w="36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3</w:t>
            </w: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 Reports 20% Increase in 2015 2nd Quarter Revenues over 2014</w:t>
      </w: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i w:val="1"/>
          <w:iCs w:val="1"/>
          <w:color w:val="auto"/>
        </w:rPr>
        <w:t>Achieves Record 2</w:t>
      </w:r>
      <w:r>
        <w:rPr>
          <w:rFonts w:ascii="Arial" w:cs="Arial" w:eastAsia="Arial" w:hAnsi="Arial"/>
          <w:sz w:val="30"/>
          <w:szCs w:val="30"/>
          <w:b w:val="1"/>
          <w:bCs w:val="1"/>
          <w:i w:val="1"/>
          <w:iCs w:val="1"/>
          <w:color w:val="auto"/>
          <w:vertAlign w:val="superscript"/>
        </w:rPr>
        <w:t>nd</w:t>
      </w:r>
      <w:r>
        <w:rPr>
          <w:rFonts w:ascii="Arial" w:cs="Arial" w:eastAsia="Arial" w:hAnsi="Arial"/>
          <w:sz w:val="18"/>
          <w:szCs w:val="18"/>
          <w:b w:val="1"/>
          <w:bCs w:val="1"/>
          <w:i w:val="1"/>
          <w:iCs w:val="1"/>
          <w:color w:val="auto"/>
        </w:rPr>
        <w:t xml:space="preserve"> Quarter Revenues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ROCHESTER, MI – August 11, 2015 -- OptimizeRx Corp. (OTCQB: OPRX) announced that revenues for the quarter ended June 30, 2015 increased 20%</w:t>
      </w:r>
    </w:p>
    <w:p>
      <w:pPr>
        <w:spacing w:after="0" w:line="46" w:lineRule="exact"/>
        <w:rPr>
          <w:sz w:val="20"/>
          <w:szCs w:val="20"/>
          <w:color w:val="auto"/>
        </w:rPr>
      </w:pPr>
    </w:p>
    <w:p>
      <w:pPr>
        <w:ind w:right="1060"/>
        <w:spacing w:after="0" w:line="205" w:lineRule="auto"/>
        <w:rPr>
          <w:sz w:val="20"/>
          <w:szCs w:val="20"/>
          <w:color w:val="auto"/>
        </w:rPr>
      </w:pPr>
      <w:r>
        <w:rPr>
          <w:rFonts w:ascii="Arial" w:cs="Arial" w:eastAsia="Arial" w:hAnsi="Arial"/>
          <w:sz w:val="18"/>
          <w:szCs w:val="18"/>
          <w:color w:val="auto"/>
        </w:rPr>
        <w:t>over those of the same quarter in 2014. During its earnings call today, the Company will discuss its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quarter results, 2015 activity, and recent developments, including:</w:t>
      </w:r>
    </w:p>
    <w:p>
      <w:pPr>
        <w:spacing w:after="0" w:line="20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Revenues for the quarter increased 15% sequentially over the first quarter of 2015</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Positive cash flow from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Recent launch of our eCoupon solution in EHR platforms.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Today’s call is at 4:30 pm eastern time. The details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 (866) 593-0056 or toll: +1 (937) 641-0554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Provide Conference ID: 5225323 to the operator.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file its quarterly report on Form 10Q today prior to the 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About OptimizeRx Corp</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OptimizeRx Corporation (OTCQB: OPRX) provides unique consumer and physician platforms to help patients better afford and comply with their medicines and healthcare products, while offering pharmaceutical and healthcare companies effective ways to expand awareness, access and adherence to their medications.</w:t>
      </w:r>
    </w:p>
    <w:p>
      <w:pPr>
        <w:spacing w:after="0" w:line="19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core product, SampleMD, replaces drug samples with electronic trial vouchers and copay coupon savings that are electronically added to an e-Prescription and sent electronically to the pharmacy and is integrated within leading Electronic Health Record (EHR) platforms in the country, including Allscripts, Quest Diagnostics, Practice Fusion and over 350 other EHRs to reach over 250,000 healthcare providers. In turn, we promote patients savings and support from the world’s largest pharmaceutical companies, including Pfizer, Lilly, Novartis, AstraZeneca and many others. For more information, please go to www.optimizerxcorp.com.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'SAFE HARBOR'</w:t>
      </w:r>
    </w:p>
    <w:p>
      <w:pPr>
        <w:spacing w:after="0" w:line="2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dbaker@samplemd.com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 x807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2019-12-08T21:53:11Z</dcterms:created>
  <dcterms:modified xsi:type="dcterms:W3CDTF">2019-12-08T21:53:11Z</dcterms:modified>
</cp:coreProperties>
</file>