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u w:val="single" w:color="auto"/>
          <w:color w:val="auto"/>
        </w:rPr>
        <w:t>OptimizeRx Corporation</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68401U105</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60" w:right="9100" w:hanging="1"/>
        <w:spacing w:after="0" w:line="504" w:lineRule="auto"/>
        <w:tabs>
          <w:tab w:leader="none" w:pos="91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jc w:val="center"/>
        <w:ind w:right="16"/>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24942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171450"/>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342900</wp:posOffset>
            </wp:positionV>
            <wp:extent cx="7132320" cy="7209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91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44" w:right="8460" w:hanging="544"/>
        <w:spacing w:after="0" w:line="571" w:lineRule="auto"/>
        <w:tabs>
          <w:tab w:leader="none" w:pos="54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Harvey L. Poppel</w:t>
      </w:r>
    </w:p>
    <w:p>
      <w:pPr>
        <w:spacing w:after="0" w:line="1"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83" w:lineRule="exact"/>
        <w:rPr>
          <w:rFonts w:ascii="Arial" w:cs="Arial" w:eastAsia="Arial" w:hAnsi="Arial"/>
          <w:sz w:val="18"/>
          <w:szCs w:val="18"/>
          <w:b w:val="1"/>
          <w:bCs w:val="1"/>
          <w:color w:val="auto"/>
        </w:rPr>
      </w:pPr>
    </w:p>
    <w:p>
      <w:pPr>
        <w:ind w:left="1064" w:hanging="241"/>
        <w:spacing w:after="0"/>
        <w:tabs>
          <w:tab w:leader="none" w:pos="1064"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36" w:lineRule="exact"/>
        <w:rPr>
          <w:rFonts w:ascii="Arial" w:cs="Arial" w:eastAsia="Arial" w:hAnsi="Arial"/>
          <w:sz w:val="18"/>
          <w:szCs w:val="18"/>
          <w:color w:val="auto"/>
        </w:rPr>
      </w:pPr>
    </w:p>
    <w:p>
      <w:pPr>
        <w:ind w:left="1084" w:hanging="261"/>
        <w:spacing w:after="0"/>
        <w:tabs>
          <w:tab w:leader="none" w:pos="1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89"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4" w:hanging="544"/>
        <w:spacing w:after="0"/>
        <w:tabs>
          <w:tab w:leader="none" w:pos="54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83"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Florida, U.S.</w:t>
      </w:r>
    </w:p>
    <w:p>
      <w:pPr>
        <w:spacing w:after="0" w:line="45" w:lineRule="exact"/>
        <w:rPr>
          <w:rFonts w:ascii="Arial" w:cs="Arial" w:eastAsia="Arial" w:hAnsi="Arial"/>
          <w:sz w:val="18"/>
          <w:szCs w:val="18"/>
          <w:b w:val="1"/>
          <w:bCs w:val="1"/>
          <w:color w:val="auto"/>
        </w:rPr>
      </w:pPr>
    </w:p>
    <w:p>
      <w:pPr>
        <w:ind w:left="17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279" w:lineRule="exact"/>
        <w:rPr>
          <w:sz w:val="20"/>
          <w:szCs w:val="20"/>
          <w:color w:val="auto"/>
        </w:rPr>
      </w:pPr>
    </w:p>
    <w:tbl>
      <w:tblPr>
        <w:tblLayout w:type="fixed"/>
        <w:tblInd w:w="144"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1F497D"/>
              </w:rPr>
              <w:t>876,750</w:t>
            </w:r>
          </w:p>
        </w:tc>
      </w:tr>
      <w:tr>
        <w:trPr>
          <w:trHeight w:val="473"/>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6</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r>
      <w:tr>
        <w:trPr>
          <w:trHeight w:val="243"/>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50"/>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Beneficially</w:t>
            </w:r>
          </w:p>
        </w:tc>
        <w:tc>
          <w:tcPr>
            <w:tcW w:w="36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1F497D"/>
              </w:rPr>
              <w:t>876,750</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Owned by Each</w:t>
            </w:r>
          </w:p>
        </w:tc>
        <w:tc>
          <w:tcPr>
            <w:tcW w:w="3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5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Reporting Person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7</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r>
      <w:tr>
        <w:trPr>
          <w:trHeight w:val="243"/>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With:</w:t>
            </w:r>
          </w:p>
        </w:tc>
        <w:tc>
          <w:tcPr>
            <w:tcW w:w="36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57"/>
        </w:trPr>
        <w:tc>
          <w:tcPr>
            <w:tcW w:w="1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180" w:type="dxa"/>
            <w:vAlign w:val="bottom"/>
            <w:tcBorders>
              <w:bottom w:val="single" w:sz="8" w:color="auto"/>
            </w:tcBorders>
          </w:tcPr>
          <w:p>
            <w:pPr>
              <w:spacing w:after="0"/>
              <w:rPr>
                <w:sz w:val="22"/>
                <w:szCs w:val="22"/>
                <w:color w:val="auto"/>
              </w:rPr>
            </w:pPr>
          </w:p>
        </w:tc>
      </w:tr>
      <w:tr>
        <w:trPr>
          <w:trHeight w:val="466"/>
        </w:trPr>
        <w:tc>
          <w:tcPr>
            <w:tcW w:w="15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8</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Shared Dispositive Power</w:t>
            </w:r>
          </w:p>
        </w:tc>
      </w:tr>
      <w:tr>
        <w:trPr>
          <w:trHeight w:val="486"/>
        </w:trPr>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80" w:type="dxa"/>
            <w:vAlign w:val="bottom"/>
          </w:tcPr>
          <w:p>
            <w:pPr>
              <w:ind w:left="240"/>
              <w:spacing w:after="0"/>
              <w:rPr>
                <w:sz w:val="20"/>
                <w:szCs w:val="20"/>
                <w:color w:val="auto"/>
              </w:rPr>
            </w:pPr>
            <w:r>
              <w:rPr>
                <w:rFonts w:ascii="Arial" w:cs="Arial" w:eastAsia="Arial" w:hAnsi="Arial"/>
                <w:sz w:val="18"/>
                <w:szCs w:val="18"/>
                <w:b w:val="1"/>
                <w:bCs w:val="1"/>
                <w:color w:val="1F497D"/>
              </w:rPr>
              <w:t>876,750</w:t>
            </w:r>
          </w:p>
        </w:tc>
      </w:tr>
    </w:tbl>
    <w:p>
      <w:pPr>
        <w:spacing w:after="0" w:line="22" w:lineRule="exact"/>
        <w:rPr>
          <w:sz w:val="20"/>
          <w:szCs w:val="20"/>
          <w:color w:val="auto"/>
        </w:rPr>
      </w:pPr>
    </w:p>
    <w:p>
      <w:pPr>
        <w:ind w:left="544" w:right="5580" w:hanging="544"/>
        <w:spacing w:after="0" w:line="571" w:lineRule="auto"/>
        <w:tabs>
          <w:tab w:leader="none" w:pos="54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b w:val="1"/>
          <w:bCs w:val="1"/>
          <w:color w:val="1F497D"/>
        </w:rPr>
        <w:t>876,750</w:t>
      </w:r>
    </w:p>
    <w:p>
      <w:pPr>
        <w:sectPr>
          <w:pgSz w:w="11900" w:h="16838" w:orient="portrait"/>
          <w:cols w:equalWidth="0" w:num="1">
            <w:col w:w="11204"/>
          </w:cols>
          <w:pgMar w:left="356" w:top="111" w:right="339" w:bottom="1440" w:gutter="0" w:footer="0" w:header="0"/>
        </w:sectPr>
      </w:pP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Check box if the aggregate amount in row (9) excludes certain shares (See Instructions)</w:t>
      </w:r>
    </w:p>
    <w:p>
      <w:pPr>
        <w:spacing w:after="0" w:line="200" w:lineRule="exact"/>
        <w:rPr>
          <w:sz w:val="20"/>
          <w:szCs w:val="20"/>
          <w:color w:val="auto"/>
        </w:rPr>
      </w:pPr>
    </w:p>
    <w:p>
      <w:pPr>
        <w:sectPr>
          <w:pgSz w:w="11900" w:h="16838" w:orient="portrait"/>
          <w:cols w:equalWidth="0" w:num="2">
            <w:col w:w="184" w:space="360"/>
            <w:col w:w="10660"/>
          </w:cols>
          <w:pgMar w:left="356" w:top="111" w:right="339" w:bottom="1440" w:gutter="0" w:footer="0" w:header="0"/>
          <w:type w:val="continuous"/>
        </w:sectPr>
      </w:pPr>
    </w:p>
    <w:p>
      <w:pPr>
        <w:spacing w:after="0" w:line="10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204"/>
          </w:cols>
          <w:pgMar w:left="356" w:top="111" w:right="339" w:bottom="1440" w:gutter="0" w:footer="0" w:header="0"/>
          <w:type w:val="continuous"/>
        </w:sect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11</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 of class represented by amount in row (9)</w:t>
      </w:r>
    </w:p>
    <w:p>
      <w:pPr>
        <w:spacing w:after="0" w:line="200" w:lineRule="exact"/>
        <w:rPr>
          <w:sz w:val="20"/>
          <w:szCs w:val="20"/>
          <w:color w:val="auto"/>
        </w:rPr>
      </w:pPr>
    </w:p>
    <w:p>
      <w:pPr>
        <w:sectPr>
          <w:pgSz w:w="11900" w:h="16838" w:orient="portrait"/>
          <w:cols w:equalWidth="0" w:num="2">
            <w:col w:w="164" w:space="380"/>
            <w:col w:w="10660"/>
          </w:cols>
          <w:pgMar w:left="356" w:top="111" w:right="339" w:bottom="1440" w:gutter="0" w:footer="0" w:header="0"/>
          <w:type w:val="continuous"/>
        </w:sectPr>
      </w:pPr>
    </w:p>
    <w:p>
      <w:pPr>
        <w:spacing w:after="0" w:line="102" w:lineRule="exact"/>
        <w:rPr>
          <w:sz w:val="20"/>
          <w:szCs w:val="20"/>
          <w:color w:val="auto"/>
        </w:rPr>
      </w:pPr>
    </w:p>
    <w:p>
      <w:pPr>
        <w:ind w:left="544"/>
        <w:spacing w:after="0"/>
        <w:rPr>
          <w:sz w:val="20"/>
          <w:szCs w:val="20"/>
          <w:color w:val="auto"/>
        </w:rPr>
      </w:pPr>
      <w:r>
        <w:rPr>
          <w:rFonts w:ascii="Arial" w:cs="Arial" w:eastAsia="Arial" w:hAnsi="Arial"/>
          <w:sz w:val="17"/>
          <w:szCs w:val="17"/>
          <w:b w:val="1"/>
          <w:bCs w:val="1"/>
          <w:color w:val="auto"/>
        </w:rPr>
        <w:t>5.76% (2)</w:t>
      </w:r>
    </w:p>
    <w:p>
      <w:pPr>
        <w:sectPr>
          <w:pgSz w:w="11900" w:h="16838" w:orient="portrait"/>
          <w:cols w:equalWidth="0" w:num="1">
            <w:col w:w="11204"/>
          </w:cols>
          <w:pgMar w:left="356" w:top="111" w:right="339" w:bottom="1440" w:gutter="0" w:footer="0" w:header="0"/>
          <w:type w:val="continuous"/>
        </w:sect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Reporting Person (See Instructions)</w:t>
      </w:r>
    </w:p>
    <w:p>
      <w:pPr>
        <w:spacing w:after="0" w:line="200" w:lineRule="exact"/>
        <w:rPr>
          <w:sz w:val="20"/>
          <w:szCs w:val="20"/>
          <w:color w:val="auto"/>
        </w:rPr>
      </w:pPr>
    </w:p>
    <w:p>
      <w:pPr>
        <w:sectPr>
          <w:pgSz w:w="11900" w:h="16838" w:orient="portrait"/>
          <w:cols w:equalWidth="0" w:num="2">
            <w:col w:w="184" w:space="360"/>
            <w:col w:w="10660"/>
          </w:cols>
          <w:pgMar w:left="356" w:top="111" w:right="339" w:bottom="1440" w:gutter="0" w:footer="0" w:header="0"/>
          <w:type w:val="continuous"/>
        </w:sectPr>
      </w:pPr>
    </w:p>
    <w:p>
      <w:pPr>
        <w:spacing w:after="0" w:line="10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w:t>
      </w:r>
    </w:p>
    <w:p>
      <w:pPr>
        <w:spacing w:after="0" w:line="245" w:lineRule="exact"/>
        <w:rPr>
          <w:sz w:val="20"/>
          <w:szCs w:val="20"/>
          <w:color w:val="auto"/>
        </w:rPr>
      </w:pPr>
    </w:p>
    <w:p>
      <w:pPr>
        <w:jc w:val="center"/>
        <w:ind w:right="16"/>
        <w:spacing w:after="0"/>
        <w:rPr>
          <w:sz w:val="20"/>
          <w:szCs w:val="20"/>
          <w:color w:val="auto"/>
        </w:rPr>
      </w:pPr>
      <w:r>
        <w:rPr>
          <w:rFonts w:ascii="Arial" w:cs="Arial" w:eastAsia="Arial" w:hAnsi="Arial"/>
          <w:sz w:val="19"/>
          <w:szCs w:val="19"/>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164465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04"/>
          </w:cols>
          <w:pgMar w:left="356" w:top="111" w:right="339" w:bottom="1440" w:gutter="0" w:footer="0" w:header="0"/>
          <w:type w:val="continuous"/>
        </w:sectPr>
      </w:pPr>
    </w:p>
    <w:bookmarkStart w:id="2" w:name="page3"/>
    <w:bookmarkEnd w:id="2"/>
    <w:p>
      <w:pPr>
        <w:jc w:val="both"/>
        <w:ind w:firstLine="8"/>
        <w:spacing w:after="0" w:line="245" w:lineRule="auto"/>
        <w:tabs>
          <w:tab w:leader="none" w:pos="311"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This total which includes </w:t>
      </w:r>
      <w:r>
        <w:rPr>
          <w:rFonts w:ascii="Arial" w:cs="Arial" w:eastAsia="Arial" w:hAnsi="Arial"/>
          <w:sz w:val="21"/>
          <w:szCs w:val="21"/>
          <w:color w:val="1F497D"/>
        </w:rPr>
        <w:t>876,750</w:t>
      </w:r>
      <w:r>
        <w:rPr>
          <w:rFonts w:ascii="Arial" w:cs="Arial" w:eastAsia="Arial" w:hAnsi="Arial"/>
          <w:sz w:val="21"/>
          <w:szCs w:val="21"/>
          <w:color w:val="auto"/>
        </w:rPr>
        <w:t xml:space="preserve"> common shares held directly by Harvey L. Poppel on behalf of Harvey L. Poppel, Lee, A. Poppel, Harvey L. Poppel IRA, Lee Poppel IRA, Dr. Clinton S. Poppel, Dr. Clinton S. Poppel 401K &amp; IRAs, Helen M Poppel, Helen M. Poppel IRAs,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80" w:lineRule="exact"/>
        <w:rPr>
          <w:rFonts w:ascii="Arial" w:cs="Arial" w:eastAsia="Arial" w:hAnsi="Arial"/>
          <w:sz w:val="21"/>
          <w:szCs w:val="21"/>
          <w:color w:val="auto"/>
        </w:rPr>
      </w:pPr>
    </w:p>
    <w:p>
      <w:pPr>
        <w:ind w:firstLine="8"/>
        <w:spacing w:after="0" w:line="250" w:lineRule="auto"/>
        <w:tabs>
          <w:tab w:leader="none" w:pos="31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percentage is calculated based upon 15,223,340 voting shares of the Issuers common stock outstanding as of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OptimizeRx Corporation</w:t>
      </w:r>
    </w:p>
    <w:p>
      <w:pPr>
        <w:spacing w:after="0" w:line="14" w:lineRule="exact"/>
        <w:rPr>
          <w:rFonts w:ascii="Arial" w:cs="Arial" w:eastAsia="Arial" w:hAnsi="Arial"/>
          <w:sz w:val="22"/>
          <w:szCs w:val="22"/>
          <w:b w:val="1"/>
          <w:bCs w:val="1"/>
          <w:color w:val="auto"/>
        </w:rPr>
      </w:pPr>
    </w:p>
    <w:p>
      <w:pPr>
        <w:ind w:left="320" w:hanging="312"/>
        <w:spacing w:after="0"/>
        <w:tabs>
          <w:tab w:leader="none" w:pos="3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400 Water St. Ste. 200, Rochester, Michigan 48307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Harvey L. Poppel</w:t>
      </w:r>
    </w:p>
    <w:p>
      <w:pPr>
        <w:spacing w:after="0" w:line="225"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110 El Mirasol, Palm Beach FL 33480</w:t>
      </w:r>
    </w:p>
    <w:p>
      <w:pPr>
        <w:spacing w:after="0" w:line="225"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U.S.</w:t>
      </w:r>
    </w:p>
    <w:p>
      <w:pPr>
        <w:spacing w:after="0" w:line="225"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68401U105</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 Not applicable</w:t>
      </w:r>
    </w:p>
    <w:p>
      <w:pPr>
        <w:spacing w:after="0" w:line="256" w:lineRule="exact"/>
        <w:rPr>
          <w:sz w:val="20"/>
          <w:szCs w:val="20"/>
          <w:color w:val="auto"/>
        </w:rPr>
      </w:pPr>
    </w:p>
    <w:p>
      <w:pPr>
        <w:ind w:left="1140" w:hanging="579"/>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40" w:hanging="579"/>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40" w:hanging="579"/>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40" w:hanging="579"/>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40" w:hanging="579"/>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 w:name="page4"/>
    <w:bookmarkEnd w:id="3"/>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00" w:hanging="1125"/>
        <w:spacing w:after="0" w:line="277"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00" w:right="160" w:hanging="1125"/>
        <w:spacing w:after="0" w:line="277"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 (ii)(J), please specify the type of institution: ______</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b w:val="1"/>
          <w:bCs w:val="1"/>
          <w:color w:val="1F497D"/>
        </w:rPr>
        <w:t>876,750</w:t>
      </w:r>
      <w:r>
        <w:rPr>
          <w:rFonts w:ascii="Arial" w:cs="Arial" w:eastAsia="Arial" w:hAnsi="Arial"/>
          <w:sz w:val="18"/>
          <w:szCs w:val="18"/>
          <w:b w:val="1"/>
          <w:bCs w:val="1"/>
          <w:color w:val="auto"/>
        </w:rPr>
        <w:t xml:space="preserve"> (1)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5.76% (2)</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b w:val="1"/>
          <w:bCs w:val="1"/>
          <w:color w:val="1F497D"/>
        </w:rPr>
        <w:t>876,750</w:t>
      </w:r>
      <w:r>
        <w:rPr>
          <w:rFonts w:ascii="Arial" w:cs="Arial" w:eastAsia="Arial" w:hAnsi="Arial"/>
          <w:sz w:val="18"/>
          <w:szCs w:val="18"/>
          <w:b w:val="1"/>
          <w:bCs w:val="1"/>
          <w:color w:val="auto"/>
        </w:rPr>
        <w:t xml:space="preserve">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b w:val="1"/>
          <w:bCs w:val="1"/>
          <w:color w:val="1F497D"/>
        </w:rPr>
        <w:t>876,750</w:t>
      </w:r>
      <w:r>
        <w:rPr>
          <w:rFonts w:ascii="Arial" w:cs="Arial" w:eastAsia="Arial" w:hAnsi="Arial"/>
          <w:sz w:val="18"/>
          <w:szCs w:val="18"/>
          <w:b w:val="1"/>
          <w:bCs w:val="1"/>
          <w:color w:val="auto"/>
        </w:rPr>
        <w:t xml:space="preserve">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b w:val="1"/>
          <w:bCs w:val="1"/>
          <w:color w:val="1F497D"/>
        </w:rPr>
        <w:t>876,750</w:t>
      </w:r>
      <w:r>
        <w:rPr>
          <w:rFonts w:ascii="Arial" w:cs="Arial" w:eastAsia="Arial" w:hAnsi="Arial"/>
          <w:sz w:val="18"/>
          <w:szCs w:val="18"/>
          <w:b w:val="1"/>
          <w:bCs w:val="1"/>
          <w:color w:val="auto"/>
        </w:rPr>
        <w:t xml:space="preserve"> (1)</w:t>
      </w:r>
    </w:p>
    <w:p>
      <w:pPr>
        <w:spacing w:after="0" w:line="188" w:lineRule="exact"/>
        <w:rPr>
          <w:rFonts w:ascii="Arial" w:cs="Arial" w:eastAsia="Arial" w:hAnsi="Arial"/>
          <w:sz w:val="18"/>
          <w:szCs w:val="18"/>
          <w:b w:val="1"/>
          <w:bCs w:val="1"/>
          <w:color w:val="auto"/>
        </w:rPr>
      </w:pPr>
    </w:p>
    <w:p>
      <w:pPr>
        <w:ind w:left="1140" w:firstLine="2"/>
        <w:spacing w:after="0" w:line="270" w:lineRule="auto"/>
        <w:tabs>
          <w:tab w:leader="none" w:pos="1395" w:val="left"/>
        </w:tabs>
        <w:numPr>
          <w:ilvl w:val="2"/>
          <w:numId w:val="12"/>
        </w:numPr>
        <w:rPr>
          <w:rFonts w:ascii="Arial" w:cs="Arial" w:eastAsia="Arial" w:hAnsi="Arial"/>
          <w:sz w:val="17"/>
          <w:szCs w:val="17"/>
          <w:color w:val="auto"/>
        </w:rPr>
      </w:pPr>
      <w:r>
        <w:rPr>
          <w:rFonts w:ascii="Arial" w:cs="Arial" w:eastAsia="Arial" w:hAnsi="Arial"/>
          <w:sz w:val="17"/>
          <w:szCs w:val="17"/>
          <w:color w:val="auto"/>
        </w:rPr>
        <w:t xml:space="preserve">This total which includes </w:t>
      </w:r>
      <w:r>
        <w:rPr>
          <w:rFonts w:ascii="Arial" w:cs="Arial" w:eastAsia="Arial" w:hAnsi="Arial"/>
          <w:sz w:val="17"/>
          <w:szCs w:val="17"/>
          <w:color w:val="1F497D"/>
        </w:rPr>
        <w:t>876,750</w:t>
      </w:r>
      <w:r>
        <w:rPr>
          <w:rFonts w:ascii="Arial" w:cs="Arial" w:eastAsia="Arial" w:hAnsi="Arial"/>
          <w:sz w:val="17"/>
          <w:szCs w:val="17"/>
          <w:color w:val="auto"/>
        </w:rPr>
        <w:t xml:space="preserve"> common shares held directly by Harvey L. Poppel on behalf of Harvey L. Poppel, Lee, A. Poppel, Harvey L. Poppel IRA, Lee Poppel IRA, Dr. Clinton S. Poppel, Dr. Clinton S. Poppel 401K &amp; IRAs, Helen M Poppel, Helen M. Poppel IRAs,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3" w:lineRule="exact"/>
        <w:rPr>
          <w:rFonts w:ascii="Arial" w:cs="Arial" w:eastAsia="Arial" w:hAnsi="Arial"/>
          <w:sz w:val="17"/>
          <w:szCs w:val="17"/>
          <w:color w:val="auto"/>
        </w:rPr>
      </w:pPr>
    </w:p>
    <w:p>
      <w:pPr>
        <w:ind w:left="1400" w:hanging="258"/>
        <w:spacing w:after="0"/>
        <w:tabs>
          <w:tab w:leader="none" w:pos="140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This percentage is calculated based upon 15,223,340 voting shares of the Issuers common stock outstanding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 Not Applicable</w:t>
            </w:r>
          </w:p>
        </w:tc>
      </w:tr>
      <w:tr>
        <w:trPr>
          <w:trHeight w:val="418"/>
        </w:trPr>
        <w:tc>
          <w:tcPr>
            <w:tcW w:w="88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 Not Applicable</w:t>
            </w:r>
          </w:p>
        </w:tc>
      </w:tr>
      <w:tr>
        <w:trPr>
          <w:trHeight w:val="414"/>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 or</w:t>
            </w:r>
          </w:p>
        </w:tc>
      </w:tr>
      <w:tr>
        <w:trPr>
          <w:trHeight w:val="234"/>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control person. Not Applicable</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 Not Applicable</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 Not Applicable</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0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880" w:type="dxa"/>
            <w:vAlign w:val="bottom"/>
          </w:tcPr>
          <w:p>
            <w:pPr>
              <w:spacing w:after="0"/>
              <w:rPr>
                <w:sz w:val="24"/>
                <w:szCs w:val="24"/>
                <w:color w:val="auto"/>
              </w:rPr>
            </w:pPr>
          </w:p>
        </w:tc>
        <w:tc>
          <w:tcPr>
            <w:tcW w:w="10400" w:type="dxa"/>
            <w:vAlign w:val="bottom"/>
          </w:tcPr>
          <w:p>
            <w:pPr>
              <w:ind w:left="4260"/>
              <w:spacing w:after="0"/>
              <w:rPr>
                <w:sz w:val="20"/>
                <w:szCs w:val="20"/>
                <w:color w:val="auto"/>
              </w:rPr>
            </w:pPr>
            <w:r>
              <w:rPr>
                <w:rFonts w:ascii="Arial" w:cs="Arial" w:eastAsia="Arial" w:hAnsi="Arial"/>
                <w:sz w:val="22"/>
                <w:szCs w:val="22"/>
                <w:color w:val="auto"/>
              </w:rPr>
              <w:t>Page 5 of 6</w:t>
            </w:r>
          </w:p>
        </w:tc>
      </w:tr>
      <w:tr>
        <w:trPr>
          <w:trHeight w:val="554"/>
        </w:trPr>
        <w:tc>
          <w:tcPr>
            <w:tcW w:w="88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74"/>
        </w:trPr>
        <w:tc>
          <w:tcPr>
            <w:tcW w:w="880" w:type="dxa"/>
            <w:vAlign w:val="bottom"/>
            <w:shd w:val="clear" w:color="auto" w:fill="000000"/>
          </w:tcPr>
          <w:p>
            <w:pPr>
              <w:spacing w:after="0"/>
              <w:rPr>
                <w:sz w:val="6"/>
                <w:szCs w:val="6"/>
                <w:color w:val="auto"/>
              </w:rPr>
            </w:pPr>
          </w:p>
        </w:tc>
        <w:tc>
          <w:tcPr>
            <w:tcW w:w="104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64" w:right="2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2021-01-12T12:00:16Z</dcterms:created>
  <dcterms:modified xsi:type="dcterms:W3CDTF">2021-01-12T12:00:16Z</dcterms:modified>
</cp:coreProperties>
</file>