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[X]  Quarterly Report pursuant to Section 13 or 15(d) of the Securities Exchange Act of 1934</w:t>
      </w:r>
    </w:p>
    <w:p>
      <w:pPr>
        <w:spacing w:after="0" w:line="23" w:lineRule="exact"/>
        <w:rPr>
          <w:sz w:val="24"/>
          <w:szCs w:val="24"/>
          <w:color w:val="auto"/>
        </w:rPr>
      </w:pPr>
    </w:p>
    <w:p>
      <w:pPr>
        <w:ind w:left="5400"/>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u w:val="single" w:color="auto"/>
          <w:color w:val="auto"/>
        </w:rPr>
        <w:t>September 30, 2013</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7060" w:type="dxa"/>
            <w:vAlign w:val="bottom"/>
            <w:gridSpan w:val="5"/>
          </w:tcPr>
          <w:p>
            <w:pPr>
              <w:spacing w:after="0"/>
              <w:rPr>
                <w:sz w:val="20"/>
                <w:szCs w:val="20"/>
                <w:color w:val="auto"/>
              </w:rPr>
            </w:pPr>
            <w:r>
              <w:rPr>
                <w:rFonts w:ascii="Arial" w:cs="Arial" w:eastAsia="Arial" w:hAnsi="Arial"/>
                <w:sz w:val="18"/>
                <w:szCs w:val="18"/>
                <w:color w:val="auto"/>
              </w:rPr>
              <w:t>[ ]  Transition Report pursuant to 13 or 15(d) of the Securities Exchange Act of 1934</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2"/>
        </w:trPr>
        <w:tc>
          <w:tcPr>
            <w:tcW w:w="2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320" w:type="dxa"/>
            <w:vAlign w:val="bottom"/>
            <w:gridSpan w:val="2"/>
          </w:tcPr>
          <w:p>
            <w:pPr>
              <w:ind w:left="140"/>
              <w:spacing w:after="0"/>
              <w:rPr>
                <w:sz w:val="20"/>
                <w:szCs w:val="20"/>
                <w:color w:val="auto"/>
              </w:rPr>
            </w:pPr>
            <w:r>
              <w:rPr>
                <w:rFonts w:ascii="Arial" w:cs="Arial" w:eastAsia="Arial" w:hAnsi="Arial"/>
                <w:sz w:val="18"/>
                <w:szCs w:val="18"/>
                <w:color w:val="auto"/>
                <w:w w:val="93"/>
              </w:rPr>
              <w:t>For the transition period from</w:t>
            </w:r>
          </w:p>
        </w:tc>
        <w:tc>
          <w:tcPr>
            <w:tcW w:w="2760" w:type="dxa"/>
            <w:vAlign w:val="bottom"/>
            <w:gridSpan w:val="5"/>
          </w:tcPr>
          <w:p>
            <w:pPr>
              <w:jc w:val="right"/>
              <w:ind w:right="680"/>
              <w:spacing w:after="0"/>
              <w:rPr>
                <w:sz w:val="20"/>
                <w:szCs w:val="20"/>
                <w:color w:val="auto"/>
              </w:rPr>
            </w:pPr>
            <w:r>
              <w:rPr>
                <w:rFonts w:ascii="Arial" w:cs="Arial" w:eastAsia="Arial" w:hAnsi="Arial"/>
                <w:sz w:val="18"/>
                <w:szCs w:val="18"/>
                <w:color w:val="auto"/>
                <w:w w:val="91"/>
              </w:rPr>
              <w:t>__________ to __________</w:t>
            </w:r>
          </w:p>
        </w:tc>
      </w:tr>
      <w:tr>
        <w:trPr>
          <w:trHeight w:val="194"/>
        </w:trPr>
        <w:tc>
          <w:tcPr>
            <w:tcW w:w="2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080" w:type="dxa"/>
            <w:vAlign w:val="bottom"/>
            <w:gridSpan w:val="7"/>
          </w:tcPr>
          <w:p>
            <w:pPr>
              <w:jc w:val="right"/>
              <w:ind w:right="680"/>
              <w:spacing w:after="0" w:line="194" w:lineRule="exact"/>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000-53605</w:t>
            </w:r>
          </w:p>
        </w:tc>
      </w:tr>
      <w:tr>
        <w:trPr>
          <w:trHeight w:val="412"/>
        </w:trPr>
        <w:tc>
          <w:tcPr>
            <w:tcW w:w="2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OptimizeRx Corporation</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r>
      <w:tr>
        <w:trPr>
          <w:trHeight w:val="20"/>
        </w:trPr>
        <w:tc>
          <w:tcPr>
            <w:tcW w:w="2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237"/>
        </w:trPr>
        <w:tc>
          <w:tcPr>
            <w:tcW w:w="2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60" w:type="dxa"/>
            <w:vAlign w:val="bottom"/>
            <w:gridSpan w:val="8"/>
          </w:tcPr>
          <w:p>
            <w:pPr>
              <w:jc w:val="center"/>
              <w:ind w:right="154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92"/>
        </w:trPr>
        <w:tc>
          <w:tcPr>
            <w:tcW w:w="25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3900" w:type="dxa"/>
            <w:vAlign w:val="bottom"/>
            <w:gridSpan w:val="3"/>
          </w:tcPr>
          <w:p>
            <w:pPr>
              <w:spacing w:after="0"/>
              <w:rPr>
                <w:sz w:val="24"/>
                <w:szCs w:val="24"/>
                <w:color w:val="auto"/>
              </w:rPr>
            </w:pPr>
          </w:p>
        </w:tc>
        <w:tc>
          <w:tcPr>
            <w:tcW w:w="208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26-1265381</w:t>
            </w:r>
          </w:p>
        </w:tc>
        <w:tc>
          <w:tcPr>
            <w:tcW w:w="680" w:type="dxa"/>
            <w:vAlign w:val="bottom"/>
          </w:tcPr>
          <w:p>
            <w:pPr>
              <w:spacing w:after="0"/>
              <w:rPr>
                <w:sz w:val="24"/>
                <w:szCs w:val="24"/>
                <w:color w:val="auto"/>
              </w:rPr>
            </w:pPr>
          </w:p>
        </w:tc>
      </w:tr>
      <w:tr>
        <w:trPr>
          <w:trHeight w:val="20"/>
        </w:trPr>
        <w:tc>
          <w:tcPr>
            <w:tcW w:w="2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237"/>
        </w:trPr>
        <w:tc>
          <w:tcPr>
            <w:tcW w:w="7060" w:type="dxa"/>
            <w:vAlign w:val="bottom"/>
            <w:gridSpan w:val="5"/>
          </w:tcPr>
          <w:p>
            <w:pPr>
              <w:jc w:val="center"/>
              <w:ind w:right="132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760" w:type="dxa"/>
            <w:vAlign w:val="bottom"/>
            <w:gridSpan w:val="5"/>
          </w:tcPr>
          <w:p>
            <w:pPr>
              <w:ind w:left="280"/>
              <w:spacing w:after="0"/>
              <w:rPr>
                <w:sz w:val="20"/>
                <w:szCs w:val="20"/>
                <w:color w:val="auto"/>
              </w:rPr>
            </w:pPr>
            <w:r>
              <w:rPr>
                <w:rFonts w:ascii="Arial" w:cs="Arial" w:eastAsia="Arial" w:hAnsi="Arial"/>
                <w:sz w:val="18"/>
                <w:szCs w:val="18"/>
                <w:color w:val="auto"/>
                <w:w w:val="93"/>
              </w:rPr>
              <w:t>(IRS Employer Identification No.)</w:t>
            </w:r>
          </w:p>
        </w:tc>
      </w:tr>
    </w:tbl>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407 6th Street</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Rochester, MI, 48307</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248-651-6568</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w:t>
      </w:r>
    </w:p>
    <w:p>
      <w:pPr>
        <w:spacing w:after="0" w:line="211" w:lineRule="exact"/>
        <w:rPr>
          <w:sz w:val="24"/>
          <w:szCs w:val="24"/>
          <w:color w:val="auto"/>
        </w:rPr>
      </w:pPr>
    </w:p>
    <w:p>
      <w:pPr>
        <w:ind w:left="288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during the preceding 12 months (or for such shorter period that the registrant was required to file such reports), and (2) has been subject to such filing</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requirements for 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[X] Yes [ ] No</w:t>
      </w:r>
    </w:p>
    <w:p>
      <w:pPr>
        <w:spacing w:after="0" w:line="211"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229.405 of this chapter) during the preceding 12 months (or for such shorter period that the registrant was required to submit and post such files). Yes [X] No [ ]</w:t>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ectPr>
          <w:pgSz w:w="11900" w:h="16838" w:orient="portrait"/>
          <w:cols w:equalWidth="0" w:num="1">
            <w:col w:w="11360"/>
          </w:cols>
          <w:pgMar w:left="240" w:top="233" w:right="299" w:bottom="1440" w:gutter="0" w:footer="0" w:header="0"/>
        </w:sectPr>
      </w:pPr>
    </w:p>
    <w:p>
      <w:pPr>
        <w:spacing w:after="0" w:line="237" w:lineRule="exact"/>
        <w:rPr>
          <w:sz w:val="24"/>
          <w:szCs w:val="24"/>
          <w:color w:val="auto"/>
        </w:rPr>
      </w:pPr>
    </w:p>
    <w:p>
      <w:pPr>
        <w:ind w:right="1920"/>
        <w:spacing w:after="0" w:line="277" w:lineRule="auto"/>
        <w:rPr>
          <w:sz w:val="20"/>
          <w:szCs w:val="20"/>
          <w:color w:val="auto"/>
        </w:rPr>
      </w:pPr>
      <w:r>
        <w:rPr>
          <w:rFonts w:ascii="Arial" w:cs="Arial" w:eastAsia="Arial" w:hAnsi="Arial"/>
          <w:sz w:val="18"/>
          <w:szCs w:val="18"/>
          <w:color w:val="auto"/>
        </w:rPr>
        <w:t>[ ] Large accelerated filer Accelerated filer [X] Smaller reporting company</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 ] Non-accelerated filer</w:t>
      </w:r>
    </w:p>
    <w:p>
      <w:pPr>
        <w:spacing w:after="0" w:line="463" w:lineRule="exact"/>
        <w:rPr>
          <w:sz w:val="24"/>
          <w:szCs w:val="24"/>
          <w:color w:val="auto"/>
        </w:rPr>
      </w:pPr>
    </w:p>
    <w:p>
      <w:pPr>
        <w:sectPr>
          <w:pgSz w:w="11900" w:h="16838" w:orient="portrait"/>
          <w:cols w:equalWidth="0" w:num="2">
            <w:col w:w="5000" w:space="720"/>
            <w:col w:w="5640"/>
          </w:cols>
          <w:pgMar w:left="240" w:top="233" w:right="29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14,752,496 common shares as of September 30,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60" w:type="dxa"/>
            <w:vAlign w:val="bottom"/>
            <w:gridSpan w:val="8"/>
          </w:tcPr>
          <w:p>
            <w:pPr>
              <w:jc w:val="center"/>
              <w:ind w:right="2160"/>
              <w:spacing w:after="0"/>
              <w:rPr>
                <w:sz w:val="20"/>
                <w:szCs w:val="20"/>
                <w:color w:val="auto"/>
              </w:rPr>
            </w:pPr>
            <w:r>
              <w:rPr>
                <w:rFonts w:ascii="Arial" w:cs="Arial" w:eastAsia="Arial" w:hAnsi="Arial"/>
                <w:sz w:val="18"/>
                <w:szCs w:val="18"/>
                <w:b w:val="1"/>
                <w:bCs w:val="1"/>
                <w:color w:val="auto"/>
                <w:w w:val="98"/>
              </w:rPr>
              <w:t>TABLE OF CONTENTS</w:t>
            </w:r>
          </w:p>
        </w:tc>
        <w:tc>
          <w:tcPr>
            <w:tcW w:w="8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952"/>
        </w:trPr>
        <w:tc>
          <w:tcPr>
            <w:tcW w:w="1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center"/>
              <w:ind w:left="110"/>
              <w:spacing w:after="0"/>
              <w:rPr>
                <w:sz w:val="20"/>
                <w:szCs w:val="20"/>
                <w:color w:val="auto"/>
              </w:rPr>
            </w:pPr>
            <w:r>
              <w:rPr>
                <w:rFonts w:ascii="Arial" w:cs="Arial" w:eastAsia="Arial" w:hAnsi="Arial"/>
                <w:sz w:val="18"/>
                <w:szCs w:val="18"/>
                <w:color w:val="auto"/>
                <w:w w:val="80"/>
              </w:rPr>
              <w:t>Page</w:t>
            </w:r>
          </w:p>
        </w:tc>
        <w:tc>
          <w:tcPr>
            <w:tcW w:w="1720" w:type="dxa"/>
            <w:vAlign w:val="bottom"/>
          </w:tcPr>
          <w:p>
            <w:pPr>
              <w:spacing w:after="0"/>
              <w:rPr>
                <w:sz w:val="24"/>
                <w:szCs w:val="24"/>
                <w:color w:val="auto"/>
              </w:rPr>
            </w:pPr>
          </w:p>
        </w:tc>
      </w:tr>
      <w:tr>
        <w:trPr>
          <w:trHeight w:val="392"/>
        </w:trPr>
        <w:tc>
          <w:tcPr>
            <w:tcW w:w="1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40" w:type="dxa"/>
            <w:vAlign w:val="bottom"/>
            <w:gridSpan w:val="14"/>
          </w:tcPr>
          <w:p>
            <w:pPr>
              <w:jc w:val="center"/>
              <w:ind w:right="1280"/>
              <w:spacing w:after="0"/>
              <w:rPr>
                <w:sz w:val="20"/>
                <w:szCs w:val="20"/>
                <w:color w:val="auto"/>
              </w:rPr>
            </w:pPr>
            <w:r>
              <w:rPr>
                <w:rFonts w:ascii="Arial" w:cs="Arial" w:eastAsia="Arial" w:hAnsi="Arial"/>
                <w:sz w:val="18"/>
                <w:szCs w:val="18"/>
                <w:b w:val="1"/>
                <w:bCs w:val="1"/>
                <w:color w:val="auto"/>
              </w:rPr>
              <w:t>PART I – FINANCIAL INFORMATION</w:t>
            </w:r>
          </w:p>
        </w:tc>
        <w:tc>
          <w:tcPr>
            <w:tcW w:w="8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
        </w:trPr>
        <w:tc>
          <w:tcPr>
            <w:tcW w:w="1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76"/>
        </w:trPr>
        <w:tc>
          <w:tcPr>
            <w:tcW w:w="1720" w:type="dxa"/>
            <w:vAlign w:val="bottom"/>
          </w:tcPr>
          <w:p>
            <w:pPr>
              <w:spacing w:after="0"/>
              <w:rPr>
                <w:sz w:val="15"/>
                <w:szCs w:val="15"/>
                <w:color w:val="auto"/>
              </w:rPr>
            </w:pPr>
          </w:p>
        </w:tc>
        <w:tc>
          <w:tcPr>
            <w:tcW w:w="1220" w:type="dxa"/>
            <w:vAlign w:val="bottom"/>
            <w:shd w:val="clear" w:color="auto" w:fill="CCEECC"/>
          </w:tcPr>
          <w:p>
            <w:pPr>
              <w:ind w:left="100"/>
              <w:spacing w:after="0" w:line="176" w:lineRule="exact"/>
              <w:rPr>
                <w:sz w:val="20"/>
                <w:szCs w:val="20"/>
                <w:color w:val="auto"/>
              </w:rPr>
            </w:pPr>
            <w:r>
              <w:rPr>
                <w:rFonts w:ascii="Arial" w:cs="Arial" w:eastAsia="Arial" w:hAnsi="Arial"/>
                <w:sz w:val="18"/>
                <w:szCs w:val="18"/>
                <w:color w:val="auto"/>
              </w:rPr>
              <w:t>Item 1:</w:t>
            </w:r>
          </w:p>
        </w:tc>
        <w:tc>
          <w:tcPr>
            <w:tcW w:w="5940" w:type="dxa"/>
            <w:vAlign w:val="bottom"/>
            <w:gridSpan w:val="17"/>
            <w:shd w:val="clear" w:color="auto" w:fill="CCEECC"/>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20" w:type="dxa"/>
            <w:vAlign w:val="bottom"/>
            <w:shd w:val="clear" w:color="auto" w:fill="CCEECC"/>
          </w:tcPr>
          <w:p>
            <w:pPr>
              <w:jc w:val="center"/>
              <w:ind w:left="110"/>
              <w:spacing w:after="0" w:line="176" w:lineRule="exact"/>
              <w:rPr>
                <w:sz w:val="20"/>
                <w:szCs w:val="20"/>
                <w:color w:val="auto"/>
              </w:rPr>
            </w:pPr>
            <w:r>
              <w:rPr>
                <w:rFonts w:ascii="Arial" w:cs="Arial" w:eastAsia="Arial" w:hAnsi="Arial"/>
                <w:sz w:val="18"/>
                <w:szCs w:val="18"/>
                <w:color w:val="auto"/>
                <w:w w:val="99"/>
              </w:rPr>
              <w:t>3</w:t>
            </w:r>
          </w:p>
        </w:tc>
        <w:tc>
          <w:tcPr>
            <w:tcW w:w="1720" w:type="dxa"/>
            <w:vAlign w:val="bottom"/>
          </w:tcPr>
          <w:p>
            <w:pPr>
              <w:spacing w:after="0"/>
              <w:rPr>
                <w:sz w:val="15"/>
                <w:szCs w:val="15"/>
                <w:color w:val="auto"/>
              </w:rPr>
            </w:pPr>
          </w:p>
        </w:tc>
      </w:tr>
      <w:tr>
        <w:trPr>
          <w:trHeight w:val="21"/>
        </w:trPr>
        <w:tc>
          <w:tcPr>
            <w:tcW w:w="1720" w:type="dxa"/>
            <w:vAlign w:val="bottom"/>
          </w:tcPr>
          <w:p>
            <w:pPr>
              <w:spacing w:after="0" w:line="20" w:lineRule="exact"/>
              <w:rPr>
                <w:sz w:val="1"/>
                <w:szCs w:val="1"/>
                <w:color w:val="auto"/>
              </w:rPr>
            </w:pPr>
          </w:p>
        </w:tc>
        <w:tc>
          <w:tcPr>
            <w:tcW w:w="1220" w:type="dxa"/>
            <w:vAlign w:val="bottom"/>
            <w:tcBorders>
              <w:top w:val="single" w:sz="8" w:color="CCEECC"/>
            </w:tcBorders>
            <w:shd w:val="clear" w:color="auto" w:fill="CCEECC"/>
          </w:tcPr>
          <w:p>
            <w:pPr>
              <w:spacing w:after="0" w:line="20" w:lineRule="exact"/>
              <w:rPr>
                <w:sz w:val="1"/>
                <w:szCs w:val="1"/>
                <w:color w:val="auto"/>
              </w:rPr>
            </w:pPr>
          </w:p>
        </w:tc>
        <w:tc>
          <w:tcPr>
            <w:tcW w:w="600" w:type="dxa"/>
            <w:vAlign w:val="bottom"/>
            <w:tcBorders>
              <w:top w:val="single" w:sz="8" w:color="0000EE"/>
            </w:tcBorders>
            <w:shd w:val="clear" w:color="auto" w:fill="CCEECC"/>
          </w:tcPr>
          <w:p>
            <w:pPr>
              <w:spacing w:after="0" w:line="20" w:lineRule="exact"/>
              <w:rPr>
                <w:sz w:val="1"/>
                <w:szCs w:val="1"/>
                <w:color w:val="auto"/>
              </w:rPr>
            </w:pPr>
          </w:p>
        </w:tc>
        <w:tc>
          <w:tcPr>
            <w:tcW w:w="200" w:type="dxa"/>
            <w:vAlign w:val="bottom"/>
            <w:tcBorders>
              <w:top w:val="single" w:sz="8" w:color="0000EE"/>
            </w:tcBorders>
            <w:shd w:val="clear" w:color="auto" w:fill="CCEECC"/>
          </w:tcPr>
          <w:p>
            <w:pPr>
              <w:spacing w:after="0" w:line="20" w:lineRule="exact"/>
              <w:rPr>
                <w:sz w:val="1"/>
                <w:szCs w:val="1"/>
                <w:color w:val="auto"/>
              </w:rPr>
            </w:pPr>
          </w:p>
        </w:tc>
        <w:tc>
          <w:tcPr>
            <w:tcW w:w="100" w:type="dxa"/>
            <w:vAlign w:val="bottom"/>
            <w:tcBorders>
              <w:top w:val="single" w:sz="8" w:color="0000EE"/>
            </w:tcBorders>
            <w:shd w:val="clear" w:color="auto" w:fill="CCEECC"/>
          </w:tcPr>
          <w:p>
            <w:pPr>
              <w:spacing w:after="0" w:line="20" w:lineRule="exact"/>
              <w:rPr>
                <w:sz w:val="1"/>
                <w:szCs w:val="1"/>
                <w:color w:val="auto"/>
              </w:rPr>
            </w:pPr>
          </w:p>
        </w:tc>
        <w:tc>
          <w:tcPr>
            <w:tcW w:w="300" w:type="dxa"/>
            <w:vAlign w:val="bottom"/>
            <w:tcBorders>
              <w:top w:val="single" w:sz="8" w:color="0000EE"/>
            </w:tcBorders>
            <w:shd w:val="clear" w:color="auto" w:fill="CCEECC"/>
          </w:tcPr>
          <w:p>
            <w:pPr>
              <w:spacing w:after="0" w:line="20" w:lineRule="exact"/>
              <w:rPr>
                <w:sz w:val="1"/>
                <w:szCs w:val="1"/>
                <w:color w:val="auto"/>
              </w:rPr>
            </w:pPr>
          </w:p>
        </w:tc>
        <w:tc>
          <w:tcPr>
            <w:tcW w:w="120" w:type="dxa"/>
            <w:vAlign w:val="bottom"/>
            <w:tcBorders>
              <w:top w:val="single" w:sz="8" w:color="0000EE"/>
            </w:tcBorders>
            <w:shd w:val="clear" w:color="auto" w:fill="CCEECC"/>
          </w:tcPr>
          <w:p>
            <w:pPr>
              <w:spacing w:after="0" w:line="20" w:lineRule="exact"/>
              <w:rPr>
                <w:sz w:val="1"/>
                <w:szCs w:val="1"/>
                <w:color w:val="auto"/>
              </w:rPr>
            </w:pPr>
          </w:p>
        </w:tc>
        <w:tc>
          <w:tcPr>
            <w:tcW w:w="20" w:type="dxa"/>
            <w:vAlign w:val="bottom"/>
            <w:tcBorders>
              <w:top w:val="single" w:sz="8" w:color="0000EE"/>
            </w:tcBorders>
            <w:shd w:val="clear" w:color="auto" w:fill="CCEECC"/>
          </w:tcPr>
          <w:p>
            <w:pPr>
              <w:spacing w:after="0" w:line="20" w:lineRule="exact"/>
              <w:rPr>
                <w:sz w:val="1"/>
                <w:szCs w:val="1"/>
                <w:color w:val="auto"/>
              </w:rPr>
            </w:pPr>
          </w:p>
        </w:tc>
        <w:tc>
          <w:tcPr>
            <w:tcW w:w="160" w:type="dxa"/>
            <w:vAlign w:val="bottom"/>
            <w:tcBorders>
              <w:top w:val="single" w:sz="8" w:color="0000EE"/>
            </w:tcBorders>
            <w:shd w:val="clear" w:color="auto" w:fill="CCEECC"/>
          </w:tcPr>
          <w:p>
            <w:pPr>
              <w:spacing w:after="0" w:line="20" w:lineRule="exact"/>
              <w:rPr>
                <w:sz w:val="1"/>
                <w:szCs w:val="1"/>
                <w:color w:val="auto"/>
              </w:rPr>
            </w:pPr>
          </w:p>
        </w:tc>
        <w:tc>
          <w:tcPr>
            <w:tcW w:w="200" w:type="dxa"/>
            <w:vAlign w:val="bottom"/>
            <w:tcBorders>
              <w:top w:val="single" w:sz="8" w:color="CCEECC"/>
            </w:tcBorders>
            <w:shd w:val="clear" w:color="auto" w:fill="CCEECC"/>
          </w:tcPr>
          <w:p>
            <w:pPr>
              <w:spacing w:after="0" w:line="20" w:lineRule="exact"/>
              <w:rPr>
                <w:sz w:val="1"/>
                <w:szCs w:val="1"/>
                <w:color w:val="auto"/>
              </w:rPr>
            </w:pPr>
          </w:p>
        </w:tc>
        <w:tc>
          <w:tcPr>
            <w:tcW w:w="80" w:type="dxa"/>
            <w:vAlign w:val="bottom"/>
            <w:tcBorders>
              <w:top w:val="single" w:sz="8" w:color="CCEECC"/>
            </w:tcBorders>
            <w:shd w:val="clear" w:color="auto" w:fill="CCEECC"/>
          </w:tcPr>
          <w:p>
            <w:pPr>
              <w:spacing w:after="0" w:line="20" w:lineRule="exact"/>
              <w:rPr>
                <w:sz w:val="1"/>
                <w:szCs w:val="1"/>
                <w:color w:val="auto"/>
              </w:rPr>
            </w:pPr>
          </w:p>
        </w:tc>
        <w:tc>
          <w:tcPr>
            <w:tcW w:w="40" w:type="dxa"/>
            <w:vAlign w:val="bottom"/>
            <w:tcBorders>
              <w:top w:val="single" w:sz="8" w:color="CCEECC"/>
            </w:tcBorders>
            <w:shd w:val="clear" w:color="auto" w:fill="CCEECC"/>
          </w:tcPr>
          <w:p>
            <w:pPr>
              <w:spacing w:after="0" w:line="20" w:lineRule="exact"/>
              <w:rPr>
                <w:sz w:val="1"/>
                <w:szCs w:val="1"/>
                <w:color w:val="auto"/>
              </w:rPr>
            </w:pPr>
          </w:p>
        </w:tc>
        <w:tc>
          <w:tcPr>
            <w:tcW w:w="500" w:type="dxa"/>
            <w:vAlign w:val="bottom"/>
            <w:tcBorders>
              <w:top w:val="single" w:sz="8" w:color="CCEECC"/>
            </w:tcBorders>
            <w:shd w:val="clear" w:color="auto" w:fill="CCEECC"/>
          </w:tcPr>
          <w:p>
            <w:pPr>
              <w:spacing w:after="0" w:line="20" w:lineRule="exact"/>
              <w:rPr>
                <w:sz w:val="1"/>
                <w:szCs w:val="1"/>
                <w:color w:val="auto"/>
              </w:rPr>
            </w:pPr>
          </w:p>
        </w:tc>
        <w:tc>
          <w:tcPr>
            <w:tcW w:w="1420" w:type="dxa"/>
            <w:vAlign w:val="bottom"/>
            <w:tcBorders>
              <w:top w:val="single" w:sz="8" w:color="CCEECC"/>
            </w:tcBorders>
            <w:shd w:val="clear" w:color="auto" w:fill="CCEECC"/>
          </w:tcPr>
          <w:p>
            <w:pPr>
              <w:spacing w:after="0" w:line="20" w:lineRule="exact"/>
              <w:rPr>
                <w:sz w:val="1"/>
                <w:szCs w:val="1"/>
                <w:color w:val="auto"/>
              </w:rPr>
            </w:pPr>
          </w:p>
        </w:tc>
        <w:tc>
          <w:tcPr>
            <w:tcW w:w="460" w:type="dxa"/>
            <w:vAlign w:val="bottom"/>
            <w:tcBorders>
              <w:top w:val="single" w:sz="8" w:color="CCEECC"/>
            </w:tcBorders>
            <w:shd w:val="clear" w:color="auto" w:fill="CCEECC"/>
          </w:tcPr>
          <w:p>
            <w:pPr>
              <w:spacing w:after="0" w:line="20" w:lineRule="exact"/>
              <w:rPr>
                <w:sz w:val="1"/>
                <w:szCs w:val="1"/>
                <w:color w:val="auto"/>
              </w:rPr>
            </w:pPr>
          </w:p>
        </w:tc>
        <w:tc>
          <w:tcPr>
            <w:tcW w:w="14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1260" w:type="dxa"/>
            <w:vAlign w:val="bottom"/>
            <w:tcBorders>
              <w:top w:val="single" w:sz="8" w:color="CCEECC"/>
            </w:tcBorders>
            <w:shd w:val="clear" w:color="auto" w:fill="CCEECC"/>
          </w:tcPr>
          <w:p>
            <w:pPr>
              <w:spacing w:after="0" w:line="20" w:lineRule="exact"/>
              <w:rPr>
                <w:sz w:val="1"/>
                <w:szCs w:val="1"/>
                <w:color w:val="auto"/>
              </w:rPr>
            </w:pPr>
          </w:p>
        </w:tc>
        <w:tc>
          <w:tcPr>
            <w:tcW w:w="320" w:type="dxa"/>
            <w:vAlign w:val="bottom"/>
            <w:tcBorders>
              <w:top w:val="single" w:sz="8" w:color="CCEECC"/>
            </w:tcBorders>
            <w:shd w:val="clear" w:color="auto" w:fill="CCEECC"/>
          </w:tcPr>
          <w:p>
            <w:pPr>
              <w:spacing w:after="0" w:line="20" w:lineRule="exact"/>
              <w:rPr>
                <w:sz w:val="1"/>
                <w:szCs w:val="1"/>
                <w:color w:val="auto"/>
              </w:rPr>
            </w:pPr>
          </w:p>
        </w:tc>
        <w:tc>
          <w:tcPr>
            <w:tcW w:w="820" w:type="dxa"/>
            <w:vAlign w:val="bottom"/>
            <w:tcBorders>
              <w:top w:val="single" w:sz="8" w:color="CCEECC"/>
            </w:tcBorders>
            <w:shd w:val="clear" w:color="auto" w:fill="CCEECC"/>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76"/>
        </w:trPr>
        <w:tc>
          <w:tcPr>
            <w:tcW w:w="1720" w:type="dxa"/>
            <w:vAlign w:val="bottom"/>
          </w:tcPr>
          <w:p>
            <w:pPr>
              <w:spacing w:after="0"/>
              <w:rPr>
                <w:sz w:val="15"/>
                <w:szCs w:val="15"/>
                <w:color w:val="auto"/>
              </w:rPr>
            </w:pPr>
          </w:p>
        </w:tc>
        <w:tc>
          <w:tcPr>
            <w:tcW w:w="1220" w:type="dxa"/>
            <w:vAlign w:val="bottom"/>
          </w:tcPr>
          <w:p>
            <w:pPr>
              <w:ind w:left="100"/>
              <w:spacing w:after="0" w:line="176" w:lineRule="exact"/>
              <w:rPr>
                <w:sz w:val="20"/>
                <w:szCs w:val="20"/>
                <w:color w:val="auto"/>
              </w:rPr>
            </w:pPr>
            <w:r>
              <w:rPr>
                <w:rFonts w:ascii="Arial" w:cs="Arial" w:eastAsia="Arial" w:hAnsi="Arial"/>
                <w:sz w:val="18"/>
                <w:szCs w:val="18"/>
                <w:color w:val="auto"/>
              </w:rPr>
              <w:t>Item 2:</w:t>
            </w:r>
          </w:p>
        </w:tc>
        <w:tc>
          <w:tcPr>
            <w:tcW w:w="5940" w:type="dxa"/>
            <w:vAlign w:val="bottom"/>
            <w:gridSpan w:val="17"/>
          </w:tcPr>
          <w:p>
            <w:pPr>
              <w:spacing w:after="0" w:line="176" w:lineRule="exact"/>
              <w:rPr>
                <w:rFonts w:ascii="Arial" w:cs="Arial" w:eastAsia="Arial" w:hAnsi="Arial"/>
                <w:sz w:val="18"/>
                <w:szCs w:val="18"/>
                <w:color w:val="0000EE"/>
                <w:w w:val="96"/>
              </w:rPr>
            </w:pPr>
            <w:hyperlink w:anchor="page19">
              <w:r>
                <w:rPr>
                  <w:rFonts w:ascii="Arial" w:cs="Arial" w:eastAsia="Arial" w:hAnsi="Arial"/>
                  <w:sz w:val="18"/>
                  <w:szCs w:val="18"/>
                  <w:color w:val="0000EE"/>
                  <w:w w:val="96"/>
                </w:rPr>
                <w:t>Management’s Discussion and Analysis of Financial Condition and Results of</w:t>
              </w:r>
            </w:hyperlink>
          </w:p>
        </w:tc>
        <w:tc>
          <w:tcPr>
            <w:tcW w:w="820" w:type="dxa"/>
            <w:vAlign w:val="bottom"/>
          </w:tcPr>
          <w:p>
            <w:pPr>
              <w:jc w:val="center"/>
              <w:ind w:left="110"/>
              <w:spacing w:after="0" w:line="176" w:lineRule="exact"/>
              <w:rPr>
                <w:sz w:val="20"/>
                <w:szCs w:val="20"/>
                <w:color w:val="auto"/>
              </w:rPr>
            </w:pPr>
            <w:r>
              <w:rPr>
                <w:rFonts w:ascii="Arial" w:cs="Arial" w:eastAsia="Arial" w:hAnsi="Arial"/>
                <w:sz w:val="18"/>
                <w:szCs w:val="18"/>
                <w:color w:val="auto"/>
                <w:w w:val="99"/>
              </w:rPr>
              <w:t>4</w:t>
            </w:r>
          </w:p>
        </w:tc>
        <w:tc>
          <w:tcPr>
            <w:tcW w:w="1720" w:type="dxa"/>
            <w:vAlign w:val="bottom"/>
          </w:tcPr>
          <w:p>
            <w:pPr>
              <w:spacing w:after="0"/>
              <w:rPr>
                <w:sz w:val="15"/>
                <w:szCs w:val="15"/>
                <w:color w:val="auto"/>
              </w:rPr>
            </w:pPr>
          </w:p>
        </w:tc>
      </w:tr>
      <w:tr>
        <w:trPr>
          <w:trHeight w:val="196"/>
        </w:trPr>
        <w:tc>
          <w:tcPr>
            <w:tcW w:w="1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6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Operations</w:t>
              </w:r>
            </w:hyperlink>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
        </w:trPr>
        <w:tc>
          <w:tcPr>
            <w:tcW w:w="1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1220" w:type="dxa"/>
            <w:vAlign w:val="bottom"/>
            <w:shd w:val="clear" w:color="auto" w:fill="CCEECC"/>
          </w:tcPr>
          <w:p>
            <w:pPr>
              <w:ind w:left="100"/>
              <w:spacing w:after="0" w:line="176" w:lineRule="exact"/>
              <w:rPr>
                <w:sz w:val="20"/>
                <w:szCs w:val="20"/>
                <w:color w:val="auto"/>
              </w:rPr>
            </w:pPr>
            <w:r>
              <w:rPr>
                <w:rFonts w:ascii="Arial" w:cs="Arial" w:eastAsia="Arial" w:hAnsi="Arial"/>
                <w:sz w:val="18"/>
                <w:szCs w:val="18"/>
                <w:color w:val="auto"/>
              </w:rPr>
              <w:t>Item 3:</w:t>
            </w:r>
          </w:p>
        </w:tc>
        <w:tc>
          <w:tcPr>
            <w:tcW w:w="5940" w:type="dxa"/>
            <w:vAlign w:val="bottom"/>
            <w:gridSpan w:val="17"/>
            <w:shd w:val="clear" w:color="auto" w:fill="CCEECC"/>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Quantitative and Qualitative Disclosures About Market Risk</w:t>
              </w:r>
            </w:hyperlink>
          </w:p>
        </w:tc>
        <w:tc>
          <w:tcPr>
            <w:tcW w:w="820" w:type="dxa"/>
            <w:vAlign w:val="bottom"/>
            <w:shd w:val="clear" w:color="auto" w:fill="CCEECC"/>
          </w:tcPr>
          <w:p>
            <w:pPr>
              <w:jc w:val="center"/>
              <w:ind w:left="110"/>
              <w:spacing w:after="0" w:line="176" w:lineRule="exact"/>
              <w:rPr>
                <w:sz w:val="20"/>
                <w:szCs w:val="20"/>
                <w:color w:val="auto"/>
              </w:rPr>
            </w:pPr>
            <w:r>
              <w:rPr>
                <w:rFonts w:ascii="Arial" w:cs="Arial" w:eastAsia="Arial" w:hAnsi="Arial"/>
                <w:sz w:val="18"/>
                <w:szCs w:val="18"/>
                <w:color w:val="auto"/>
                <w:w w:val="99"/>
              </w:rPr>
              <w:t>6</w:t>
            </w:r>
          </w:p>
        </w:tc>
        <w:tc>
          <w:tcPr>
            <w:tcW w:w="1720" w:type="dxa"/>
            <w:vAlign w:val="bottom"/>
          </w:tcPr>
          <w:p>
            <w:pPr>
              <w:spacing w:after="0"/>
              <w:rPr>
                <w:sz w:val="17"/>
                <w:szCs w:val="17"/>
                <w:color w:val="auto"/>
              </w:rPr>
            </w:pPr>
          </w:p>
        </w:tc>
      </w:tr>
      <w:tr>
        <w:trPr>
          <w:trHeight w:val="176"/>
        </w:trPr>
        <w:tc>
          <w:tcPr>
            <w:tcW w:w="1720" w:type="dxa"/>
            <w:vAlign w:val="bottom"/>
          </w:tcPr>
          <w:p>
            <w:pPr>
              <w:spacing w:after="0"/>
              <w:rPr>
                <w:sz w:val="15"/>
                <w:szCs w:val="15"/>
                <w:color w:val="auto"/>
              </w:rPr>
            </w:pPr>
          </w:p>
        </w:tc>
        <w:tc>
          <w:tcPr>
            <w:tcW w:w="1220" w:type="dxa"/>
            <w:vAlign w:val="bottom"/>
            <w:tcBorders>
              <w:top w:val="single" w:sz="8" w:color="CCEECC"/>
            </w:tcBorders>
          </w:tcPr>
          <w:p>
            <w:pPr>
              <w:ind w:left="100"/>
              <w:spacing w:after="0" w:line="17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9"/>
          </w:tcPr>
          <w:p>
            <w:pPr>
              <w:spacing w:after="0" w:line="176" w:lineRule="exact"/>
              <w:rPr>
                <w:rFonts w:ascii="Arial" w:cs="Arial" w:eastAsia="Arial" w:hAnsi="Arial"/>
                <w:sz w:val="18"/>
                <w:szCs w:val="18"/>
                <w:color w:val="0000EE"/>
                <w:w w:val="88"/>
              </w:rPr>
            </w:pPr>
            <w:hyperlink w:anchor="page22">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6"/>
          </w:tcPr>
          <w:p>
            <w:pPr>
              <w:spacing w:after="0"/>
              <w:rPr>
                <w:sz w:val="15"/>
                <w:szCs w:val="15"/>
                <w:color w:val="auto"/>
              </w:rPr>
            </w:pPr>
          </w:p>
        </w:tc>
        <w:tc>
          <w:tcPr>
            <w:tcW w:w="1580" w:type="dxa"/>
            <w:vAlign w:val="bottom"/>
            <w:tcBorders>
              <w:top w:val="single" w:sz="8" w:color="CCEECC"/>
            </w:tcBorders>
            <w:gridSpan w:val="2"/>
          </w:tcPr>
          <w:p>
            <w:pPr>
              <w:spacing w:after="0"/>
              <w:rPr>
                <w:sz w:val="15"/>
                <w:szCs w:val="15"/>
                <w:color w:val="auto"/>
              </w:rPr>
            </w:pPr>
          </w:p>
        </w:tc>
        <w:tc>
          <w:tcPr>
            <w:tcW w:w="820" w:type="dxa"/>
            <w:vAlign w:val="bottom"/>
            <w:tcBorders>
              <w:top w:val="single" w:sz="8" w:color="CCEECC"/>
            </w:tcBorders>
          </w:tcPr>
          <w:p>
            <w:pPr>
              <w:jc w:val="center"/>
              <w:ind w:left="110"/>
              <w:spacing w:after="0" w:line="176" w:lineRule="exact"/>
              <w:rPr>
                <w:sz w:val="20"/>
                <w:szCs w:val="20"/>
                <w:color w:val="auto"/>
              </w:rPr>
            </w:pPr>
            <w:r>
              <w:rPr>
                <w:rFonts w:ascii="Arial" w:cs="Arial" w:eastAsia="Arial" w:hAnsi="Arial"/>
                <w:sz w:val="18"/>
                <w:szCs w:val="18"/>
                <w:color w:val="auto"/>
                <w:w w:val="99"/>
              </w:rPr>
              <w:t>7</w:t>
            </w:r>
          </w:p>
        </w:tc>
        <w:tc>
          <w:tcPr>
            <w:tcW w:w="1720" w:type="dxa"/>
            <w:vAlign w:val="bottom"/>
          </w:tcPr>
          <w:p>
            <w:pPr>
              <w:spacing w:after="0"/>
              <w:rPr>
                <w:sz w:val="15"/>
                <w:szCs w:val="15"/>
                <w:color w:val="auto"/>
              </w:rPr>
            </w:pPr>
          </w:p>
        </w:tc>
      </w:tr>
      <w:tr>
        <w:trPr>
          <w:trHeight w:val="412"/>
        </w:trPr>
        <w:tc>
          <w:tcPr>
            <w:tcW w:w="1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11"/>
          </w:tcPr>
          <w:p>
            <w:pPr>
              <w:jc w:val="center"/>
              <w:ind w:right="1740"/>
              <w:spacing w:after="0"/>
              <w:rPr>
                <w:sz w:val="20"/>
                <w:szCs w:val="20"/>
                <w:color w:val="auto"/>
              </w:rPr>
            </w:pPr>
            <w:r>
              <w:rPr>
                <w:rFonts w:ascii="Arial" w:cs="Arial" w:eastAsia="Arial" w:hAnsi="Arial"/>
                <w:sz w:val="18"/>
                <w:szCs w:val="18"/>
                <w:b w:val="1"/>
                <w:bCs w:val="1"/>
                <w:color w:val="auto"/>
              </w:rPr>
              <w:t>PART II – OTHER INFORMATION</w:t>
            </w:r>
          </w:p>
        </w:tc>
        <w:tc>
          <w:tcPr>
            <w:tcW w:w="8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37"/>
        </w:trPr>
        <w:tc>
          <w:tcPr>
            <w:tcW w:w="1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196"/>
        </w:trPr>
        <w:tc>
          <w:tcPr>
            <w:tcW w:w="1720" w:type="dxa"/>
            <w:vAlign w:val="bottom"/>
          </w:tcPr>
          <w:p>
            <w:pPr>
              <w:spacing w:after="0"/>
              <w:rPr>
                <w:sz w:val="17"/>
                <w:szCs w:val="17"/>
                <w:color w:val="auto"/>
              </w:rPr>
            </w:pPr>
          </w:p>
        </w:tc>
        <w:tc>
          <w:tcPr>
            <w:tcW w:w="1220" w:type="dxa"/>
            <w:vAlign w:val="bottom"/>
            <w:tcBorders>
              <w:bottom w:val="single" w:sz="8" w:color="CCEECC"/>
            </w:tcBorders>
            <w:shd w:val="clear" w:color="auto" w:fill="CCEECC"/>
          </w:tcPr>
          <w:p>
            <w:pPr>
              <w:ind w:left="100"/>
              <w:spacing w:after="0" w:line="176" w:lineRule="exact"/>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6"/>
            <w:shd w:val="clear" w:color="auto" w:fill="CCEECC"/>
          </w:tcPr>
          <w:p>
            <w:pPr>
              <w:spacing w:after="0" w:line="17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Legal Proceedings</w:t>
              </w:r>
            </w:hyperlink>
          </w:p>
        </w:tc>
        <w:tc>
          <w:tcPr>
            <w:tcW w:w="4600" w:type="dxa"/>
            <w:vAlign w:val="bottom"/>
            <w:tcBorders>
              <w:bottom w:val="single" w:sz="8" w:color="CCEECC"/>
            </w:tcBorders>
            <w:gridSpan w:val="11"/>
            <w:shd w:val="clear" w:color="auto" w:fill="CCEECC"/>
          </w:tcPr>
          <w:p>
            <w:pPr>
              <w:spacing w:after="0"/>
              <w:rPr>
                <w:sz w:val="17"/>
                <w:szCs w:val="17"/>
                <w:color w:val="auto"/>
              </w:rPr>
            </w:pPr>
          </w:p>
        </w:tc>
        <w:tc>
          <w:tcPr>
            <w:tcW w:w="820" w:type="dxa"/>
            <w:vAlign w:val="bottom"/>
            <w:tcBorders>
              <w:bottom w:val="single" w:sz="8" w:color="CCEECC"/>
            </w:tcBorders>
            <w:shd w:val="clear" w:color="auto" w:fill="CCEECC"/>
          </w:tcPr>
          <w:p>
            <w:pPr>
              <w:jc w:val="center"/>
              <w:ind w:left="110"/>
              <w:spacing w:after="0" w:line="176" w:lineRule="exact"/>
              <w:rPr>
                <w:sz w:val="20"/>
                <w:szCs w:val="20"/>
                <w:color w:val="auto"/>
              </w:rPr>
            </w:pPr>
            <w:r>
              <w:rPr>
                <w:rFonts w:ascii="Arial" w:cs="Arial" w:eastAsia="Arial" w:hAnsi="Arial"/>
                <w:sz w:val="18"/>
                <w:szCs w:val="18"/>
                <w:color w:val="auto"/>
                <w:w w:val="99"/>
              </w:rPr>
              <w:t>8</w:t>
            </w:r>
          </w:p>
        </w:tc>
        <w:tc>
          <w:tcPr>
            <w:tcW w:w="1720" w:type="dxa"/>
            <w:vAlign w:val="bottom"/>
          </w:tcPr>
          <w:p>
            <w:pPr>
              <w:spacing w:after="0"/>
              <w:rPr>
                <w:sz w:val="17"/>
                <w:szCs w:val="17"/>
                <w:color w:val="auto"/>
              </w:rPr>
            </w:pPr>
          </w:p>
        </w:tc>
      </w:tr>
      <w:tr>
        <w:trPr>
          <w:trHeight w:val="176"/>
        </w:trPr>
        <w:tc>
          <w:tcPr>
            <w:tcW w:w="1720" w:type="dxa"/>
            <w:vAlign w:val="bottom"/>
          </w:tcPr>
          <w:p>
            <w:pPr>
              <w:spacing w:after="0"/>
              <w:rPr>
                <w:sz w:val="15"/>
                <w:szCs w:val="15"/>
                <w:color w:val="auto"/>
              </w:rPr>
            </w:pPr>
          </w:p>
        </w:tc>
        <w:tc>
          <w:tcPr>
            <w:tcW w:w="1220" w:type="dxa"/>
            <w:vAlign w:val="bottom"/>
          </w:tcPr>
          <w:p>
            <w:pPr>
              <w:ind w:left="100"/>
              <w:spacing w:after="0" w:line="176" w:lineRule="exact"/>
              <w:rPr>
                <w:sz w:val="20"/>
                <w:szCs w:val="20"/>
                <w:color w:val="auto"/>
              </w:rPr>
            </w:pPr>
            <w:r>
              <w:rPr>
                <w:rFonts w:ascii="Arial" w:cs="Arial" w:eastAsia="Arial" w:hAnsi="Arial"/>
                <w:sz w:val="18"/>
                <w:szCs w:val="18"/>
                <w:color w:val="auto"/>
              </w:rPr>
              <w:t>Item 1A:</w:t>
            </w:r>
          </w:p>
        </w:tc>
        <w:tc>
          <w:tcPr>
            <w:tcW w:w="5940" w:type="dxa"/>
            <w:vAlign w:val="bottom"/>
            <w:gridSpan w:val="17"/>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820" w:type="dxa"/>
            <w:vAlign w:val="bottom"/>
          </w:tcPr>
          <w:p>
            <w:pPr>
              <w:jc w:val="center"/>
              <w:ind w:left="110"/>
              <w:spacing w:after="0" w:line="176" w:lineRule="exact"/>
              <w:rPr>
                <w:sz w:val="20"/>
                <w:szCs w:val="20"/>
                <w:color w:val="auto"/>
              </w:rPr>
            </w:pPr>
            <w:r>
              <w:rPr>
                <w:rFonts w:ascii="Arial" w:cs="Arial" w:eastAsia="Arial" w:hAnsi="Arial"/>
                <w:sz w:val="18"/>
                <w:szCs w:val="18"/>
                <w:color w:val="auto"/>
                <w:w w:val="99"/>
              </w:rPr>
              <w:t>8</w:t>
            </w:r>
          </w:p>
        </w:tc>
        <w:tc>
          <w:tcPr>
            <w:tcW w:w="1720" w:type="dxa"/>
            <w:vAlign w:val="bottom"/>
          </w:tcPr>
          <w:p>
            <w:pPr>
              <w:spacing w:after="0"/>
              <w:rPr>
                <w:sz w:val="15"/>
                <w:szCs w:val="15"/>
                <w:color w:val="auto"/>
              </w:rPr>
            </w:pPr>
          </w:p>
        </w:tc>
      </w:tr>
      <w:tr>
        <w:trPr>
          <w:trHeight w:val="21"/>
        </w:trPr>
        <w:tc>
          <w:tcPr>
            <w:tcW w:w="1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1220" w:type="dxa"/>
            <w:vAlign w:val="bottom"/>
            <w:shd w:val="clear" w:color="auto" w:fill="CCEECC"/>
          </w:tcPr>
          <w:p>
            <w:pPr>
              <w:ind w:left="100"/>
              <w:spacing w:after="0" w:line="176" w:lineRule="exact"/>
              <w:rPr>
                <w:sz w:val="20"/>
                <w:szCs w:val="20"/>
                <w:color w:val="auto"/>
              </w:rPr>
            </w:pPr>
            <w:r>
              <w:rPr>
                <w:rFonts w:ascii="Arial" w:cs="Arial" w:eastAsia="Arial" w:hAnsi="Arial"/>
                <w:sz w:val="18"/>
                <w:szCs w:val="18"/>
                <w:color w:val="auto"/>
              </w:rPr>
              <w:t>Item 2:</w:t>
            </w:r>
          </w:p>
        </w:tc>
        <w:tc>
          <w:tcPr>
            <w:tcW w:w="5940" w:type="dxa"/>
            <w:vAlign w:val="bottom"/>
            <w:gridSpan w:val="17"/>
            <w:shd w:val="clear" w:color="auto" w:fill="CCEECC"/>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Unregistered Sales of Equity Securities and Use of Proceeds</w:t>
              </w:r>
            </w:hyperlink>
          </w:p>
        </w:tc>
        <w:tc>
          <w:tcPr>
            <w:tcW w:w="820" w:type="dxa"/>
            <w:vAlign w:val="bottom"/>
            <w:shd w:val="clear" w:color="auto" w:fill="CCEECC"/>
          </w:tcPr>
          <w:p>
            <w:pPr>
              <w:jc w:val="center"/>
              <w:ind w:left="110"/>
              <w:spacing w:after="0" w:line="176" w:lineRule="exact"/>
              <w:rPr>
                <w:sz w:val="20"/>
                <w:szCs w:val="20"/>
                <w:color w:val="auto"/>
              </w:rPr>
            </w:pPr>
            <w:r>
              <w:rPr>
                <w:rFonts w:ascii="Arial" w:cs="Arial" w:eastAsia="Arial" w:hAnsi="Arial"/>
                <w:sz w:val="18"/>
                <w:szCs w:val="18"/>
                <w:color w:val="auto"/>
                <w:w w:val="99"/>
              </w:rPr>
              <w:t>9</w:t>
            </w:r>
          </w:p>
        </w:tc>
        <w:tc>
          <w:tcPr>
            <w:tcW w:w="1720" w:type="dxa"/>
            <w:vAlign w:val="bottom"/>
          </w:tcPr>
          <w:p>
            <w:pPr>
              <w:spacing w:after="0"/>
              <w:rPr>
                <w:sz w:val="17"/>
                <w:szCs w:val="17"/>
                <w:color w:val="auto"/>
              </w:rPr>
            </w:pPr>
          </w:p>
        </w:tc>
      </w:tr>
      <w:tr>
        <w:trPr>
          <w:trHeight w:val="176"/>
        </w:trPr>
        <w:tc>
          <w:tcPr>
            <w:tcW w:w="1720" w:type="dxa"/>
            <w:vAlign w:val="bottom"/>
          </w:tcPr>
          <w:p>
            <w:pPr>
              <w:spacing w:after="0"/>
              <w:rPr>
                <w:sz w:val="15"/>
                <w:szCs w:val="15"/>
                <w:color w:val="auto"/>
              </w:rPr>
            </w:pPr>
          </w:p>
        </w:tc>
        <w:tc>
          <w:tcPr>
            <w:tcW w:w="1220" w:type="dxa"/>
            <w:vAlign w:val="bottom"/>
            <w:tcBorders>
              <w:top w:val="single" w:sz="8" w:color="CCEECC"/>
            </w:tcBorders>
          </w:tcPr>
          <w:p>
            <w:pPr>
              <w:ind w:left="100"/>
              <w:spacing w:after="0" w:line="176" w:lineRule="exact"/>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Defaults Upon Senior Securities</w:t>
              </w:r>
            </w:hyperlink>
          </w:p>
        </w:tc>
        <w:tc>
          <w:tcPr>
            <w:tcW w:w="1600" w:type="dxa"/>
            <w:vAlign w:val="bottom"/>
            <w:tcBorders>
              <w:top w:val="single" w:sz="8" w:color="CCEECC"/>
            </w:tcBorders>
            <w:gridSpan w:val="3"/>
          </w:tcPr>
          <w:p>
            <w:pPr>
              <w:spacing w:after="0"/>
              <w:rPr>
                <w:sz w:val="15"/>
                <w:szCs w:val="15"/>
                <w:color w:val="auto"/>
              </w:rPr>
            </w:pPr>
          </w:p>
        </w:tc>
        <w:tc>
          <w:tcPr>
            <w:tcW w:w="820" w:type="dxa"/>
            <w:vAlign w:val="bottom"/>
            <w:tcBorders>
              <w:top w:val="single" w:sz="8" w:color="CCEECC"/>
            </w:tcBorders>
          </w:tcPr>
          <w:p>
            <w:pPr>
              <w:jc w:val="center"/>
              <w:ind w:left="110"/>
              <w:spacing w:after="0" w:line="176" w:lineRule="exact"/>
              <w:rPr>
                <w:sz w:val="20"/>
                <w:szCs w:val="20"/>
                <w:color w:val="auto"/>
              </w:rPr>
            </w:pPr>
            <w:r>
              <w:rPr>
                <w:rFonts w:ascii="Arial" w:cs="Arial" w:eastAsia="Arial" w:hAnsi="Arial"/>
                <w:sz w:val="18"/>
                <w:szCs w:val="18"/>
                <w:color w:val="auto"/>
                <w:w w:val="99"/>
              </w:rPr>
              <w:t>9</w:t>
            </w:r>
          </w:p>
        </w:tc>
        <w:tc>
          <w:tcPr>
            <w:tcW w:w="1720" w:type="dxa"/>
            <w:vAlign w:val="bottom"/>
          </w:tcPr>
          <w:p>
            <w:pPr>
              <w:spacing w:after="0"/>
              <w:rPr>
                <w:sz w:val="15"/>
                <w:szCs w:val="15"/>
                <w:color w:val="auto"/>
              </w:rPr>
            </w:pPr>
          </w:p>
        </w:tc>
      </w:tr>
      <w:tr>
        <w:trPr>
          <w:trHeight w:val="21"/>
        </w:trPr>
        <w:tc>
          <w:tcPr>
            <w:tcW w:w="1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1220" w:type="dxa"/>
            <w:vAlign w:val="bottom"/>
            <w:shd w:val="clear" w:color="auto" w:fill="CCEECC"/>
          </w:tcPr>
          <w:p>
            <w:pPr>
              <w:ind w:left="100"/>
              <w:spacing w:after="0" w:line="176" w:lineRule="exact"/>
              <w:rPr>
                <w:sz w:val="20"/>
                <w:szCs w:val="20"/>
                <w:color w:val="auto"/>
              </w:rPr>
            </w:pPr>
            <w:r>
              <w:rPr>
                <w:rFonts w:ascii="Arial" w:cs="Arial" w:eastAsia="Arial" w:hAnsi="Arial"/>
                <w:sz w:val="18"/>
                <w:szCs w:val="18"/>
                <w:color w:val="auto"/>
              </w:rPr>
              <w:t>Item 4:</w:t>
            </w:r>
          </w:p>
        </w:tc>
        <w:tc>
          <w:tcPr>
            <w:tcW w:w="5940" w:type="dxa"/>
            <w:vAlign w:val="bottom"/>
            <w:gridSpan w:val="17"/>
            <w:shd w:val="clear" w:color="auto" w:fill="CCEECC"/>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Mine Safety Disclosure</w:t>
              </w:r>
            </w:hyperlink>
          </w:p>
        </w:tc>
        <w:tc>
          <w:tcPr>
            <w:tcW w:w="820" w:type="dxa"/>
            <w:vAlign w:val="bottom"/>
            <w:shd w:val="clear" w:color="auto" w:fill="CCEECC"/>
          </w:tcPr>
          <w:p>
            <w:pPr>
              <w:jc w:val="center"/>
              <w:ind w:left="110"/>
              <w:spacing w:after="0" w:line="176" w:lineRule="exact"/>
              <w:rPr>
                <w:sz w:val="20"/>
                <w:szCs w:val="20"/>
                <w:color w:val="auto"/>
              </w:rPr>
            </w:pPr>
            <w:r>
              <w:rPr>
                <w:rFonts w:ascii="Arial" w:cs="Arial" w:eastAsia="Arial" w:hAnsi="Arial"/>
                <w:sz w:val="18"/>
                <w:szCs w:val="18"/>
                <w:color w:val="auto"/>
                <w:w w:val="99"/>
              </w:rPr>
              <w:t>9</w:t>
            </w:r>
          </w:p>
        </w:tc>
        <w:tc>
          <w:tcPr>
            <w:tcW w:w="1720" w:type="dxa"/>
            <w:vAlign w:val="bottom"/>
          </w:tcPr>
          <w:p>
            <w:pPr>
              <w:spacing w:after="0"/>
              <w:rPr>
                <w:sz w:val="17"/>
                <w:szCs w:val="17"/>
                <w:color w:val="auto"/>
              </w:rPr>
            </w:pPr>
          </w:p>
        </w:tc>
      </w:tr>
      <w:tr>
        <w:trPr>
          <w:trHeight w:val="176"/>
        </w:trPr>
        <w:tc>
          <w:tcPr>
            <w:tcW w:w="1720" w:type="dxa"/>
            <w:vAlign w:val="bottom"/>
          </w:tcPr>
          <w:p>
            <w:pPr>
              <w:spacing w:after="0"/>
              <w:rPr>
                <w:sz w:val="15"/>
                <w:szCs w:val="15"/>
                <w:color w:val="auto"/>
              </w:rPr>
            </w:pPr>
          </w:p>
        </w:tc>
        <w:tc>
          <w:tcPr>
            <w:tcW w:w="1220" w:type="dxa"/>
            <w:vAlign w:val="bottom"/>
            <w:tcBorders>
              <w:top w:val="single" w:sz="8" w:color="CCEECC"/>
            </w:tcBorders>
          </w:tcPr>
          <w:p>
            <w:pPr>
              <w:ind w:left="100"/>
              <w:spacing w:after="0" w:line="176" w:lineRule="exact"/>
              <w:rPr>
                <w:sz w:val="20"/>
                <w:szCs w:val="20"/>
                <w:color w:val="auto"/>
              </w:rPr>
            </w:pPr>
            <w:r>
              <w:rPr>
                <w:rFonts w:ascii="Arial" w:cs="Arial" w:eastAsia="Arial" w:hAnsi="Arial"/>
                <w:sz w:val="18"/>
                <w:szCs w:val="18"/>
                <w:color w:val="auto"/>
              </w:rPr>
              <w:t>Item 5:</w:t>
            </w:r>
          </w:p>
        </w:tc>
        <w:tc>
          <w:tcPr>
            <w:tcW w:w="170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Other Information</w:t>
              </w:r>
            </w:hyperlink>
          </w:p>
        </w:tc>
        <w:tc>
          <w:tcPr>
            <w:tcW w:w="4240" w:type="dxa"/>
            <w:vAlign w:val="bottom"/>
            <w:tcBorders>
              <w:top w:val="single" w:sz="8" w:color="CCEECC"/>
            </w:tcBorders>
            <w:gridSpan w:val="9"/>
          </w:tcPr>
          <w:p>
            <w:pPr>
              <w:spacing w:after="0"/>
              <w:rPr>
                <w:sz w:val="15"/>
                <w:szCs w:val="15"/>
                <w:color w:val="auto"/>
              </w:rPr>
            </w:pPr>
          </w:p>
        </w:tc>
        <w:tc>
          <w:tcPr>
            <w:tcW w:w="820" w:type="dxa"/>
            <w:vAlign w:val="bottom"/>
            <w:tcBorders>
              <w:top w:val="single" w:sz="8" w:color="CCEECC"/>
            </w:tcBorders>
          </w:tcPr>
          <w:p>
            <w:pPr>
              <w:jc w:val="center"/>
              <w:ind w:left="110"/>
              <w:spacing w:after="0" w:line="176" w:lineRule="exact"/>
              <w:rPr>
                <w:sz w:val="20"/>
                <w:szCs w:val="20"/>
                <w:color w:val="auto"/>
              </w:rPr>
            </w:pPr>
            <w:r>
              <w:rPr>
                <w:rFonts w:ascii="Arial" w:cs="Arial" w:eastAsia="Arial" w:hAnsi="Arial"/>
                <w:sz w:val="18"/>
                <w:szCs w:val="18"/>
                <w:color w:val="auto"/>
                <w:w w:val="99"/>
              </w:rPr>
              <w:t>9</w:t>
            </w:r>
          </w:p>
        </w:tc>
        <w:tc>
          <w:tcPr>
            <w:tcW w:w="1720" w:type="dxa"/>
            <w:vAlign w:val="bottom"/>
          </w:tcPr>
          <w:p>
            <w:pPr>
              <w:spacing w:after="0"/>
              <w:rPr>
                <w:sz w:val="15"/>
                <w:szCs w:val="15"/>
                <w:color w:val="auto"/>
              </w:rPr>
            </w:pPr>
          </w:p>
        </w:tc>
      </w:tr>
      <w:tr>
        <w:trPr>
          <w:trHeight w:val="21"/>
        </w:trPr>
        <w:tc>
          <w:tcPr>
            <w:tcW w:w="1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1220" w:type="dxa"/>
            <w:vAlign w:val="bottom"/>
            <w:shd w:val="clear" w:color="auto" w:fill="CCEECC"/>
          </w:tcPr>
          <w:p>
            <w:pPr>
              <w:ind w:left="100"/>
              <w:spacing w:after="0" w:line="176" w:lineRule="exact"/>
              <w:rPr>
                <w:sz w:val="20"/>
                <w:szCs w:val="20"/>
                <w:color w:val="auto"/>
              </w:rPr>
            </w:pPr>
            <w:r>
              <w:rPr>
                <w:rFonts w:ascii="Arial" w:cs="Arial" w:eastAsia="Arial" w:hAnsi="Arial"/>
                <w:sz w:val="18"/>
                <w:szCs w:val="18"/>
                <w:color w:val="auto"/>
              </w:rPr>
              <w:t>Item 6:</w:t>
            </w:r>
          </w:p>
        </w:tc>
        <w:tc>
          <w:tcPr>
            <w:tcW w:w="5940" w:type="dxa"/>
            <w:vAlign w:val="bottom"/>
            <w:gridSpan w:val="17"/>
            <w:shd w:val="clear" w:color="auto" w:fill="CCEECC"/>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820" w:type="dxa"/>
            <w:vAlign w:val="bottom"/>
            <w:shd w:val="clear" w:color="auto" w:fill="CCEECC"/>
          </w:tcPr>
          <w:p>
            <w:pPr>
              <w:jc w:val="center"/>
              <w:ind w:left="110"/>
              <w:spacing w:after="0" w:line="176" w:lineRule="exact"/>
              <w:rPr>
                <w:sz w:val="20"/>
                <w:szCs w:val="20"/>
                <w:color w:val="auto"/>
              </w:rPr>
            </w:pPr>
            <w:r>
              <w:rPr>
                <w:rFonts w:ascii="Arial" w:cs="Arial" w:eastAsia="Arial" w:hAnsi="Arial"/>
                <w:sz w:val="18"/>
                <w:szCs w:val="18"/>
                <w:color w:val="auto"/>
                <w:w w:val="99"/>
              </w:rPr>
              <w:t>9</w:t>
            </w:r>
          </w:p>
        </w:tc>
        <w:tc>
          <w:tcPr>
            <w:tcW w:w="1720" w:type="dxa"/>
            <w:vAlign w:val="bottom"/>
          </w:tcPr>
          <w:p>
            <w:pPr>
              <w:spacing w:after="0"/>
              <w:rPr>
                <w:sz w:val="17"/>
                <w:szCs w:val="17"/>
                <w:color w:val="auto"/>
              </w:rPr>
            </w:pPr>
          </w:p>
        </w:tc>
      </w:tr>
      <w:tr>
        <w:trPr>
          <w:trHeight w:val="189"/>
        </w:trPr>
        <w:tc>
          <w:tcPr>
            <w:tcW w:w="1720" w:type="dxa"/>
            <w:vAlign w:val="bottom"/>
            <w:tcBorders>
              <w:bottom w:val="single" w:sz="8" w:color="auto"/>
            </w:tcBorders>
          </w:tcPr>
          <w:p>
            <w:pPr>
              <w:spacing w:after="0"/>
              <w:rPr>
                <w:sz w:val="16"/>
                <w:szCs w:val="16"/>
                <w:color w:val="auto"/>
              </w:rPr>
            </w:pPr>
          </w:p>
        </w:tc>
        <w:tc>
          <w:tcPr>
            <w:tcW w:w="1220" w:type="dxa"/>
            <w:vAlign w:val="bottom"/>
            <w:tcBorders>
              <w:top w:val="single" w:sz="8" w:color="CCEECC"/>
              <w:bottom w:val="single" w:sz="8" w:color="auto"/>
            </w:tcBorders>
          </w:tcPr>
          <w:p>
            <w:pPr>
              <w:spacing w:after="0"/>
              <w:rPr>
                <w:sz w:val="16"/>
                <w:szCs w:val="16"/>
                <w:color w:val="auto"/>
              </w:rPr>
            </w:pPr>
          </w:p>
        </w:tc>
        <w:tc>
          <w:tcPr>
            <w:tcW w:w="600" w:type="dxa"/>
            <w:vAlign w:val="bottom"/>
            <w:tcBorders>
              <w:top w:val="single" w:sz="8" w:color="0000EE"/>
              <w:bottom w:val="single" w:sz="8" w:color="auto"/>
            </w:tcBorders>
          </w:tcPr>
          <w:p>
            <w:pPr>
              <w:spacing w:after="0"/>
              <w:rPr>
                <w:sz w:val="16"/>
                <w:szCs w:val="16"/>
                <w:color w:val="auto"/>
              </w:rPr>
            </w:pPr>
          </w:p>
        </w:tc>
        <w:tc>
          <w:tcPr>
            <w:tcW w:w="200" w:type="dxa"/>
            <w:vAlign w:val="bottom"/>
            <w:tcBorders>
              <w:top w:val="single" w:sz="8" w:color="CCEECC"/>
              <w:bottom w:val="single" w:sz="8" w:color="auto"/>
            </w:tcBorders>
          </w:tcPr>
          <w:p>
            <w:pPr>
              <w:spacing w:after="0"/>
              <w:rPr>
                <w:sz w:val="16"/>
                <w:szCs w:val="16"/>
                <w:color w:val="auto"/>
              </w:rPr>
            </w:pPr>
          </w:p>
        </w:tc>
        <w:tc>
          <w:tcPr>
            <w:tcW w:w="100" w:type="dxa"/>
            <w:vAlign w:val="bottom"/>
            <w:tcBorders>
              <w:top w:val="single" w:sz="8" w:color="CCEECC"/>
              <w:bottom w:val="single" w:sz="8" w:color="auto"/>
            </w:tcBorders>
          </w:tcPr>
          <w:p>
            <w:pPr>
              <w:spacing w:after="0"/>
              <w:rPr>
                <w:sz w:val="16"/>
                <w:szCs w:val="16"/>
                <w:color w:val="auto"/>
              </w:rPr>
            </w:pPr>
          </w:p>
        </w:tc>
        <w:tc>
          <w:tcPr>
            <w:tcW w:w="300" w:type="dxa"/>
            <w:vAlign w:val="bottom"/>
            <w:tcBorders>
              <w:top w:val="single" w:sz="8" w:color="CCEECC"/>
              <w:bottom w:val="single" w:sz="8" w:color="auto"/>
            </w:tcBorders>
          </w:tcPr>
          <w:p>
            <w:pPr>
              <w:spacing w:after="0"/>
              <w:rPr>
                <w:sz w:val="16"/>
                <w:szCs w:val="16"/>
                <w:color w:val="auto"/>
              </w:rPr>
            </w:pPr>
          </w:p>
        </w:tc>
        <w:tc>
          <w:tcPr>
            <w:tcW w:w="120" w:type="dxa"/>
            <w:vAlign w:val="bottom"/>
            <w:tcBorders>
              <w:top w:val="single" w:sz="8" w:color="CCEECC"/>
              <w:bottom w:val="single" w:sz="8" w:color="auto"/>
            </w:tcBorders>
          </w:tcPr>
          <w:p>
            <w:pPr>
              <w:spacing w:after="0"/>
              <w:rPr>
                <w:sz w:val="16"/>
                <w:szCs w:val="16"/>
                <w:color w:val="auto"/>
              </w:rPr>
            </w:pPr>
          </w:p>
        </w:tc>
        <w:tc>
          <w:tcPr>
            <w:tcW w:w="20" w:type="dxa"/>
            <w:vAlign w:val="bottom"/>
            <w:tcBorders>
              <w:top w:val="single" w:sz="8" w:color="CCEECC"/>
              <w:bottom w:val="single" w:sz="8" w:color="auto"/>
            </w:tcBorders>
          </w:tcPr>
          <w:p>
            <w:pPr>
              <w:spacing w:after="0"/>
              <w:rPr>
                <w:sz w:val="16"/>
                <w:szCs w:val="16"/>
                <w:color w:val="auto"/>
              </w:rPr>
            </w:pPr>
          </w:p>
        </w:tc>
        <w:tc>
          <w:tcPr>
            <w:tcW w:w="160" w:type="dxa"/>
            <w:vAlign w:val="bottom"/>
            <w:tcBorders>
              <w:top w:val="single" w:sz="8" w:color="CCEECC"/>
              <w:bottom w:val="single" w:sz="8" w:color="auto"/>
            </w:tcBorders>
          </w:tcPr>
          <w:p>
            <w:pPr>
              <w:spacing w:after="0"/>
              <w:rPr>
                <w:sz w:val="16"/>
                <w:szCs w:val="16"/>
                <w:color w:val="auto"/>
              </w:rPr>
            </w:pPr>
          </w:p>
        </w:tc>
        <w:tc>
          <w:tcPr>
            <w:tcW w:w="200" w:type="dxa"/>
            <w:vAlign w:val="bottom"/>
            <w:tcBorders>
              <w:top w:val="single" w:sz="8" w:color="CCEECC"/>
              <w:bottom w:val="single" w:sz="8" w:color="auto"/>
            </w:tcBorders>
          </w:tcPr>
          <w:p>
            <w:pPr>
              <w:spacing w:after="0"/>
              <w:rPr>
                <w:sz w:val="16"/>
                <w:szCs w:val="16"/>
                <w:color w:val="auto"/>
              </w:rPr>
            </w:pPr>
          </w:p>
        </w:tc>
        <w:tc>
          <w:tcPr>
            <w:tcW w:w="80" w:type="dxa"/>
            <w:vAlign w:val="bottom"/>
            <w:tcBorders>
              <w:top w:val="single" w:sz="8" w:color="CCEECC"/>
              <w:bottom w:val="single" w:sz="8" w:color="auto"/>
            </w:tcBorders>
          </w:tcPr>
          <w:p>
            <w:pPr>
              <w:spacing w:after="0"/>
              <w:rPr>
                <w:sz w:val="16"/>
                <w:szCs w:val="16"/>
                <w:color w:val="auto"/>
              </w:rPr>
            </w:pPr>
          </w:p>
        </w:tc>
        <w:tc>
          <w:tcPr>
            <w:tcW w:w="40" w:type="dxa"/>
            <w:vAlign w:val="bottom"/>
            <w:tcBorders>
              <w:top w:val="single" w:sz="8" w:color="CCEECC"/>
              <w:bottom w:val="single" w:sz="8" w:color="auto"/>
            </w:tcBorders>
          </w:tcPr>
          <w:p>
            <w:pPr>
              <w:spacing w:after="0"/>
              <w:rPr>
                <w:sz w:val="16"/>
                <w:szCs w:val="16"/>
                <w:color w:val="auto"/>
              </w:rPr>
            </w:pPr>
          </w:p>
        </w:tc>
        <w:tc>
          <w:tcPr>
            <w:tcW w:w="500" w:type="dxa"/>
            <w:vAlign w:val="bottom"/>
            <w:tcBorders>
              <w:top w:val="single" w:sz="8" w:color="CCEECC"/>
              <w:bottom w:val="single" w:sz="8" w:color="auto"/>
            </w:tcBorders>
          </w:tcPr>
          <w:p>
            <w:pPr>
              <w:spacing w:after="0"/>
              <w:rPr>
                <w:sz w:val="16"/>
                <w:szCs w:val="16"/>
                <w:color w:val="auto"/>
              </w:rPr>
            </w:pPr>
          </w:p>
        </w:tc>
        <w:tc>
          <w:tcPr>
            <w:tcW w:w="1420" w:type="dxa"/>
            <w:vAlign w:val="bottom"/>
            <w:tcBorders>
              <w:top w:val="single" w:sz="8" w:color="CCEECC"/>
              <w:bottom w:val="single" w:sz="8" w:color="auto"/>
            </w:tcBorders>
          </w:tcPr>
          <w:p>
            <w:pPr>
              <w:spacing w:after="0"/>
              <w:rPr>
                <w:sz w:val="16"/>
                <w:szCs w:val="16"/>
                <w:color w:val="auto"/>
              </w:rPr>
            </w:pPr>
          </w:p>
        </w:tc>
        <w:tc>
          <w:tcPr>
            <w:tcW w:w="460" w:type="dxa"/>
            <w:vAlign w:val="bottom"/>
            <w:tcBorders>
              <w:top w:val="single" w:sz="8" w:color="CCEECC"/>
              <w:bottom w:val="single" w:sz="8" w:color="auto"/>
            </w:tcBorders>
          </w:tcPr>
          <w:p>
            <w:pPr>
              <w:spacing w:after="0"/>
              <w:rPr>
                <w:sz w:val="16"/>
                <w:szCs w:val="16"/>
                <w:color w:val="auto"/>
              </w:rPr>
            </w:pPr>
          </w:p>
        </w:tc>
        <w:tc>
          <w:tcPr>
            <w:tcW w:w="140" w:type="dxa"/>
            <w:vAlign w:val="bottom"/>
            <w:tcBorders>
              <w:top w:val="single" w:sz="8" w:color="CCEECC"/>
              <w:bottom w:val="single" w:sz="8" w:color="auto"/>
            </w:tcBorders>
          </w:tcPr>
          <w:p>
            <w:pPr>
              <w:spacing w:after="0"/>
              <w:rPr>
                <w:sz w:val="16"/>
                <w:szCs w:val="16"/>
                <w:color w:val="auto"/>
              </w:rPr>
            </w:pPr>
          </w:p>
        </w:tc>
        <w:tc>
          <w:tcPr>
            <w:tcW w:w="20" w:type="dxa"/>
            <w:vAlign w:val="bottom"/>
            <w:tcBorders>
              <w:top w:val="single" w:sz="8" w:color="CCEECC"/>
              <w:bottom w:val="single" w:sz="8" w:color="auto"/>
            </w:tcBorders>
          </w:tcPr>
          <w:p>
            <w:pPr>
              <w:spacing w:after="0"/>
              <w:rPr>
                <w:sz w:val="16"/>
                <w:szCs w:val="16"/>
                <w:color w:val="auto"/>
              </w:rPr>
            </w:pPr>
          </w:p>
        </w:tc>
        <w:tc>
          <w:tcPr>
            <w:tcW w:w="1260" w:type="dxa"/>
            <w:vAlign w:val="bottom"/>
            <w:tcBorders>
              <w:top w:val="single" w:sz="8" w:color="CCEECC"/>
              <w:bottom w:val="single" w:sz="8" w:color="auto"/>
            </w:tcBorders>
          </w:tcPr>
          <w:p>
            <w:pPr>
              <w:spacing w:after="0"/>
              <w:rPr>
                <w:sz w:val="16"/>
                <w:szCs w:val="16"/>
                <w:color w:val="auto"/>
              </w:rPr>
            </w:pPr>
          </w:p>
        </w:tc>
        <w:tc>
          <w:tcPr>
            <w:tcW w:w="320" w:type="dxa"/>
            <w:vAlign w:val="bottom"/>
            <w:tcBorders>
              <w:top w:val="single" w:sz="8" w:color="CCEECC"/>
              <w:bottom w:val="single" w:sz="8" w:color="auto"/>
            </w:tcBorders>
          </w:tcPr>
          <w:p>
            <w:pPr>
              <w:spacing w:after="0"/>
              <w:rPr>
                <w:sz w:val="16"/>
                <w:szCs w:val="16"/>
                <w:color w:val="auto"/>
              </w:rPr>
            </w:pPr>
          </w:p>
        </w:tc>
        <w:tc>
          <w:tcPr>
            <w:tcW w:w="820" w:type="dxa"/>
            <w:vAlign w:val="bottom"/>
            <w:tcBorders>
              <w:top w:val="single" w:sz="8" w:color="CCEECC"/>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r>
      <w:tr>
        <w:trPr>
          <w:trHeight w:val="224"/>
        </w:trPr>
        <w:tc>
          <w:tcPr>
            <w:tcW w:w="1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740" w:type="dxa"/>
            <w:vAlign w:val="bottom"/>
            <w:gridSpan w:val="12"/>
          </w:tcPr>
          <w:p>
            <w:pPr>
              <w:jc w:val="center"/>
              <w:ind w:left="1710"/>
              <w:spacing w:after="0"/>
              <w:rPr>
                <w:sz w:val="20"/>
                <w:szCs w:val="20"/>
                <w:color w:val="auto"/>
              </w:rPr>
            </w:pPr>
            <w:r>
              <w:rPr>
                <w:rFonts w:ascii="Arial" w:cs="Arial" w:eastAsia="Arial" w:hAnsi="Arial"/>
                <w:sz w:val="18"/>
                <w:szCs w:val="18"/>
                <w:color w:val="auto"/>
                <w:w w:val="99"/>
              </w:rPr>
              <w:t>2</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-3198495</wp:posOffset>
            </wp:positionV>
            <wp:extent cx="2023745"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23745" cy="45466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included in this Form 10-Q are as follows:</w:t>
      </w:r>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FF"/>
        </w:rPr>
      </w:pPr>
      <w:r>
        <w:rPr>
          <w:rFonts w:ascii="Arial" w:cs="Arial" w:eastAsia="Arial" w:hAnsi="Arial"/>
          <w:sz w:val="18"/>
          <w:szCs w:val="18"/>
          <w:color w:val="auto"/>
        </w:rPr>
        <w:t>F-1</w:t>
      </w:r>
      <w:r>
        <w:rPr>
          <w:sz w:val="20"/>
          <w:szCs w:val="20"/>
          <w:color w:val="auto"/>
        </w:rPr>
        <w:tab/>
      </w:r>
      <w:hyperlink w:anchor="page4">
        <w:r>
          <w:rPr>
            <w:rFonts w:ascii="Arial" w:cs="Arial" w:eastAsia="Arial" w:hAnsi="Arial"/>
            <w:sz w:val="16"/>
            <w:szCs w:val="16"/>
            <w:u w:val="single" w:color="auto"/>
            <w:color w:val="0000FF"/>
          </w:rPr>
          <w:t>Consolidated Balance Sheets as of September 30, 2013 and December 31, 2012 (unaudited);</w:t>
        </w:r>
      </w:hyperlink>
    </w:p>
    <w:p>
      <w:pPr>
        <w:spacing w:after="0" w:line="23" w:lineRule="exact"/>
        <w:rPr>
          <w:sz w:val="20"/>
          <w:szCs w:val="20"/>
          <w:color w:val="auto"/>
        </w:rPr>
      </w:pPr>
    </w:p>
    <w:p>
      <w:pPr>
        <w:spacing w:after="0"/>
        <w:tabs>
          <w:tab w:leader="none" w:pos="640" w:val="left"/>
        </w:tabs>
        <w:rPr>
          <w:rFonts w:ascii="Arial" w:cs="Arial" w:eastAsia="Arial" w:hAnsi="Arial"/>
          <w:sz w:val="16"/>
          <w:szCs w:val="16"/>
          <w:u w:val="single" w:color="auto"/>
          <w:color w:val="0000FF"/>
        </w:rPr>
      </w:pPr>
      <w:r>
        <w:rPr>
          <w:rFonts w:ascii="Arial" w:cs="Arial" w:eastAsia="Arial" w:hAnsi="Arial"/>
          <w:sz w:val="18"/>
          <w:szCs w:val="18"/>
          <w:color w:val="auto"/>
        </w:rPr>
        <w:t>F-2</w:t>
      </w:r>
      <w:r>
        <w:rPr>
          <w:sz w:val="20"/>
          <w:szCs w:val="20"/>
          <w:color w:val="auto"/>
        </w:rPr>
        <w:tab/>
      </w:r>
      <w:hyperlink w:anchor="page5">
        <w:r>
          <w:rPr>
            <w:rFonts w:ascii="Arial" w:cs="Arial" w:eastAsia="Arial" w:hAnsi="Arial"/>
            <w:sz w:val="16"/>
            <w:szCs w:val="16"/>
            <w:u w:val="single" w:color="auto"/>
            <w:color w:val="0000FF"/>
          </w:rPr>
          <w:t>Consolidated Statements of Operations for the three and nine months ended September 30, 2013 and 2012 (unaudited);</w:t>
        </w:r>
      </w:hyperlink>
    </w:p>
    <w:p>
      <w:pPr>
        <w:spacing w:after="0" w:line="9" w:lineRule="exact"/>
        <w:rPr>
          <w:sz w:val="20"/>
          <w:szCs w:val="20"/>
          <w:color w:val="auto"/>
        </w:rPr>
      </w:pPr>
    </w:p>
    <w:p>
      <w:pPr>
        <w:spacing w:after="0"/>
        <w:tabs>
          <w:tab w:leader="none" w:pos="640" w:val="left"/>
        </w:tabs>
        <w:rPr>
          <w:rFonts w:ascii="Arial" w:cs="Arial" w:eastAsia="Arial" w:hAnsi="Arial"/>
          <w:sz w:val="16"/>
          <w:szCs w:val="16"/>
          <w:u w:val="single" w:color="auto"/>
          <w:color w:val="0000FF"/>
        </w:rPr>
      </w:pPr>
      <w:r>
        <w:rPr>
          <w:rFonts w:ascii="Arial" w:cs="Arial" w:eastAsia="Arial" w:hAnsi="Arial"/>
          <w:sz w:val="18"/>
          <w:szCs w:val="18"/>
          <w:color w:val="auto"/>
        </w:rPr>
        <w:t>F-3</w:t>
      </w:r>
      <w:r>
        <w:rPr>
          <w:sz w:val="20"/>
          <w:szCs w:val="20"/>
          <w:color w:val="auto"/>
        </w:rPr>
        <w:tab/>
      </w:r>
      <w:hyperlink w:anchor="page6">
        <w:r>
          <w:rPr>
            <w:rFonts w:ascii="Arial" w:cs="Arial" w:eastAsia="Arial" w:hAnsi="Arial"/>
            <w:sz w:val="16"/>
            <w:szCs w:val="16"/>
            <w:u w:val="single" w:color="auto"/>
            <w:color w:val="0000FF"/>
          </w:rPr>
          <w:t>Consolidated Statements of Cash Flow for the nine months ended September 30, 2013 and 2012 (unaudited);</w:t>
        </w:r>
      </w:hyperlink>
    </w:p>
    <w:p>
      <w:pPr>
        <w:spacing w:after="0" w:line="9"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F-4</w:t>
      </w:r>
      <w:r>
        <w:rPr>
          <w:sz w:val="20"/>
          <w:szCs w:val="20"/>
          <w:color w:val="auto"/>
        </w:rPr>
        <w:tab/>
      </w:r>
      <w:hyperlink w:anchor="page7">
        <w:r>
          <w:rPr>
            <w:rFonts w:ascii="Arial" w:cs="Arial" w:eastAsia="Arial" w:hAnsi="Arial"/>
            <w:sz w:val="16"/>
            <w:szCs w:val="16"/>
            <w:u w:val="single" w:color="auto"/>
            <w:color w:val="0000EE"/>
          </w:rPr>
          <w:t>Notes to Consolidated Financial Statements.</w:t>
        </w:r>
      </w:hyperlink>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of America for interim financial information and the SEC instructions to Form 10-Q. In the opinion of management, all adjustments considered necessary for a fair presentation have been included. Operating results for the interim period ended September 30, 2013 are not necessarily indicative of the results that can be expected for the full year.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2013 AND DECEMBER 31, 2012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19"/>
                <w:szCs w:val="19"/>
                <w:color w:val="auto"/>
              </w:rPr>
            </w:pPr>
          </w:p>
        </w:tc>
        <w:tc>
          <w:tcPr>
            <w:tcW w:w="5480" w:type="dxa"/>
            <w:vAlign w:val="bottom"/>
            <w:vMerge w:val="restart"/>
          </w:tcPr>
          <w:p>
            <w:pPr>
              <w:ind w:left="240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9"/>
                <w:szCs w:val="19"/>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December 31,</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5480" w:type="dxa"/>
            <w:vAlign w:val="bottom"/>
            <w:tcBorders>
              <w:bottom w:val="single" w:sz="8" w:color="CCEECC"/>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CCEE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2012</w:t>
            </w:r>
          </w:p>
        </w:tc>
        <w:tc>
          <w:tcPr>
            <w:tcW w:w="80" w:type="dxa"/>
            <w:vAlign w:val="bottom"/>
            <w:tcBorders>
              <w:bottom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5480" w:type="dxa"/>
            <w:vAlign w:val="bottom"/>
            <w:shd w:val="clear" w:color="auto" w:fill="CCEECC"/>
          </w:tcPr>
          <w:p>
            <w:pPr>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EECC"/>
          </w:tcPr>
          <w:p>
            <w:pPr>
              <w:spacing w:after="0"/>
              <w:rPr>
                <w:sz w:val="18"/>
                <w:szCs w:val="18"/>
                <w:color w:val="auto"/>
              </w:rPr>
            </w:pPr>
          </w:p>
        </w:tc>
        <w:tc>
          <w:tcPr>
            <w:tcW w:w="12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48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486,692</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284,263</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4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CC"/>
          </w:tcPr>
          <w:p>
            <w:pPr>
              <w:spacing w:after="0"/>
              <w:rPr>
                <w:sz w:val="18"/>
                <w:szCs w:val="18"/>
                <w:color w:val="auto"/>
              </w:rPr>
            </w:pPr>
          </w:p>
        </w:tc>
        <w:tc>
          <w:tcPr>
            <w:tcW w:w="12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1,148,907</w:t>
            </w:r>
          </w:p>
        </w:tc>
        <w:tc>
          <w:tcPr>
            <w:tcW w:w="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616,798</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5480" w:type="dxa"/>
            <w:vAlign w:val="bottom"/>
          </w:tcPr>
          <w:p>
            <w:pPr>
              <w:ind w:left="32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26,336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68,158</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548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bottom w:val="single" w:sz="8" w:color="auto"/>
            </w:tcBorders>
            <w:shd w:val="clear" w:color="auto" w:fill="CCEECC"/>
          </w:tcPr>
          <w:p>
            <w:pPr>
              <w:spacing w:after="0"/>
              <w:rPr>
                <w:sz w:val="18"/>
                <w:szCs w:val="18"/>
                <w:color w:val="auto"/>
              </w:rPr>
            </w:pPr>
          </w:p>
        </w:tc>
        <w:tc>
          <w:tcPr>
            <w:tcW w:w="12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1,661,935</w:t>
            </w:r>
          </w:p>
        </w:tc>
        <w:tc>
          <w:tcPr>
            <w:tcW w:w="8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auto"/>
              <w:bottom w:val="single" w:sz="8" w:color="auto"/>
            </w:tcBorders>
            <w:shd w:val="clear" w:color="auto" w:fill="CCEECC"/>
          </w:tcPr>
          <w:p>
            <w:pPr>
              <w:spacing w:after="0"/>
              <w:rPr>
                <w:sz w:val="18"/>
                <w:szCs w:val="18"/>
                <w:color w:val="auto"/>
              </w:rPr>
            </w:pPr>
          </w:p>
        </w:tc>
        <w:tc>
          <w:tcPr>
            <w:tcW w:w="12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969,219</w:t>
            </w:r>
          </w:p>
        </w:tc>
        <w:tc>
          <w:tcPr>
            <w:tcW w:w="80" w:type="dxa"/>
            <w:vAlign w:val="bottom"/>
            <w:tcBorders>
              <w:top w:val="single" w:sz="8" w:color="CCEECC"/>
            </w:tcBorders>
            <w:shd w:val="clear" w:color="auto" w:fill="CCEECC"/>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5480" w:type="dxa"/>
            <w:vAlign w:val="bottom"/>
            <w:shd w:val="clear" w:color="auto" w:fill="CCEECC"/>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CC"/>
          </w:tcPr>
          <w:p>
            <w:pPr>
              <w:spacing w:after="0"/>
              <w:rPr>
                <w:sz w:val="19"/>
                <w:szCs w:val="19"/>
                <w:color w:val="auto"/>
              </w:rPr>
            </w:pPr>
          </w:p>
        </w:tc>
        <w:tc>
          <w:tcPr>
            <w:tcW w:w="130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16,464</w:t>
            </w:r>
          </w:p>
        </w:tc>
        <w:tc>
          <w:tcPr>
            <w:tcW w:w="160" w:type="dxa"/>
            <w:vAlign w:val="bottom"/>
            <w:shd w:val="clear" w:color="auto" w:fill="CCEECC"/>
          </w:tcPr>
          <w:p>
            <w:pPr>
              <w:spacing w:after="0"/>
              <w:rPr>
                <w:sz w:val="19"/>
                <w:szCs w:val="19"/>
                <w:color w:val="auto"/>
              </w:rPr>
            </w:pPr>
          </w:p>
        </w:tc>
        <w:tc>
          <w:tcPr>
            <w:tcW w:w="160" w:type="dxa"/>
            <w:vAlign w:val="bottom"/>
            <w:shd w:val="clear" w:color="auto" w:fill="CCEECC"/>
          </w:tcPr>
          <w:p>
            <w:pPr>
              <w:spacing w:after="0"/>
              <w:rPr>
                <w:sz w:val="19"/>
                <w:szCs w:val="19"/>
                <w:color w:val="auto"/>
              </w:rPr>
            </w:pPr>
          </w:p>
        </w:tc>
        <w:tc>
          <w:tcPr>
            <w:tcW w:w="128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20,685</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480" w:type="dxa"/>
            <w:vAlign w:val="bottom"/>
            <w:shd w:val="clear" w:color="auto" w:fill="CCEECC"/>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CC"/>
          </w:tcPr>
          <w:p>
            <w:pPr>
              <w:spacing w:after="0"/>
              <w:rPr>
                <w:sz w:val="18"/>
                <w:szCs w:val="18"/>
                <w:color w:val="auto"/>
              </w:rPr>
            </w:pPr>
          </w:p>
        </w:tc>
        <w:tc>
          <w:tcPr>
            <w:tcW w:w="12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480" w:type="dxa"/>
            <w:vAlign w:val="bottom"/>
          </w:tcPr>
          <w:p>
            <w:pPr>
              <w:ind w:left="320"/>
              <w:spacing w:after="0"/>
              <w:rPr>
                <w:sz w:val="20"/>
                <w:szCs w:val="20"/>
                <w:color w:val="auto"/>
              </w:rPr>
            </w:pPr>
            <w:r>
              <w:rPr>
                <w:rFonts w:ascii="Arial" w:cs="Arial" w:eastAsia="Arial" w:hAnsi="Arial"/>
                <w:sz w:val="18"/>
                <w:szCs w:val="18"/>
                <w:color w:val="auto"/>
              </w:rPr>
              <w:t>Patent rights, net</w:t>
            </w:r>
          </w:p>
        </w:tc>
        <w:tc>
          <w:tcPr>
            <w:tcW w:w="1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788,890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793,236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4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Web development costs, net</w:t>
            </w:r>
          </w:p>
        </w:tc>
        <w:tc>
          <w:tcPr>
            <w:tcW w:w="160" w:type="dxa"/>
            <w:vAlign w:val="bottom"/>
            <w:shd w:val="clear" w:color="auto" w:fill="CCEECC"/>
          </w:tcPr>
          <w:p>
            <w:pPr>
              <w:spacing w:after="0"/>
              <w:rPr>
                <w:sz w:val="18"/>
                <w:szCs w:val="18"/>
                <w:color w:val="auto"/>
              </w:rPr>
            </w:pPr>
          </w:p>
        </w:tc>
        <w:tc>
          <w:tcPr>
            <w:tcW w:w="130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351,778</w:t>
            </w:r>
          </w:p>
        </w:tc>
        <w:tc>
          <w:tcPr>
            <w:tcW w:w="1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387,215</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5480" w:type="dxa"/>
            <w:vAlign w:val="bottom"/>
          </w:tcPr>
          <w:p>
            <w:pPr>
              <w:ind w:left="320"/>
              <w:spacing w:after="0"/>
              <w:rPr>
                <w:sz w:val="20"/>
                <w:szCs w:val="20"/>
                <w:color w:val="auto"/>
              </w:rPr>
            </w:pPr>
            <w:r>
              <w:rPr>
                <w:rFonts w:ascii="Arial" w:cs="Arial" w:eastAsia="Arial" w:hAnsi="Arial"/>
                <w:sz w:val="18"/>
                <w:szCs w:val="18"/>
                <w:color w:val="auto"/>
              </w:rPr>
              <w:t>Security deposit</w:t>
            </w:r>
          </w:p>
        </w:tc>
        <w:tc>
          <w:tcPr>
            <w:tcW w:w="16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5,049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5,049</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548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Other Assets</w:t>
            </w:r>
          </w:p>
        </w:tc>
        <w:tc>
          <w:tcPr>
            <w:tcW w:w="160" w:type="dxa"/>
            <w:vAlign w:val="bottom"/>
            <w:tcBorders>
              <w:top w:val="single" w:sz="8" w:color="auto"/>
              <w:bottom w:val="single" w:sz="8" w:color="auto"/>
            </w:tcBorders>
            <w:shd w:val="clear" w:color="auto" w:fill="CCEECC"/>
          </w:tcPr>
          <w:p>
            <w:pPr>
              <w:spacing w:after="0"/>
              <w:rPr>
                <w:sz w:val="18"/>
                <w:szCs w:val="18"/>
                <w:color w:val="auto"/>
              </w:rPr>
            </w:pPr>
          </w:p>
        </w:tc>
        <w:tc>
          <w:tcPr>
            <w:tcW w:w="12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1,145,717</w:t>
            </w:r>
          </w:p>
        </w:tc>
        <w:tc>
          <w:tcPr>
            <w:tcW w:w="8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auto"/>
              <w:bottom w:val="single" w:sz="8" w:color="auto"/>
            </w:tcBorders>
            <w:shd w:val="clear" w:color="auto" w:fill="CCEECC"/>
          </w:tcPr>
          <w:p>
            <w:pPr>
              <w:spacing w:after="0"/>
              <w:rPr>
                <w:sz w:val="18"/>
                <w:szCs w:val="18"/>
                <w:color w:val="auto"/>
              </w:rPr>
            </w:pPr>
          </w:p>
        </w:tc>
        <w:tc>
          <w:tcPr>
            <w:tcW w:w="12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1,185,500</w:t>
            </w:r>
          </w:p>
        </w:tc>
        <w:tc>
          <w:tcPr>
            <w:tcW w:w="80" w:type="dxa"/>
            <w:vAlign w:val="bottom"/>
            <w:tcBorders>
              <w:top w:val="single" w:sz="8" w:color="CCEECC"/>
            </w:tcBorders>
            <w:shd w:val="clear" w:color="auto" w:fill="CCEECC"/>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5480" w:type="dxa"/>
            <w:vAlign w:val="bottom"/>
            <w:shd w:val="clear" w:color="auto" w:fill="CCEECC"/>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2,824,116</w:t>
            </w:r>
          </w:p>
        </w:tc>
        <w:tc>
          <w:tcPr>
            <w:tcW w:w="160" w:type="dxa"/>
            <w:vAlign w:val="bottom"/>
            <w:shd w:val="clear" w:color="auto" w:fill="CCEECC"/>
          </w:tcPr>
          <w:p>
            <w:pPr>
              <w:spacing w:after="0"/>
              <w:rPr>
                <w:sz w:val="21"/>
                <w:szCs w:val="21"/>
                <w:color w:val="auto"/>
              </w:rPr>
            </w:pPr>
          </w:p>
        </w:tc>
        <w:tc>
          <w:tcPr>
            <w:tcW w:w="16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2,175,404</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480" w:type="dxa"/>
            <w:vAlign w:val="bottom"/>
            <w:tcBorders>
              <w:top w:val="single" w:sz="8" w:color="CCEE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160" w:type="dxa"/>
            <w:vAlign w:val="bottom"/>
            <w:tcBorders>
              <w:top w:val="single" w:sz="8" w:color="CCEE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4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480" w:type="dxa"/>
            <w:vAlign w:val="bottom"/>
            <w:shd w:val="clear" w:color="auto" w:fill="CCEECC"/>
          </w:tcPr>
          <w:p>
            <w:pPr>
              <w:ind w:left="78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CC"/>
          </w:tcPr>
          <w:p>
            <w:pPr>
              <w:spacing w:after="0"/>
              <w:rPr>
                <w:sz w:val="18"/>
                <w:szCs w:val="18"/>
                <w:color w:val="auto"/>
              </w:rPr>
            </w:pPr>
          </w:p>
        </w:tc>
        <w:tc>
          <w:tcPr>
            <w:tcW w:w="12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480" w:type="dxa"/>
            <w:vAlign w:val="bottom"/>
            <w:shd w:val="clear" w:color="auto" w:fill="CCEECC"/>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CC"/>
          </w:tcPr>
          <w:p>
            <w:pPr>
              <w:spacing w:after="0"/>
              <w:rPr>
                <w:sz w:val="18"/>
                <w:szCs w:val="18"/>
                <w:color w:val="auto"/>
              </w:rPr>
            </w:pPr>
          </w:p>
        </w:tc>
        <w:tc>
          <w:tcPr>
            <w:tcW w:w="12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480" w:type="dxa"/>
            <w:vAlign w:val="bottom"/>
          </w:tcPr>
          <w:p>
            <w:pPr>
              <w:ind w:left="320"/>
              <w:spacing w:after="0"/>
              <w:rPr>
                <w:sz w:val="20"/>
                <w:szCs w:val="20"/>
                <w:color w:val="auto"/>
              </w:rPr>
            </w:pPr>
            <w:r>
              <w:rPr>
                <w:rFonts w:ascii="Arial" w:cs="Arial" w:eastAsia="Arial" w:hAnsi="Arial"/>
                <w:sz w:val="18"/>
                <w:szCs w:val="18"/>
                <w:color w:val="auto"/>
              </w:rPr>
              <w:t>Accounts payable - trade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174,453</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54,693</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4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Accounts payable - related party</w:t>
            </w:r>
          </w:p>
        </w:tc>
        <w:tc>
          <w:tcPr>
            <w:tcW w:w="160" w:type="dxa"/>
            <w:vAlign w:val="bottom"/>
            <w:shd w:val="clear" w:color="auto" w:fill="CCEECC"/>
          </w:tcPr>
          <w:p>
            <w:pPr>
              <w:spacing w:after="0"/>
              <w:rPr>
                <w:sz w:val="18"/>
                <w:szCs w:val="18"/>
                <w:color w:val="auto"/>
              </w:rPr>
            </w:pPr>
          </w:p>
        </w:tc>
        <w:tc>
          <w:tcPr>
            <w:tcW w:w="130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570,000</w:t>
            </w:r>
          </w:p>
        </w:tc>
        <w:tc>
          <w:tcPr>
            <w:tcW w:w="1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570,000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48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6,000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54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CC"/>
          </w:tcPr>
          <w:p>
            <w:pPr>
              <w:spacing w:after="0"/>
              <w:rPr>
                <w:sz w:val="19"/>
                <w:szCs w:val="19"/>
                <w:color w:val="auto"/>
              </w:rPr>
            </w:pPr>
          </w:p>
        </w:tc>
        <w:tc>
          <w:tcPr>
            <w:tcW w:w="130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13,272</w:t>
            </w:r>
          </w:p>
        </w:tc>
        <w:tc>
          <w:tcPr>
            <w:tcW w:w="160" w:type="dxa"/>
            <w:vAlign w:val="bottom"/>
            <w:shd w:val="clear" w:color="auto" w:fill="CCEECC"/>
          </w:tcPr>
          <w:p>
            <w:pPr>
              <w:spacing w:after="0"/>
              <w:rPr>
                <w:sz w:val="19"/>
                <w:szCs w:val="19"/>
                <w:color w:val="auto"/>
              </w:rPr>
            </w:pPr>
          </w:p>
        </w:tc>
        <w:tc>
          <w:tcPr>
            <w:tcW w:w="160" w:type="dxa"/>
            <w:vAlign w:val="bottom"/>
            <w:shd w:val="clear" w:color="auto" w:fill="CCEECC"/>
          </w:tcPr>
          <w:p>
            <w:pPr>
              <w:spacing w:after="0"/>
              <w:rPr>
                <w:sz w:val="19"/>
                <w:szCs w:val="19"/>
                <w:color w:val="auto"/>
              </w:rPr>
            </w:pPr>
          </w:p>
        </w:tc>
        <w:tc>
          <w:tcPr>
            <w:tcW w:w="128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49,252</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5480" w:type="dxa"/>
            <w:vAlign w:val="bottom"/>
            <w:tcBorders>
              <w:bottom w:val="single" w:sz="8" w:color="CCEECC"/>
            </w:tcBorders>
          </w:tcPr>
          <w:p>
            <w:pPr>
              <w:ind w:left="32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757,725</w:t>
            </w:r>
          </w:p>
        </w:tc>
        <w:tc>
          <w:tcPr>
            <w:tcW w:w="80" w:type="dxa"/>
            <w:vAlign w:val="bottom"/>
            <w:tcBorders>
              <w:bottom w:val="single" w:sz="8" w:color="CCEECC"/>
            </w:tcBorders>
          </w:tcPr>
          <w:p>
            <w:pPr>
              <w:spacing w:after="0"/>
              <w:rPr>
                <w:sz w:val="18"/>
                <w:szCs w:val="18"/>
                <w:color w:val="auto"/>
              </w:rPr>
            </w:pPr>
          </w:p>
        </w:tc>
        <w:tc>
          <w:tcPr>
            <w:tcW w:w="160" w:type="dxa"/>
            <w:vAlign w:val="bottom"/>
            <w:tcBorders>
              <w:bottom w:val="single" w:sz="8" w:color="CCEE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679,945</w:t>
            </w:r>
          </w:p>
        </w:tc>
        <w:tc>
          <w:tcPr>
            <w:tcW w:w="80" w:type="dxa"/>
            <w:vAlign w:val="bottom"/>
            <w:tcBorders>
              <w:bottom w:val="single" w:sz="8" w:color="CCEECC"/>
            </w:tcBorders>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54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40" w:type="dxa"/>
            <w:vAlign w:val="bottom"/>
          </w:tcPr>
          <w:p>
            <w:pPr>
              <w:spacing w:after="0"/>
              <w:rPr>
                <w:sz w:val="17"/>
                <w:szCs w:val="17"/>
                <w:color w:val="auto"/>
              </w:rPr>
            </w:pPr>
          </w:p>
        </w:tc>
        <w:tc>
          <w:tcPr>
            <w:tcW w:w="5480" w:type="dxa"/>
            <w:vAlign w:val="bottom"/>
            <w:shd w:val="clear" w:color="auto" w:fill="CCEECC"/>
          </w:tcPr>
          <w:p>
            <w:pPr>
              <w:ind w:left="320"/>
              <w:spacing w:after="0" w:line="201" w:lineRule="exact"/>
              <w:rPr>
                <w:sz w:val="20"/>
                <w:szCs w:val="20"/>
                <w:color w:val="auto"/>
              </w:rPr>
            </w:pPr>
            <w:r>
              <w:rPr>
                <w:rFonts w:ascii="Arial" w:cs="Arial" w:eastAsia="Arial" w:hAnsi="Arial"/>
                <w:sz w:val="18"/>
                <w:szCs w:val="18"/>
                <w:color w:val="auto"/>
                <w:w w:val="99"/>
              </w:rPr>
              <w:t>Common stock, $.001 par value, 500,000,000 shares authorized,</w:t>
            </w:r>
          </w:p>
        </w:tc>
        <w:tc>
          <w:tcPr>
            <w:tcW w:w="160" w:type="dxa"/>
            <w:vAlign w:val="bottom"/>
            <w:shd w:val="clear" w:color="auto" w:fill="CCEECC"/>
          </w:tcPr>
          <w:p>
            <w:pPr>
              <w:spacing w:after="0"/>
              <w:rPr>
                <w:sz w:val="17"/>
                <w:szCs w:val="17"/>
                <w:color w:val="auto"/>
              </w:rPr>
            </w:pPr>
          </w:p>
        </w:tc>
        <w:tc>
          <w:tcPr>
            <w:tcW w:w="12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120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54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14,752,496 and 14,232,496 shares issued and outstanding</w:t>
            </w:r>
          </w:p>
        </w:tc>
        <w:tc>
          <w:tcPr>
            <w:tcW w:w="160" w:type="dxa"/>
            <w:vAlign w:val="bottom"/>
            <w:shd w:val="clear" w:color="auto" w:fill="CCEECC"/>
          </w:tcPr>
          <w:p>
            <w:pPr>
              <w:spacing w:after="0"/>
              <w:rPr>
                <w:sz w:val="20"/>
                <w:szCs w:val="20"/>
                <w:color w:val="auto"/>
              </w:rPr>
            </w:pPr>
          </w:p>
        </w:tc>
        <w:tc>
          <w:tcPr>
            <w:tcW w:w="130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14,752</w:t>
            </w:r>
          </w:p>
        </w:tc>
        <w:tc>
          <w:tcPr>
            <w:tcW w:w="160" w:type="dxa"/>
            <w:vAlign w:val="bottom"/>
            <w:shd w:val="clear" w:color="auto" w:fill="CCEECC"/>
          </w:tcPr>
          <w:p>
            <w:pPr>
              <w:spacing w:after="0"/>
              <w:rPr>
                <w:sz w:val="20"/>
                <w:szCs w:val="20"/>
                <w:color w:val="auto"/>
              </w:rPr>
            </w:pPr>
          </w:p>
        </w:tc>
        <w:tc>
          <w:tcPr>
            <w:tcW w:w="160" w:type="dxa"/>
            <w:vAlign w:val="bottom"/>
            <w:shd w:val="clear" w:color="auto" w:fill="CCEECC"/>
          </w:tcPr>
          <w:p>
            <w:pPr>
              <w:spacing w:after="0"/>
              <w:rPr>
                <w:sz w:val="20"/>
                <w:szCs w:val="20"/>
                <w:color w:val="auto"/>
              </w:rPr>
            </w:pPr>
          </w:p>
        </w:tc>
        <w:tc>
          <w:tcPr>
            <w:tcW w:w="128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14,232</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440" w:type="dxa"/>
            <w:vAlign w:val="bottom"/>
          </w:tcPr>
          <w:p>
            <w:pPr>
              <w:spacing w:after="0"/>
              <w:rPr>
                <w:sz w:val="17"/>
                <w:szCs w:val="17"/>
                <w:color w:val="auto"/>
              </w:rPr>
            </w:pPr>
          </w:p>
        </w:tc>
        <w:tc>
          <w:tcPr>
            <w:tcW w:w="5480" w:type="dxa"/>
            <w:vAlign w:val="bottom"/>
          </w:tcPr>
          <w:p>
            <w:pPr>
              <w:ind w:left="320"/>
              <w:spacing w:after="0" w:line="201" w:lineRule="exact"/>
              <w:rPr>
                <w:sz w:val="20"/>
                <w:szCs w:val="20"/>
                <w:color w:val="auto"/>
              </w:rPr>
            </w:pPr>
            <w:r>
              <w:rPr>
                <w:rFonts w:ascii="Arial" w:cs="Arial" w:eastAsia="Arial" w:hAnsi="Arial"/>
                <w:sz w:val="18"/>
                <w:szCs w:val="18"/>
                <w:color w:val="auto"/>
                <w:w w:val="96"/>
              </w:rPr>
              <w:t>Preferred stock, $.001 par value, 10,000,000 shares authorized, 65</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5480" w:type="dxa"/>
            <w:vAlign w:val="bottom"/>
          </w:tcPr>
          <w:p>
            <w:pPr>
              <w:ind w:left="320"/>
              <w:spacing w:after="0"/>
              <w:rPr>
                <w:sz w:val="20"/>
                <w:szCs w:val="20"/>
                <w:color w:val="auto"/>
              </w:rPr>
            </w:pPr>
            <w:r>
              <w:rPr>
                <w:rFonts w:ascii="Arial" w:cs="Arial" w:eastAsia="Arial" w:hAnsi="Arial"/>
                <w:sz w:val="18"/>
                <w:szCs w:val="18"/>
                <w:color w:val="auto"/>
              </w:rPr>
              <w:t>shares issued and outstanding</w:t>
            </w:r>
          </w:p>
        </w:tc>
        <w:tc>
          <w:tcPr>
            <w:tcW w:w="16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4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Stock warrants</w:t>
            </w:r>
          </w:p>
        </w:tc>
        <w:tc>
          <w:tcPr>
            <w:tcW w:w="160" w:type="dxa"/>
            <w:vAlign w:val="bottom"/>
            <w:shd w:val="clear" w:color="auto" w:fill="CCEECC"/>
          </w:tcPr>
          <w:p>
            <w:pPr>
              <w:spacing w:after="0"/>
              <w:rPr>
                <w:sz w:val="18"/>
                <w:szCs w:val="18"/>
                <w:color w:val="auto"/>
              </w:rPr>
            </w:pPr>
          </w:p>
        </w:tc>
        <w:tc>
          <w:tcPr>
            <w:tcW w:w="130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18,316,826</w:t>
            </w:r>
          </w:p>
        </w:tc>
        <w:tc>
          <w:tcPr>
            <w:tcW w:w="1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20,058,051</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480" w:type="dxa"/>
            <w:vAlign w:val="bottom"/>
          </w:tcPr>
          <w:p>
            <w:pPr>
              <w:ind w:left="320"/>
              <w:spacing w:after="0"/>
              <w:rPr>
                <w:sz w:val="20"/>
                <w:szCs w:val="20"/>
                <w:color w:val="auto"/>
              </w:rPr>
            </w:pPr>
            <w:r>
              <w:rPr>
                <w:rFonts w:ascii="Arial" w:cs="Arial" w:eastAsia="Arial" w:hAnsi="Arial"/>
                <w:sz w:val="18"/>
                <w:szCs w:val="18"/>
                <w:color w:val="auto"/>
              </w:rPr>
              <w:t>Additional paid-in-capital</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8,449,271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6,164,666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4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Deferred stock compensation</w:t>
            </w:r>
          </w:p>
        </w:tc>
        <w:tc>
          <w:tcPr>
            <w:tcW w:w="160" w:type="dxa"/>
            <w:vAlign w:val="bottom"/>
            <w:shd w:val="clear" w:color="auto" w:fill="CCEECC"/>
          </w:tcPr>
          <w:p>
            <w:pPr>
              <w:spacing w:after="0"/>
              <w:rPr>
                <w:sz w:val="18"/>
                <w:szCs w:val="18"/>
                <w:color w:val="auto"/>
              </w:rPr>
            </w:pPr>
          </w:p>
        </w:tc>
        <w:tc>
          <w:tcPr>
            <w:tcW w:w="13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(233,077)</w:t>
            </w:r>
          </w:p>
        </w:tc>
        <w:tc>
          <w:tcPr>
            <w:tcW w:w="1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5480" w:type="dxa"/>
            <w:vAlign w:val="bottom"/>
          </w:tcPr>
          <w:p>
            <w:pPr>
              <w:ind w:left="32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(24,481,381)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(24,741,490)</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548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CEECC"/>
          </w:tcPr>
          <w:p>
            <w:pPr>
              <w:spacing w:after="0"/>
              <w:rPr>
                <w:sz w:val="18"/>
                <w:szCs w:val="18"/>
                <w:color w:val="auto"/>
              </w:rPr>
            </w:pPr>
          </w:p>
        </w:tc>
        <w:tc>
          <w:tcPr>
            <w:tcW w:w="12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2,066,391</w:t>
            </w:r>
          </w:p>
        </w:tc>
        <w:tc>
          <w:tcPr>
            <w:tcW w:w="8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auto"/>
              <w:bottom w:val="single" w:sz="8" w:color="auto"/>
            </w:tcBorders>
            <w:shd w:val="clear" w:color="auto" w:fill="CCEECC"/>
          </w:tcPr>
          <w:p>
            <w:pPr>
              <w:spacing w:after="0"/>
              <w:rPr>
                <w:sz w:val="18"/>
                <w:szCs w:val="18"/>
                <w:color w:val="auto"/>
              </w:rPr>
            </w:pPr>
          </w:p>
        </w:tc>
        <w:tc>
          <w:tcPr>
            <w:tcW w:w="12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1,495,459</w:t>
            </w:r>
          </w:p>
        </w:tc>
        <w:tc>
          <w:tcPr>
            <w:tcW w:w="80" w:type="dxa"/>
            <w:vAlign w:val="bottom"/>
            <w:tcBorders>
              <w:top w:val="single" w:sz="8" w:color="CCEECC"/>
            </w:tcBorders>
            <w:shd w:val="clear" w:color="auto" w:fill="CCEECC"/>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5480" w:type="dxa"/>
            <w:vAlign w:val="bottom"/>
            <w:shd w:val="clear" w:color="auto" w:fill="CCEECC"/>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2,824,116</w:t>
            </w:r>
          </w:p>
        </w:tc>
        <w:tc>
          <w:tcPr>
            <w:tcW w:w="160" w:type="dxa"/>
            <w:vAlign w:val="bottom"/>
            <w:shd w:val="clear" w:color="auto" w:fill="CCEECC"/>
          </w:tcPr>
          <w:p>
            <w:pPr>
              <w:spacing w:after="0"/>
              <w:rPr>
                <w:sz w:val="21"/>
                <w:szCs w:val="21"/>
                <w:color w:val="auto"/>
              </w:rPr>
            </w:pPr>
          </w:p>
        </w:tc>
        <w:tc>
          <w:tcPr>
            <w:tcW w:w="16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2,175,404</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480" w:type="dxa"/>
            <w:vAlign w:val="bottom"/>
            <w:tcBorders>
              <w:top w:val="single" w:sz="8" w:color="CCEECC"/>
            </w:tcBorders>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160" w:type="dxa"/>
            <w:vAlign w:val="bottom"/>
            <w:tcBorders>
              <w:top w:val="single" w:sz="8" w:color="CCEE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440" w:type="dxa"/>
            <w:vAlign w:val="bottom"/>
          </w:tcPr>
          <w:p>
            <w:pPr>
              <w:spacing w:after="0"/>
              <w:rPr>
                <w:sz w:val="24"/>
                <w:szCs w:val="24"/>
                <w:color w:val="auto"/>
              </w:rPr>
            </w:pPr>
          </w:p>
        </w:tc>
        <w:tc>
          <w:tcPr>
            <w:tcW w:w="7100" w:type="dxa"/>
            <w:vAlign w:val="bottom"/>
            <w:gridSpan w:val="5"/>
          </w:tcPr>
          <w:p>
            <w:pPr>
              <w:ind w:left="1620"/>
              <w:spacing w:after="0"/>
              <w:rPr>
                <w:sz w:val="20"/>
                <w:szCs w:val="20"/>
                <w:color w:val="auto"/>
              </w:rPr>
            </w:pPr>
            <w:r>
              <w:rPr>
                <w:rFonts w:ascii="Arial" w:cs="Arial" w:eastAsia="Arial" w:hAnsi="Arial"/>
                <w:sz w:val="18"/>
                <w:szCs w:val="18"/>
                <w:color w:val="auto"/>
                <w:w w:val="91"/>
              </w:rPr>
              <w:t>The accompanying notes are an integral part of these financial statements.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440" w:type="dxa"/>
            <w:vAlign w:val="bottom"/>
            <w:tcBorders>
              <w:bottom w:val="single" w:sz="8" w:color="auto"/>
            </w:tcBorders>
          </w:tcPr>
          <w:p>
            <w:pPr>
              <w:spacing w:after="0"/>
              <w:rPr>
                <w:sz w:val="16"/>
                <w:szCs w:val="16"/>
                <w:color w:val="auto"/>
              </w:rPr>
            </w:pPr>
          </w:p>
        </w:tc>
        <w:tc>
          <w:tcPr>
            <w:tcW w:w="54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440" w:type="dxa"/>
            <w:vAlign w:val="bottom"/>
          </w:tcPr>
          <w:p>
            <w:pPr>
              <w:spacing w:after="0"/>
              <w:rPr>
                <w:sz w:val="19"/>
                <w:szCs w:val="19"/>
                <w:color w:val="auto"/>
              </w:rPr>
            </w:pPr>
          </w:p>
        </w:tc>
        <w:tc>
          <w:tcPr>
            <w:tcW w:w="5480" w:type="dxa"/>
            <w:vAlign w:val="bottom"/>
          </w:tcPr>
          <w:p>
            <w:pPr>
              <w:ind w:left="4140"/>
              <w:spacing w:after="0"/>
              <w:rPr>
                <w:sz w:val="20"/>
                <w:szCs w:val="20"/>
                <w:color w:val="auto"/>
              </w:rPr>
            </w:pPr>
            <w:r>
              <w:rPr>
                <w:rFonts w:ascii="Arial" w:cs="Arial" w:eastAsia="Arial" w:hAnsi="Arial"/>
                <w:sz w:val="18"/>
                <w:szCs w:val="18"/>
                <w:color w:val="auto"/>
              </w:rPr>
              <w:t>F-1</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26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THREE AND NINE MONTHS ENDED SEPTEMBER 30, 2013 AND 2012</w:t>
      </w:r>
    </w:p>
    <w:p>
      <w:pPr>
        <w:spacing w:after="0" w:line="21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7"/>
          </w:tcPr>
          <w:p>
            <w:pPr>
              <w:jc w:val="center"/>
              <w:ind w:right="280"/>
              <w:spacing w:after="0"/>
              <w:rPr>
                <w:sz w:val="20"/>
                <w:szCs w:val="20"/>
                <w:color w:val="auto"/>
              </w:rPr>
            </w:pPr>
            <w:r>
              <w:rPr>
                <w:rFonts w:ascii="Arial" w:cs="Arial" w:eastAsia="Arial" w:hAnsi="Arial"/>
                <w:sz w:val="18"/>
                <w:szCs w:val="18"/>
                <w:color w:val="auto"/>
                <w:w w:val="88"/>
              </w:rPr>
              <w:t>For the three months ended</w:t>
            </w:r>
          </w:p>
        </w:tc>
        <w:tc>
          <w:tcPr>
            <w:tcW w:w="100" w:type="dxa"/>
            <w:vAlign w:val="bottom"/>
          </w:tcPr>
          <w:p>
            <w:pPr>
              <w:spacing w:after="0"/>
              <w:rPr>
                <w:sz w:val="18"/>
                <w:szCs w:val="18"/>
                <w:color w:val="auto"/>
              </w:rPr>
            </w:pPr>
          </w:p>
        </w:tc>
        <w:tc>
          <w:tcPr>
            <w:tcW w:w="2100" w:type="dxa"/>
            <w:vAlign w:val="bottom"/>
            <w:gridSpan w:val="7"/>
          </w:tcPr>
          <w:p>
            <w:pPr>
              <w:jc w:val="right"/>
              <w:ind w:right="140"/>
              <w:spacing w:after="0"/>
              <w:rPr>
                <w:sz w:val="20"/>
                <w:szCs w:val="20"/>
                <w:color w:val="auto"/>
              </w:rPr>
            </w:pPr>
            <w:r>
              <w:rPr>
                <w:rFonts w:ascii="Arial" w:cs="Arial" w:eastAsia="Arial" w:hAnsi="Arial"/>
                <w:sz w:val="18"/>
                <w:szCs w:val="18"/>
                <w:color w:val="auto"/>
                <w:w w:val="90"/>
              </w:rPr>
              <w:t>For the nine months ended</w:t>
            </w:r>
          </w:p>
        </w:tc>
      </w:tr>
      <w:tr>
        <w:trPr>
          <w:trHeight w:val="230"/>
        </w:trPr>
        <w:tc>
          <w:tcPr>
            <w:tcW w:w="3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gridSpan w:val="7"/>
          </w:tcPr>
          <w:p>
            <w:pPr>
              <w:jc w:val="center"/>
              <w:ind w:right="280"/>
              <w:spacing w:after="0"/>
              <w:rPr>
                <w:sz w:val="20"/>
                <w:szCs w:val="20"/>
                <w:color w:val="auto"/>
              </w:rPr>
            </w:pPr>
            <w:r>
              <w:rPr>
                <w:rFonts w:ascii="Arial" w:cs="Arial" w:eastAsia="Arial" w:hAnsi="Arial"/>
                <w:sz w:val="18"/>
                <w:szCs w:val="18"/>
                <w:color w:val="auto"/>
                <w:w w:val="88"/>
              </w:rPr>
              <w:t>September 30,</w:t>
            </w:r>
          </w:p>
        </w:tc>
        <w:tc>
          <w:tcPr>
            <w:tcW w:w="100" w:type="dxa"/>
            <w:vAlign w:val="bottom"/>
          </w:tcPr>
          <w:p>
            <w:pPr>
              <w:spacing w:after="0"/>
              <w:rPr>
                <w:sz w:val="19"/>
                <w:szCs w:val="19"/>
                <w:color w:val="auto"/>
              </w:rPr>
            </w:pPr>
          </w:p>
        </w:tc>
        <w:tc>
          <w:tcPr>
            <w:tcW w:w="2100" w:type="dxa"/>
            <w:vAlign w:val="bottom"/>
            <w:gridSpan w:val="7"/>
          </w:tcPr>
          <w:p>
            <w:pPr>
              <w:jc w:val="right"/>
              <w:ind w:right="580"/>
              <w:spacing w:after="0"/>
              <w:rPr>
                <w:sz w:val="20"/>
                <w:szCs w:val="20"/>
                <w:color w:val="auto"/>
              </w:rPr>
            </w:pPr>
            <w:r>
              <w:rPr>
                <w:rFonts w:ascii="Arial" w:cs="Arial" w:eastAsia="Arial" w:hAnsi="Arial"/>
                <w:sz w:val="18"/>
                <w:szCs w:val="18"/>
                <w:color w:val="auto"/>
              </w:rPr>
              <w:t>September 30,</w:t>
            </w:r>
          </w:p>
        </w:tc>
      </w:tr>
      <w:tr>
        <w:trPr>
          <w:trHeight w:val="230"/>
        </w:trPr>
        <w:tc>
          <w:tcPr>
            <w:tcW w:w="3940" w:type="dxa"/>
            <w:vAlign w:val="bottom"/>
            <w:tcBorders>
              <w:bottom w:val="single" w:sz="8" w:color="CCEE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2013</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CCEE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2012</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CCEE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2013</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CCEE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2012</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r>
      <w:tr>
        <w:trPr>
          <w:trHeight w:val="196"/>
        </w:trPr>
        <w:tc>
          <w:tcPr>
            <w:tcW w:w="3940" w:type="dxa"/>
            <w:vAlign w:val="bottom"/>
            <w:shd w:val="clear" w:color="auto" w:fill="CCEECC"/>
          </w:tcPr>
          <w:p>
            <w:pPr>
              <w:ind w:left="120"/>
              <w:spacing w:after="0" w:line="196" w:lineRule="exact"/>
              <w:rPr>
                <w:sz w:val="20"/>
                <w:szCs w:val="20"/>
                <w:color w:val="auto"/>
              </w:rPr>
            </w:pPr>
            <w:r>
              <w:rPr>
                <w:rFonts w:ascii="Arial" w:cs="Arial" w:eastAsia="Arial" w:hAnsi="Arial"/>
                <w:sz w:val="18"/>
                <w:szCs w:val="18"/>
                <w:color w:val="auto"/>
              </w:rPr>
              <w:t>REVENUE</w:t>
            </w:r>
          </w:p>
        </w:tc>
        <w:tc>
          <w:tcPr>
            <w:tcW w:w="120" w:type="dxa"/>
            <w:vAlign w:val="bottom"/>
            <w:shd w:val="clear" w:color="auto" w:fill="CCEECC"/>
          </w:tcPr>
          <w:p>
            <w:pPr>
              <w:spacing w:after="0"/>
              <w:rPr>
                <w:sz w:val="17"/>
                <w:szCs w:val="17"/>
                <w:color w:val="auto"/>
              </w:rPr>
            </w:pPr>
          </w:p>
        </w:tc>
        <w:tc>
          <w:tcPr>
            <w:tcW w:w="8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8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8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82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r>
      <w:tr>
        <w:trPr>
          <w:trHeight w:val="216"/>
        </w:trPr>
        <w:tc>
          <w:tcPr>
            <w:tcW w:w="3940" w:type="dxa"/>
            <w:vAlign w:val="bottom"/>
          </w:tcPr>
          <w:p>
            <w:pPr>
              <w:ind w:left="320"/>
              <w:spacing w:after="0"/>
              <w:rPr>
                <w:sz w:val="20"/>
                <w:szCs w:val="20"/>
                <w:color w:val="auto"/>
              </w:rPr>
            </w:pPr>
            <w:r>
              <w:rPr>
                <w:rFonts w:ascii="Arial" w:cs="Arial" w:eastAsia="Arial" w:hAnsi="Arial"/>
                <w:sz w:val="18"/>
                <w:szCs w:val="18"/>
                <w:color w:val="auto"/>
              </w:rPr>
              <w:t>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1,373,029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453,154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3,146,406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1,297,980</w:t>
            </w:r>
          </w:p>
        </w:tc>
        <w:tc>
          <w:tcPr>
            <w:tcW w:w="60" w:type="dxa"/>
            <w:vAlign w:val="bottom"/>
          </w:tcPr>
          <w:p>
            <w:pPr>
              <w:spacing w:after="0"/>
              <w:rPr>
                <w:sz w:val="18"/>
                <w:szCs w:val="18"/>
                <w:color w:val="auto"/>
              </w:rPr>
            </w:pPr>
          </w:p>
        </w:tc>
      </w:tr>
      <w:tr>
        <w:trPr>
          <w:trHeight w:val="230"/>
        </w:trPr>
        <w:tc>
          <w:tcPr>
            <w:tcW w:w="39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1,373,029</w:t>
            </w:r>
          </w:p>
        </w:tc>
        <w:tc>
          <w:tcPr>
            <w:tcW w:w="16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453,154</w:t>
            </w:r>
          </w:p>
        </w:tc>
        <w:tc>
          <w:tcPr>
            <w:tcW w:w="16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3,146,406</w:t>
            </w:r>
          </w:p>
        </w:tc>
        <w:tc>
          <w:tcPr>
            <w:tcW w:w="16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8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w w:val="99"/>
              </w:rPr>
              <w:t>1,297,980</w:t>
            </w:r>
          </w:p>
        </w:tc>
        <w:tc>
          <w:tcPr>
            <w:tcW w:w="60" w:type="dxa"/>
            <w:vAlign w:val="bottom"/>
            <w:shd w:val="clear" w:color="auto" w:fill="CCEECC"/>
          </w:tcPr>
          <w:p>
            <w:pPr>
              <w:spacing w:after="0"/>
              <w:rPr>
                <w:sz w:val="19"/>
                <w:szCs w:val="19"/>
                <w:color w:val="auto"/>
              </w:rPr>
            </w:pPr>
          </w:p>
        </w:tc>
      </w:tr>
      <w:tr>
        <w:trPr>
          <w:trHeight w:val="196"/>
        </w:trPr>
        <w:tc>
          <w:tcPr>
            <w:tcW w:w="39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940" w:type="dxa"/>
            <w:vAlign w:val="bottom"/>
            <w:shd w:val="clear" w:color="auto" w:fill="CCEECC"/>
          </w:tcPr>
          <w:p>
            <w:pPr>
              <w:ind w:left="120"/>
              <w:spacing w:after="0"/>
              <w:rPr>
                <w:sz w:val="20"/>
                <w:szCs w:val="20"/>
                <w:color w:val="auto"/>
              </w:rPr>
            </w:pPr>
            <w:r>
              <w:rPr>
                <w:rFonts w:ascii="Arial" w:cs="Arial" w:eastAsia="Arial" w:hAnsi="Arial"/>
                <w:sz w:val="18"/>
                <w:szCs w:val="18"/>
                <w:color w:val="auto"/>
              </w:rPr>
              <w:t>EXPENSES</w:t>
            </w:r>
          </w:p>
        </w:tc>
        <w:tc>
          <w:tcPr>
            <w:tcW w:w="12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r>
      <w:tr>
        <w:trPr>
          <w:trHeight w:val="216"/>
        </w:trPr>
        <w:tc>
          <w:tcPr>
            <w:tcW w:w="3940" w:type="dxa"/>
            <w:vAlign w:val="bottom"/>
          </w:tcPr>
          <w:p>
            <w:pPr>
              <w:ind w:left="320"/>
              <w:spacing w:after="0"/>
              <w:rPr>
                <w:sz w:val="20"/>
                <w:szCs w:val="20"/>
                <w:color w:val="auto"/>
              </w:rPr>
            </w:pPr>
            <w:r>
              <w:rPr>
                <w:rFonts w:ascii="Arial" w:cs="Arial" w:eastAsia="Arial" w:hAnsi="Arial"/>
                <w:sz w:val="18"/>
                <w:szCs w:val="18"/>
                <w:color w:val="auto"/>
              </w:rPr>
              <w:t>Operating expenses (See Note 17)</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1,362,335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559,305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2,886,473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1,781,257</w:t>
            </w:r>
          </w:p>
        </w:tc>
        <w:tc>
          <w:tcPr>
            <w:tcW w:w="60" w:type="dxa"/>
            <w:vAlign w:val="bottom"/>
          </w:tcPr>
          <w:p>
            <w:pPr>
              <w:spacing w:after="0"/>
              <w:rPr>
                <w:sz w:val="18"/>
                <w:szCs w:val="18"/>
                <w:color w:val="auto"/>
              </w:rPr>
            </w:pPr>
          </w:p>
        </w:tc>
      </w:tr>
      <w:tr>
        <w:trPr>
          <w:trHeight w:val="230"/>
        </w:trPr>
        <w:tc>
          <w:tcPr>
            <w:tcW w:w="39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TOTAL EXPENSES</w:t>
            </w:r>
          </w:p>
        </w:tc>
        <w:tc>
          <w:tcPr>
            <w:tcW w:w="12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1,362,335</w:t>
            </w:r>
          </w:p>
        </w:tc>
        <w:tc>
          <w:tcPr>
            <w:tcW w:w="16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559,305</w:t>
            </w:r>
          </w:p>
        </w:tc>
        <w:tc>
          <w:tcPr>
            <w:tcW w:w="16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2,886,473</w:t>
            </w:r>
          </w:p>
        </w:tc>
        <w:tc>
          <w:tcPr>
            <w:tcW w:w="16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8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w w:val="99"/>
              </w:rPr>
              <w:t>1,781,257</w:t>
            </w:r>
          </w:p>
        </w:tc>
        <w:tc>
          <w:tcPr>
            <w:tcW w:w="60" w:type="dxa"/>
            <w:vAlign w:val="bottom"/>
            <w:shd w:val="clear" w:color="auto" w:fill="CCEECC"/>
          </w:tcPr>
          <w:p>
            <w:pPr>
              <w:spacing w:after="0"/>
              <w:rPr>
                <w:sz w:val="19"/>
                <w:szCs w:val="19"/>
                <w:color w:val="auto"/>
              </w:rPr>
            </w:pPr>
          </w:p>
        </w:tc>
      </w:tr>
      <w:tr>
        <w:trPr>
          <w:trHeight w:val="196"/>
        </w:trPr>
        <w:tc>
          <w:tcPr>
            <w:tcW w:w="39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3940" w:type="dxa"/>
            <w:vAlign w:val="bottom"/>
            <w:shd w:val="clear" w:color="auto" w:fill="CCEECC"/>
          </w:tcPr>
          <w:p>
            <w:pPr>
              <w:ind w:left="120"/>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10,694</w:t>
            </w:r>
          </w:p>
        </w:tc>
        <w:tc>
          <w:tcPr>
            <w:tcW w:w="16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(106,151)</w:t>
            </w:r>
          </w:p>
        </w:tc>
        <w:tc>
          <w:tcPr>
            <w:tcW w:w="16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259,933</w:t>
            </w:r>
          </w:p>
        </w:tc>
        <w:tc>
          <w:tcPr>
            <w:tcW w:w="16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900" w:type="dxa"/>
            <w:vAlign w:val="bottom"/>
            <w:gridSpan w:val="3"/>
            <w:shd w:val="clear" w:color="auto" w:fill="CCEECC"/>
          </w:tcPr>
          <w:p>
            <w:pPr>
              <w:jc w:val="right"/>
              <w:ind w:right="20"/>
              <w:spacing w:after="0"/>
              <w:rPr>
                <w:sz w:val="20"/>
                <w:szCs w:val="20"/>
                <w:color w:val="auto"/>
              </w:rPr>
            </w:pPr>
            <w:r>
              <w:rPr>
                <w:rFonts w:ascii="Arial" w:cs="Arial" w:eastAsia="Arial" w:hAnsi="Arial"/>
                <w:sz w:val="18"/>
                <w:szCs w:val="18"/>
                <w:color w:val="auto"/>
              </w:rPr>
              <w:t>(483,277)</w:t>
            </w:r>
          </w:p>
        </w:tc>
      </w:tr>
      <w:tr>
        <w:trPr>
          <w:trHeight w:val="196"/>
        </w:trPr>
        <w:tc>
          <w:tcPr>
            <w:tcW w:w="39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940" w:type="dxa"/>
            <w:vAlign w:val="bottom"/>
            <w:shd w:val="clear" w:color="auto" w:fill="CCEECC"/>
          </w:tcPr>
          <w:p>
            <w:pPr>
              <w:ind w:left="100"/>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r>
      <w:tr>
        <w:trPr>
          <w:trHeight w:val="216"/>
        </w:trPr>
        <w:tc>
          <w:tcPr>
            <w:tcW w:w="3940" w:type="dxa"/>
            <w:vAlign w:val="bottom"/>
          </w:tcPr>
          <w:p>
            <w:pPr>
              <w:ind w:left="30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408</w:t>
            </w:r>
          </w:p>
        </w:tc>
        <w:tc>
          <w:tcPr>
            <w:tcW w:w="60" w:type="dxa"/>
            <w:vAlign w:val="bottom"/>
          </w:tcPr>
          <w:p>
            <w:pPr>
              <w:spacing w:after="0"/>
              <w:rPr>
                <w:sz w:val="18"/>
                <w:szCs w:val="18"/>
                <w:color w:val="auto"/>
              </w:rPr>
            </w:pPr>
          </w:p>
        </w:tc>
      </w:tr>
      <w:tr>
        <w:trPr>
          <w:trHeight w:val="230"/>
        </w:trPr>
        <w:tc>
          <w:tcPr>
            <w:tcW w:w="3940" w:type="dxa"/>
            <w:vAlign w:val="bottom"/>
            <w:shd w:val="clear" w:color="auto" w:fill="CCEECC"/>
          </w:tcPr>
          <w:p>
            <w:pPr>
              <w:ind w:left="30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900" w:type="dxa"/>
            <w:vAlign w:val="bottom"/>
            <w:gridSpan w:val="3"/>
            <w:shd w:val="clear" w:color="auto" w:fill="CCEECC"/>
          </w:tcPr>
          <w:p>
            <w:pPr>
              <w:jc w:val="right"/>
              <w:ind w:right="20"/>
              <w:spacing w:after="0"/>
              <w:rPr>
                <w:sz w:val="20"/>
                <w:szCs w:val="20"/>
                <w:color w:val="auto"/>
              </w:rPr>
            </w:pPr>
            <w:r>
              <w:rPr>
                <w:rFonts w:ascii="Arial" w:cs="Arial" w:eastAsia="Arial" w:hAnsi="Arial"/>
                <w:sz w:val="18"/>
                <w:szCs w:val="18"/>
                <w:color w:val="auto"/>
              </w:rPr>
              <w:t>(100)</w:t>
            </w:r>
          </w:p>
        </w:tc>
      </w:tr>
      <w:tr>
        <w:trPr>
          <w:trHeight w:val="210"/>
        </w:trPr>
        <w:tc>
          <w:tcPr>
            <w:tcW w:w="3940" w:type="dxa"/>
            <w:vAlign w:val="bottom"/>
            <w:tcBorders>
              <w:bottom w:val="single" w:sz="8" w:color="CCEECC"/>
            </w:tcBorders>
          </w:tcPr>
          <w:p>
            <w:pPr>
              <w:ind w:left="300"/>
              <w:spacing w:after="0"/>
              <w:rPr>
                <w:sz w:val="20"/>
                <w:szCs w:val="20"/>
                <w:color w:val="auto"/>
              </w:rPr>
            </w:pPr>
            <w:r>
              <w:rPr>
                <w:rFonts w:ascii="Arial" w:cs="Arial" w:eastAsia="Arial" w:hAnsi="Arial"/>
                <w:sz w:val="18"/>
                <w:szCs w:val="18"/>
                <w:color w:val="auto"/>
              </w:rPr>
              <w:t>TOTAL OTHER INCOME (EXPENSE)</w:t>
            </w: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80" w:type="dxa"/>
            <w:vAlign w:val="bottom"/>
            <w:tcBorders>
              <w:bottom w:val="single" w:sz="8" w:color="CCEECC"/>
            </w:tcBorders>
          </w:tcPr>
          <w:p>
            <w:pPr>
              <w:spacing w:after="0"/>
              <w:rPr>
                <w:sz w:val="18"/>
                <w:szCs w:val="18"/>
                <w:color w:val="auto"/>
              </w:rPr>
            </w:pPr>
          </w:p>
        </w:tc>
        <w:tc>
          <w:tcPr>
            <w:tcW w:w="160" w:type="dxa"/>
            <w:vAlign w:val="bottom"/>
            <w:tcBorders>
              <w:bottom w:val="single" w:sz="8" w:color="CCEE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CC"/>
            </w:tcBorders>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CEE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80" w:type="dxa"/>
            <w:vAlign w:val="bottom"/>
            <w:tcBorders>
              <w:bottom w:val="single" w:sz="8" w:color="CCEECC"/>
            </w:tcBorders>
          </w:tcPr>
          <w:p>
            <w:pPr>
              <w:spacing w:after="0"/>
              <w:rPr>
                <w:sz w:val="18"/>
                <w:szCs w:val="18"/>
                <w:color w:val="auto"/>
              </w:rPr>
            </w:pPr>
          </w:p>
        </w:tc>
        <w:tc>
          <w:tcPr>
            <w:tcW w:w="160" w:type="dxa"/>
            <w:vAlign w:val="bottom"/>
            <w:tcBorders>
              <w:bottom w:val="single" w:sz="8" w:color="CCEE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20" w:type="dxa"/>
            <w:vAlign w:val="bottom"/>
            <w:tcBorders>
              <w:bottom w:val="single" w:sz="8" w:color="CCEECC"/>
            </w:tcBorders>
          </w:tcPr>
          <w:p>
            <w:pPr>
              <w:spacing w:after="0"/>
              <w:rPr>
                <w:sz w:val="18"/>
                <w:szCs w:val="18"/>
                <w:color w:val="auto"/>
              </w:rPr>
            </w:pPr>
          </w:p>
        </w:tc>
        <w:tc>
          <w:tcPr>
            <w:tcW w:w="60" w:type="dxa"/>
            <w:vAlign w:val="bottom"/>
            <w:tcBorders>
              <w:bottom w:val="single" w:sz="8" w:color="CCEECC"/>
            </w:tcBorders>
          </w:tcPr>
          <w:p>
            <w:pPr>
              <w:spacing w:after="0"/>
              <w:rPr>
                <w:sz w:val="18"/>
                <w:szCs w:val="18"/>
                <w:color w:val="auto"/>
              </w:rPr>
            </w:pPr>
          </w:p>
        </w:tc>
      </w:tr>
      <w:tr>
        <w:trPr>
          <w:trHeight w:val="196"/>
        </w:trPr>
        <w:tc>
          <w:tcPr>
            <w:tcW w:w="394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8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8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8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82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r>
      <w:tr>
        <w:trPr>
          <w:trHeight w:val="202"/>
        </w:trPr>
        <w:tc>
          <w:tcPr>
            <w:tcW w:w="3940" w:type="dxa"/>
            <w:vAlign w:val="bottom"/>
          </w:tcPr>
          <w:p>
            <w:pPr>
              <w:ind w:left="100"/>
              <w:spacing w:after="0" w:line="201" w:lineRule="exact"/>
              <w:rPr>
                <w:sz w:val="20"/>
                <w:szCs w:val="20"/>
                <w:color w:val="auto"/>
              </w:rPr>
            </w:pPr>
            <w:r>
              <w:rPr>
                <w:rFonts w:ascii="Arial" w:cs="Arial" w:eastAsia="Arial" w:hAnsi="Arial"/>
                <w:sz w:val="18"/>
                <w:szCs w:val="18"/>
                <w:color w:val="auto"/>
              </w:rPr>
              <w:t>INCOME (LOSS) BEFORE PROVISION FOR</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3940" w:type="dxa"/>
            <w:vAlign w:val="bottom"/>
          </w:tcPr>
          <w:p>
            <w:pPr>
              <w:ind w:left="10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10,776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(106,174)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260,109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(482,969)</w:t>
            </w:r>
          </w:p>
        </w:tc>
      </w:tr>
      <w:tr>
        <w:trPr>
          <w:trHeight w:val="203"/>
        </w:trPr>
        <w:tc>
          <w:tcPr>
            <w:tcW w:w="394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8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8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8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82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r>
      <w:tr>
        <w:trPr>
          <w:trHeight w:val="230"/>
        </w:trPr>
        <w:tc>
          <w:tcPr>
            <w:tcW w:w="3940" w:type="dxa"/>
            <w:vAlign w:val="bottom"/>
          </w:tcPr>
          <w:p>
            <w:pPr>
              <w:ind w:left="100"/>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r>
      <w:tr>
        <w:trPr>
          <w:trHeight w:val="196"/>
        </w:trPr>
        <w:tc>
          <w:tcPr>
            <w:tcW w:w="3940" w:type="dxa"/>
            <w:vAlign w:val="bottom"/>
            <w:tcBorders>
              <w:top w:val="single" w:sz="8" w:color="CCEECC"/>
            </w:tcBorders>
            <w:shd w:val="clear" w:color="auto" w:fill="CCEECC"/>
          </w:tcPr>
          <w:p>
            <w:pPr>
              <w:spacing w:after="0"/>
              <w:rPr>
                <w:sz w:val="17"/>
                <w:szCs w:val="17"/>
                <w:color w:val="auto"/>
              </w:rPr>
            </w:pPr>
          </w:p>
        </w:tc>
        <w:tc>
          <w:tcPr>
            <w:tcW w:w="120" w:type="dxa"/>
            <w:vAlign w:val="bottom"/>
            <w:tcBorders>
              <w:top w:val="single" w:sz="8" w:color="auto"/>
            </w:tcBorders>
            <w:shd w:val="clear" w:color="auto" w:fill="CCEECC"/>
          </w:tcPr>
          <w:p>
            <w:pPr>
              <w:spacing w:after="0"/>
              <w:rPr>
                <w:sz w:val="17"/>
                <w:szCs w:val="17"/>
                <w:color w:val="auto"/>
              </w:rPr>
            </w:pPr>
          </w:p>
        </w:tc>
        <w:tc>
          <w:tcPr>
            <w:tcW w:w="840" w:type="dxa"/>
            <w:vAlign w:val="bottom"/>
            <w:tcBorders>
              <w:top w:val="single" w:sz="8" w:color="auto"/>
            </w:tcBorders>
            <w:shd w:val="clear" w:color="auto" w:fill="CCEECC"/>
          </w:tcPr>
          <w:p>
            <w:pPr>
              <w:spacing w:after="0"/>
              <w:rPr>
                <w:sz w:val="17"/>
                <w:szCs w:val="17"/>
                <w:color w:val="auto"/>
              </w:rPr>
            </w:pPr>
          </w:p>
        </w:tc>
        <w:tc>
          <w:tcPr>
            <w:tcW w:w="80" w:type="dxa"/>
            <w:vAlign w:val="bottom"/>
            <w:tcBorders>
              <w:top w:val="single" w:sz="8" w:color="CCEECC"/>
            </w:tcBorders>
            <w:shd w:val="clear" w:color="auto" w:fill="CCEECC"/>
          </w:tcPr>
          <w:p>
            <w:pPr>
              <w:spacing w:after="0"/>
              <w:rPr>
                <w:sz w:val="17"/>
                <w:szCs w:val="17"/>
                <w:color w:val="auto"/>
              </w:rPr>
            </w:pPr>
          </w:p>
        </w:tc>
        <w:tc>
          <w:tcPr>
            <w:tcW w:w="160" w:type="dxa"/>
            <w:vAlign w:val="bottom"/>
            <w:tcBorders>
              <w:top w:val="single" w:sz="8" w:color="CCEECC"/>
            </w:tcBorders>
            <w:shd w:val="clear" w:color="auto" w:fill="CCEECC"/>
          </w:tcPr>
          <w:p>
            <w:pPr>
              <w:spacing w:after="0"/>
              <w:rPr>
                <w:sz w:val="17"/>
                <w:szCs w:val="17"/>
                <w:color w:val="auto"/>
              </w:rPr>
            </w:pPr>
          </w:p>
        </w:tc>
        <w:tc>
          <w:tcPr>
            <w:tcW w:w="120" w:type="dxa"/>
            <w:vAlign w:val="bottom"/>
            <w:tcBorders>
              <w:top w:val="single" w:sz="8" w:color="auto"/>
            </w:tcBorders>
            <w:shd w:val="clear" w:color="auto" w:fill="CCEECC"/>
          </w:tcPr>
          <w:p>
            <w:pPr>
              <w:spacing w:after="0"/>
              <w:rPr>
                <w:sz w:val="17"/>
                <w:szCs w:val="17"/>
                <w:color w:val="auto"/>
              </w:rPr>
            </w:pPr>
          </w:p>
        </w:tc>
        <w:tc>
          <w:tcPr>
            <w:tcW w:w="840" w:type="dxa"/>
            <w:vAlign w:val="bottom"/>
            <w:tcBorders>
              <w:top w:val="single" w:sz="8" w:color="auto"/>
            </w:tcBorders>
            <w:shd w:val="clear" w:color="auto" w:fill="CCEECC"/>
          </w:tcPr>
          <w:p>
            <w:pPr>
              <w:spacing w:after="0"/>
              <w:rPr>
                <w:sz w:val="17"/>
                <w:szCs w:val="17"/>
                <w:color w:val="auto"/>
              </w:rPr>
            </w:pPr>
          </w:p>
        </w:tc>
        <w:tc>
          <w:tcPr>
            <w:tcW w:w="80" w:type="dxa"/>
            <w:vAlign w:val="bottom"/>
            <w:tcBorders>
              <w:top w:val="single" w:sz="8" w:color="CCEECC"/>
            </w:tcBorders>
            <w:shd w:val="clear" w:color="auto" w:fill="CCEECC"/>
          </w:tcPr>
          <w:p>
            <w:pPr>
              <w:spacing w:after="0"/>
              <w:rPr>
                <w:sz w:val="17"/>
                <w:szCs w:val="17"/>
                <w:color w:val="auto"/>
              </w:rPr>
            </w:pPr>
          </w:p>
        </w:tc>
        <w:tc>
          <w:tcPr>
            <w:tcW w:w="160" w:type="dxa"/>
            <w:vAlign w:val="bottom"/>
            <w:tcBorders>
              <w:top w:val="single" w:sz="8" w:color="CCEECC"/>
            </w:tcBorders>
            <w:shd w:val="clear" w:color="auto" w:fill="CCEECC"/>
          </w:tcPr>
          <w:p>
            <w:pPr>
              <w:spacing w:after="0"/>
              <w:rPr>
                <w:sz w:val="17"/>
                <w:szCs w:val="17"/>
                <w:color w:val="auto"/>
              </w:rPr>
            </w:pPr>
          </w:p>
        </w:tc>
        <w:tc>
          <w:tcPr>
            <w:tcW w:w="100" w:type="dxa"/>
            <w:vAlign w:val="bottom"/>
            <w:tcBorders>
              <w:top w:val="single" w:sz="8" w:color="auto"/>
            </w:tcBorders>
            <w:shd w:val="clear" w:color="auto" w:fill="CCEECC"/>
          </w:tcPr>
          <w:p>
            <w:pPr>
              <w:spacing w:after="0"/>
              <w:rPr>
                <w:sz w:val="17"/>
                <w:szCs w:val="17"/>
                <w:color w:val="auto"/>
              </w:rPr>
            </w:pPr>
          </w:p>
        </w:tc>
        <w:tc>
          <w:tcPr>
            <w:tcW w:w="840" w:type="dxa"/>
            <w:vAlign w:val="bottom"/>
            <w:tcBorders>
              <w:top w:val="single" w:sz="8" w:color="auto"/>
            </w:tcBorders>
            <w:shd w:val="clear" w:color="auto" w:fill="CCEECC"/>
          </w:tcPr>
          <w:p>
            <w:pPr>
              <w:spacing w:after="0"/>
              <w:rPr>
                <w:sz w:val="17"/>
                <w:szCs w:val="17"/>
                <w:color w:val="auto"/>
              </w:rPr>
            </w:pPr>
          </w:p>
        </w:tc>
        <w:tc>
          <w:tcPr>
            <w:tcW w:w="80" w:type="dxa"/>
            <w:vAlign w:val="bottom"/>
            <w:tcBorders>
              <w:top w:val="single" w:sz="8" w:color="CCEECC"/>
            </w:tcBorders>
            <w:shd w:val="clear" w:color="auto" w:fill="CCEECC"/>
          </w:tcPr>
          <w:p>
            <w:pPr>
              <w:spacing w:after="0"/>
              <w:rPr>
                <w:sz w:val="17"/>
                <w:szCs w:val="17"/>
                <w:color w:val="auto"/>
              </w:rPr>
            </w:pPr>
          </w:p>
        </w:tc>
        <w:tc>
          <w:tcPr>
            <w:tcW w:w="160" w:type="dxa"/>
            <w:vAlign w:val="bottom"/>
            <w:tcBorders>
              <w:top w:val="single" w:sz="8" w:color="CCEECC"/>
            </w:tcBorders>
            <w:shd w:val="clear" w:color="auto" w:fill="CCEECC"/>
          </w:tcPr>
          <w:p>
            <w:pPr>
              <w:spacing w:after="0"/>
              <w:rPr>
                <w:sz w:val="17"/>
                <w:szCs w:val="17"/>
                <w:color w:val="auto"/>
              </w:rPr>
            </w:pPr>
          </w:p>
        </w:tc>
        <w:tc>
          <w:tcPr>
            <w:tcW w:w="120" w:type="dxa"/>
            <w:vAlign w:val="bottom"/>
            <w:tcBorders>
              <w:top w:val="single" w:sz="8" w:color="auto"/>
            </w:tcBorders>
            <w:shd w:val="clear" w:color="auto" w:fill="CCEECC"/>
          </w:tcPr>
          <w:p>
            <w:pPr>
              <w:spacing w:after="0"/>
              <w:rPr>
                <w:sz w:val="17"/>
                <w:szCs w:val="17"/>
                <w:color w:val="auto"/>
              </w:rPr>
            </w:pPr>
          </w:p>
        </w:tc>
        <w:tc>
          <w:tcPr>
            <w:tcW w:w="820" w:type="dxa"/>
            <w:vAlign w:val="bottom"/>
            <w:tcBorders>
              <w:top w:val="single" w:sz="8" w:color="auto"/>
            </w:tcBorders>
            <w:shd w:val="clear" w:color="auto" w:fill="CCEECC"/>
          </w:tcPr>
          <w:p>
            <w:pPr>
              <w:spacing w:after="0"/>
              <w:rPr>
                <w:sz w:val="17"/>
                <w:szCs w:val="17"/>
                <w:color w:val="auto"/>
              </w:rPr>
            </w:pPr>
          </w:p>
        </w:tc>
        <w:tc>
          <w:tcPr>
            <w:tcW w:w="20" w:type="dxa"/>
            <w:vAlign w:val="bottom"/>
            <w:tcBorders>
              <w:top w:val="single" w:sz="8" w:color="CCEECC"/>
            </w:tcBorders>
            <w:shd w:val="clear" w:color="auto" w:fill="CCEECC"/>
          </w:tcPr>
          <w:p>
            <w:pPr>
              <w:spacing w:after="0"/>
              <w:rPr>
                <w:sz w:val="17"/>
                <w:szCs w:val="17"/>
                <w:color w:val="auto"/>
              </w:rPr>
            </w:pPr>
          </w:p>
        </w:tc>
        <w:tc>
          <w:tcPr>
            <w:tcW w:w="60" w:type="dxa"/>
            <w:vAlign w:val="bottom"/>
            <w:tcBorders>
              <w:top w:val="single" w:sz="8" w:color="CCEECC"/>
            </w:tcBorders>
            <w:shd w:val="clear" w:color="auto" w:fill="CCEECC"/>
          </w:tcPr>
          <w:p>
            <w:pPr>
              <w:spacing w:after="0"/>
              <w:rPr>
                <w:sz w:val="17"/>
                <w:szCs w:val="17"/>
                <w:color w:val="auto"/>
              </w:rPr>
            </w:pPr>
          </w:p>
        </w:tc>
      </w:tr>
      <w:tr>
        <w:trPr>
          <w:trHeight w:val="283"/>
        </w:trPr>
        <w:tc>
          <w:tcPr>
            <w:tcW w:w="3940" w:type="dxa"/>
            <w:vAlign w:val="bottom"/>
          </w:tcPr>
          <w:p>
            <w:pPr>
              <w:ind w:left="100"/>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10,776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(106,174)</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260,109</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(482,969)</w:t>
            </w:r>
          </w:p>
        </w:tc>
      </w:tr>
      <w:tr>
        <w:trPr>
          <w:trHeight w:val="183"/>
        </w:trPr>
        <w:tc>
          <w:tcPr>
            <w:tcW w:w="3940" w:type="dxa"/>
            <w:vAlign w:val="bottom"/>
            <w:tcBorders>
              <w:top w:val="single" w:sz="8" w:color="CCEECC"/>
            </w:tcBorders>
            <w:shd w:val="clear" w:color="auto" w:fill="CCEECC"/>
          </w:tcPr>
          <w:p>
            <w:pPr>
              <w:spacing w:after="0"/>
              <w:rPr>
                <w:sz w:val="15"/>
                <w:szCs w:val="15"/>
                <w:color w:val="auto"/>
              </w:rPr>
            </w:pPr>
          </w:p>
        </w:tc>
        <w:tc>
          <w:tcPr>
            <w:tcW w:w="120" w:type="dxa"/>
            <w:vAlign w:val="bottom"/>
            <w:tcBorders>
              <w:top w:val="single" w:sz="8" w:color="auto"/>
            </w:tcBorders>
            <w:shd w:val="clear" w:color="auto" w:fill="CCEECC"/>
          </w:tcPr>
          <w:p>
            <w:pPr>
              <w:spacing w:after="0"/>
              <w:rPr>
                <w:sz w:val="15"/>
                <w:szCs w:val="15"/>
                <w:color w:val="auto"/>
              </w:rPr>
            </w:pPr>
          </w:p>
        </w:tc>
        <w:tc>
          <w:tcPr>
            <w:tcW w:w="84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160" w:type="dxa"/>
            <w:vAlign w:val="bottom"/>
            <w:tcBorders>
              <w:top w:val="single" w:sz="8" w:color="CCEECC"/>
            </w:tcBorders>
            <w:shd w:val="clear" w:color="auto" w:fill="CCEECC"/>
          </w:tcPr>
          <w:p>
            <w:pPr>
              <w:spacing w:after="0"/>
              <w:rPr>
                <w:sz w:val="15"/>
                <w:szCs w:val="15"/>
                <w:color w:val="auto"/>
              </w:rPr>
            </w:pPr>
          </w:p>
        </w:tc>
        <w:tc>
          <w:tcPr>
            <w:tcW w:w="120" w:type="dxa"/>
            <w:vAlign w:val="bottom"/>
            <w:tcBorders>
              <w:top w:val="single" w:sz="8" w:color="auto"/>
            </w:tcBorders>
            <w:shd w:val="clear" w:color="auto" w:fill="CCEECC"/>
          </w:tcPr>
          <w:p>
            <w:pPr>
              <w:spacing w:after="0"/>
              <w:rPr>
                <w:sz w:val="15"/>
                <w:szCs w:val="15"/>
                <w:color w:val="auto"/>
              </w:rPr>
            </w:pPr>
          </w:p>
        </w:tc>
        <w:tc>
          <w:tcPr>
            <w:tcW w:w="84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160" w:type="dxa"/>
            <w:vAlign w:val="bottom"/>
            <w:tcBorders>
              <w:top w:val="single" w:sz="8" w:color="CCEECC"/>
            </w:tcBorders>
            <w:shd w:val="clear" w:color="auto" w:fill="CCEECC"/>
          </w:tcPr>
          <w:p>
            <w:pPr>
              <w:spacing w:after="0"/>
              <w:rPr>
                <w:sz w:val="15"/>
                <w:szCs w:val="15"/>
                <w:color w:val="auto"/>
              </w:rPr>
            </w:pPr>
          </w:p>
        </w:tc>
        <w:tc>
          <w:tcPr>
            <w:tcW w:w="100" w:type="dxa"/>
            <w:vAlign w:val="bottom"/>
            <w:tcBorders>
              <w:top w:val="single" w:sz="8" w:color="auto"/>
            </w:tcBorders>
            <w:shd w:val="clear" w:color="auto" w:fill="CCEECC"/>
          </w:tcPr>
          <w:p>
            <w:pPr>
              <w:spacing w:after="0"/>
              <w:rPr>
                <w:sz w:val="15"/>
                <w:szCs w:val="15"/>
                <w:color w:val="auto"/>
              </w:rPr>
            </w:pPr>
          </w:p>
        </w:tc>
        <w:tc>
          <w:tcPr>
            <w:tcW w:w="84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160" w:type="dxa"/>
            <w:vAlign w:val="bottom"/>
            <w:tcBorders>
              <w:top w:val="single" w:sz="8" w:color="CCEECC"/>
            </w:tcBorders>
            <w:shd w:val="clear" w:color="auto" w:fill="CCEECC"/>
          </w:tcPr>
          <w:p>
            <w:pPr>
              <w:spacing w:after="0"/>
              <w:rPr>
                <w:sz w:val="15"/>
                <w:szCs w:val="15"/>
                <w:color w:val="auto"/>
              </w:rPr>
            </w:pPr>
          </w:p>
        </w:tc>
        <w:tc>
          <w:tcPr>
            <w:tcW w:w="120" w:type="dxa"/>
            <w:vAlign w:val="bottom"/>
            <w:tcBorders>
              <w:top w:val="single" w:sz="8" w:color="auto"/>
            </w:tcBorders>
            <w:shd w:val="clear" w:color="auto" w:fill="CCEECC"/>
          </w:tcPr>
          <w:p>
            <w:pPr>
              <w:spacing w:after="0"/>
              <w:rPr>
                <w:sz w:val="15"/>
                <w:szCs w:val="15"/>
                <w:color w:val="auto"/>
              </w:rPr>
            </w:pPr>
          </w:p>
        </w:tc>
        <w:tc>
          <w:tcPr>
            <w:tcW w:w="820" w:type="dxa"/>
            <w:vAlign w:val="bottom"/>
            <w:tcBorders>
              <w:top w:val="single" w:sz="8" w:color="auto"/>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r>
      <w:tr>
        <w:trPr>
          <w:trHeight w:val="202"/>
        </w:trPr>
        <w:tc>
          <w:tcPr>
            <w:tcW w:w="3940" w:type="dxa"/>
            <w:vAlign w:val="bottom"/>
          </w:tcPr>
          <w:p>
            <w:pPr>
              <w:ind w:left="100"/>
              <w:spacing w:after="0" w:line="201" w:lineRule="exact"/>
              <w:rPr>
                <w:sz w:val="20"/>
                <w:szCs w:val="20"/>
                <w:color w:val="auto"/>
              </w:rPr>
            </w:pPr>
            <w:r>
              <w:rPr>
                <w:rFonts w:ascii="Arial" w:cs="Arial" w:eastAsia="Arial" w:hAnsi="Arial"/>
                <w:sz w:val="18"/>
                <w:szCs w:val="18"/>
                <w:color w:val="auto"/>
              </w:rPr>
              <w:t>WEIGHTED AVERAGE NUMBER OF SHARES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97"/>
        </w:trPr>
        <w:tc>
          <w:tcPr>
            <w:tcW w:w="3940" w:type="dxa"/>
            <w:vAlign w:val="bottom"/>
          </w:tcPr>
          <w:p>
            <w:pPr>
              <w:ind w:left="100"/>
              <w:spacing w:after="0"/>
              <w:rPr>
                <w:sz w:val="20"/>
                <w:szCs w:val="20"/>
                <w:color w:val="auto"/>
              </w:rPr>
            </w:pPr>
            <w:r>
              <w:rPr>
                <w:rFonts w:ascii="Arial" w:cs="Arial" w:eastAsia="Arial" w:hAnsi="Arial"/>
                <w:sz w:val="18"/>
                <w:szCs w:val="18"/>
                <w:color w:val="auto"/>
              </w:rPr>
              <w:t>OUTSTANDING: BASIC</w:t>
            </w:r>
          </w:p>
        </w:tc>
        <w:tc>
          <w:tcPr>
            <w:tcW w:w="12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14,270,811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0"/>
              </w:rPr>
              <w:t>14,227,713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14,259,675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14,201,373</w:t>
            </w:r>
          </w:p>
        </w:tc>
        <w:tc>
          <w:tcPr>
            <w:tcW w:w="60" w:type="dxa"/>
            <w:vAlign w:val="bottom"/>
          </w:tcPr>
          <w:p>
            <w:pPr>
              <w:spacing w:after="0"/>
              <w:rPr>
                <w:sz w:val="24"/>
                <w:szCs w:val="24"/>
                <w:color w:val="auto"/>
              </w:rPr>
            </w:pPr>
          </w:p>
        </w:tc>
      </w:tr>
      <w:tr>
        <w:trPr>
          <w:trHeight w:val="183"/>
        </w:trPr>
        <w:tc>
          <w:tcPr>
            <w:tcW w:w="3940" w:type="dxa"/>
            <w:vAlign w:val="bottom"/>
            <w:tcBorders>
              <w:top w:val="single" w:sz="8" w:color="CCEECC"/>
            </w:tcBorders>
            <w:shd w:val="clear" w:color="auto" w:fill="CCEECC"/>
          </w:tcPr>
          <w:p>
            <w:pPr>
              <w:spacing w:after="0"/>
              <w:rPr>
                <w:sz w:val="15"/>
                <w:szCs w:val="15"/>
                <w:color w:val="auto"/>
              </w:rPr>
            </w:pPr>
          </w:p>
        </w:tc>
        <w:tc>
          <w:tcPr>
            <w:tcW w:w="120" w:type="dxa"/>
            <w:vAlign w:val="bottom"/>
            <w:tcBorders>
              <w:top w:val="single" w:sz="8" w:color="auto"/>
            </w:tcBorders>
            <w:shd w:val="clear" w:color="auto" w:fill="CCEECC"/>
          </w:tcPr>
          <w:p>
            <w:pPr>
              <w:spacing w:after="0"/>
              <w:rPr>
                <w:sz w:val="15"/>
                <w:szCs w:val="15"/>
                <w:color w:val="auto"/>
              </w:rPr>
            </w:pPr>
          </w:p>
        </w:tc>
        <w:tc>
          <w:tcPr>
            <w:tcW w:w="84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160" w:type="dxa"/>
            <w:vAlign w:val="bottom"/>
            <w:tcBorders>
              <w:top w:val="single" w:sz="8" w:color="CCEECC"/>
            </w:tcBorders>
            <w:shd w:val="clear" w:color="auto" w:fill="CCEECC"/>
          </w:tcPr>
          <w:p>
            <w:pPr>
              <w:spacing w:after="0"/>
              <w:rPr>
                <w:sz w:val="15"/>
                <w:szCs w:val="15"/>
                <w:color w:val="auto"/>
              </w:rPr>
            </w:pPr>
          </w:p>
        </w:tc>
        <w:tc>
          <w:tcPr>
            <w:tcW w:w="120" w:type="dxa"/>
            <w:vAlign w:val="bottom"/>
            <w:tcBorders>
              <w:top w:val="single" w:sz="8" w:color="auto"/>
            </w:tcBorders>
            <w:shd w:val="clear" w:color="auto" w:fill="CCEECC"/>
          </w:tcPr>
          <w:p>
            <w:pPr>
              <w:spacing w:after="0"/>
              <w:rPr>
                <w:sz w:val="15"/>
                <w:szCs w:val="15"/>
                <w:color w:val="auto"/>
              </w:rPr>
            </w:pPr>
          </w:p>
        </w:tc>
        <w:tc>
          <w:tcPr>
            <w:tcW w:w="84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160" w:type="dxa"/>
            <w:vAlign w:val="bottom"/>
            <w:tcBorders>
              <w:top w:val="single" w:sz="8" w:color="CCEECC"/>
            </w:tcBorders>
            <w:shd w:val="clear" w:color="auto" w:fill="CCEECC"/>
          </w:tcPr>
          <w:p>
            <w:pPr>
              <w:spacing w:after="0"/>
              <w:rPr>
                <w:sz w:val="15"/>
                <w:szCs w:val="15"/>
                <w:color w:val="auto"/>
              </w:rPr>
            </w:pPr>
          </w:p>
        </w:tc>
        <w:tc>
          <w:tcPr>
            <w:tcW w:w="100" w:type="dxa"/>
            <w:vAlign w:val="bottom"/>
            <w:tcBorders>
              <w:top w:val="single" w:sz="8" w:color="auto"/>
            </w:tcBorders>
            <w:shd w:val="clear" w:color="auto" w:fill="CCEECC"/>
          </w:tcPr>
          <w:p>
            <w:pPr>
              <w:spacing w:after="0"/>
              <w:rPr>
                <w:sz w:val="15"/>
                <w:szCs w:val="15"/>
                <w:color w:val="auto"/>
              </w:rPr>
            </w:pPr>
          </w:p>
        </w:tc>
        <w:tc>
          <w:tcPr>
            <w:tcW w:w="84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160" w:type="dxa"/>
            <w:vAlign w:val="bottom"/>
            <w:tcBorders>
              <w:top w:val="single" w:sz="8" w:color="CCEECC"/>
            </w:tcBorders>
            <w:shd w:val="clear" w:color="auto" w:fill="CCEECC"/>
          </w:tcPr>
          <w:p>
            <w:pPr>
              <w:spacing w:after="0"/>
              <w:rPr>
                <w:sz w:val="15"/>
                <w:szCs w:val="15"/>
                <w:color w:val="auto"/>
              </w:rPr>
            </w:pPr>
          </w:p>
        </w:tc>
        <w:tc>
          <w:tcPr>
            <w:tcW w:w="120" w:type="dxa"/>
            <w:vAlign w:val="bottom"/>
            <w:tcBorders>
              <w:top w:val="single" w:sz="8" w:color="auto"/>
            </w:tcBorders>
            <w:shd w:val="clear" w:color="auto" w:fill="CCEECC"/>
          </w:tcPr>
          <w:p>
            <w:pPr>
              <w:spacing w:after="0"/>
              <w:rPr>
                <w:sz w:val="15"/>
                <w:szCs w:val="15"/>
                <w:color w:val="auto"/>
              </w:rPr>
            </w:pPr>
          </w:p>
        </w:tc>
        <w:tc>
          <w:tcPr>
            <w:tcW w:w="820" w:type="dxa"/>
            <w:vAlign w:val="bottom"/>
            <w:tcBorders>
              <w:top w:val="single" w:sz="8" w:color="auto"/>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r>
      <w:tr>
        <w:trPr>
          <w:trHeight w:val="283"/>
        </w:trPr>
        <w:tc>
          <w:tcPr>
            <w:tcW w:w="3940" w:type="dxa"/>
            <w:vAlign w:val="bottom"/>
          </w:tcPr>
          <w:p>
            <w:pPr>
              <w:ind w:left="100"/>
              <w:spacing w:after="0"/>
              <w:rPr>
                <w:sz w:val="20"/>
                <w:szCs w:val="20"/>
                <w:color w:val="auto"/>
              </w:rPr>
            </w:pPr>
            <w:r>
              <w:rPr>
                <w:rFonts w:ascii="Arial" w:cs="Arial" w:eastAsia="Arial" w:hAnsi="Arial"/>
                <w:sz w:val="18"/>
                <w:szCs w:val="18"/>
                <w:color w:val="auto"/>
              </w:rPr>
              <w:t>NET INCOME (LOSS) PER SHARE: 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(0.03)</w:t>
            </w:r>
          </w:p>
        </w:tc>
      </w:tr>
      <w:tr>
        <w:trPr>
          <w:trHeight w:val="183"/>
        </w:trPr>
        <w:tc>
          <w:tcPr>
            <w:tcW w:w="3940" w:type="dxa"/>
            <w:vAlign w:val="bottom"/>
            <w:tcBorders>
              <w:top w:val="single" w:sz="8" w:color="CCEECC"/>
            </w:tcBorders>
            <w:shd w:val="clear" w:color="auto" w:fill="CCEECC"/>
          </w:tcPr>
          <w:p>
            <w:pPr>
              <w:spacing w:after="0"/>
              <w:rPr>
                <w:sz w:val="15"/>
                <w:szCs w:val="15"/>
                <w:color w:val="auto"/>
              </w:rPr>
            </w:pPr>
          </w:p>
        </w:tc>
        <w:tc>
          <w:tcPr>
            <w:tcW w:w="120" w:type="dxa"/>
            <w:vAlign w:val="bottom"/>
            <w:tcBorders>
              <w:top w:val="single" w:sz="8" w:color="auto"/>
            </w:tcBorders>
            <w:shd w:val="clear" w:color="auto" w:fill="CCEECC"/>
          </w:tcPr>
          <w:p>
            <w:pPr>
              <w:spacing w:after="0"/>
              <w:rPr>
                <w:sz w:val="15"/>
                <w:szCs w:val="15"/>
                <w:color w:val="auto"/>
              </w:rPr>
            </w:pPr>
          </w:p>
        </w:tc>
        <w:tc>
          <w:tcPr>
            <w:tcW w:w="84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160" w:type="dxa"/>
            <w:vAlign w:val="bottom"/>
            <w:tcBorders>
              <w:top w:val="single" w:sz="8" w:color="CCEECC"/>
            </w:tcBorders>
            <w:shd w:val="clear" w:color="auto" w:fill="CCEECC"/>
          </w:tcPr>
          <w:p>
            <w:pPr>
              <w:spacing w:after="0"/>
              <w:rPr>
                <w:sz w:val="15"/>
                <w:szCs w:val="15"/>
                <w:color w:val="auto"/>
              </w:rPr>
            </w:pPr>
          </w:p>
        </w:tc>
        <w:tc>
          <w:tcPr>
            <w:tcW w:w="120" w:type="dxa"/>
            <w:vAlign w:val="bottom"/>
            <w:tcBorders>
              <w:top w:val="single" w:sz="8" w:color="auto"/>
            </w:tcBorders>
            <w:shd w:val="clear" w:color="auto" w:fill="CCEECC"/>
          </w:tcPr>
          <w:p>
            <w:pPr>
              <w:spacing w:after="0"/>
              <w:rPr>
                <w:sz w:val="15"/>
                <w:szCs w:val="15"/>
                <w:color w:val="auto"/>
              </w:rPr>
            </w:pPr>
          </w:p>
        </w:tc>
        <w:tc>
          <w:tcPr>
            <w:tcW w:w="84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160" w:type="dxa"/>
            <w:vAlign w:val="bottom"/>
            <w:tcBorders>
              <w:top w:val="single" w:sz="8" w:color="CCEECC"/>
            </w:tcBorders>
            <w:shd w:val="clear" w:color="auto" w:fill="CCEECC"/>
          </w:tcPr>
          <w:p>
            <w:pPr>
              <w:spacing w:after="0"/>
              <w:rPr>
                <w:sz w:val="15"/>
                <w:szCs w:val="15"/>
                <w:color w:val="auto"/>
              </w:rPr>
            </w:pPr>
          </w:p>
        </w:tc>
        <w:tc>
          <w:tcPr>
            <w:tcW w:w="100" w:type="dxa"/>
            <w:vAlign w:val="bottom"/>
            <w:tcBorders>
              <w:top w:val="single" w:sz="8" w:color="auto"/>
            </w:tcBorders>
            <w:shd w:val="clear" w:color="auto" w:fill="CCEECC"/>
          </w:tcPr>
          <w:p>
            <w:pPr>
              <w:spacing w:after="0"/>
              <w:rPr>
                <w:sz w:val="15"/>
                <w:szCs w:val="15"/>
                <w:color w:val="auto"/>
              </w:rPr>
            </w:pPr>
          </w:p>
        </w:tc>
        <w:tc>
          <w:tcPr>
            <w:tcW w:w="84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160" w:type="dxa"/>
            <w:vAlign w:val="bottom"/>
            <w:tcBorders>
              <w:top w:val="single" w:sz="8" w:color="CCEECC"/>
            </w:tcBorders>
            <w:shd w:val="clear" w:color="auto" w:fill="CCEECC"/>
          </w:tcPr>
          <w:p>
            <w:pPr>
              <w:spacing w:after="0"/>
              <w:rPr>
                <w:sz w:val="15"/>
                <w:szCs w:val="15"/>
                <w:color w:val="auto"/>
              </w:rPr>
            </w:pPr>
          </w:p>
        </w:tc>
        <w:tc>
          <w:tcPr>
            <w:tcW w:w="120" w:type="dxa"/>
            <w:vAlign w:val="bottom"/>
            <w:tcBorders>
              <w:top w:val="single" w:sz="8" w:color="auto"/>
            </w:tcBorders>
            <w:shd w:val="clear" w:color="auto" w:fill="CCEECC"/>
          </w:tcPr>
          <w:p>
            <w:pPr>
              <w:spacing w:after="0"/>
              <w:rPr>
                <w:sz w:val="15"/>
                <w:szCs w:val="15"/>
                <w:color w:val="auto"/>
              </w:rPr>
            </w:pPr>
          </w:p>
        </w:tc>
        <w:tc>
          <w:tcPr>
            <w:tcW w:w="820" w:type="dxa"/>
            <w:vAlign w:val="bottom"/>
            <w:tcBorders>
              <w:top w:val="single" w:sz="8" w:color="auto"/>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r>
      <w:tr>
        <w:trPr>
          <w:trHeight w:val="202"/>
        </w:trPr>
        <w:tc>
          <w:tcPr>
            <w:tcW w:w="3940" w:type="dxa"/>
            <w:vAlign w:val="bottom"/>
          </w:tcPr>
          <w:p>
            <w:pPr>
              <w:ind w:left="100"/>
              <w:spacing w:after="0" w:line="201" w:lineRule="exact"/>
              <w:rPr>
                <w:sz w:val="20"/>
                <w:szCs w:val="20"/>
                <w:color w:val="auto"/>
              </w:rPr>
            </w:pPr>
            <w:r>
              <w:rPr>
                <w:rFonts w:ascii="Arial" w:cs="Arial" w:eastAsia="Arial" w:hAnsi="Arial"/>
                <w:sz w:val="18"/>
                <w:szCs w:val="18"/>
                <w:color w:val="auto"/>
              </w:rPr>
              <w:t>WEIGHTED AVERAGE NUMBER OF SHARES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97"/>
        </w:trPr>
        <w:tc>
          <w:tcPr>
            <w:tcW w:w="3940" w:type="dxa"/>
            <w:vAlign w:val="bottom"/>
          </w:tcPr>
          <w:p>
            <w:pPr>
              <w:ind w:left="100"/>
              <w:spacing w:after="0"/>
              <w:rPr>
                <w:sz w:val="20"/>
                <w:szCs w:val="20"/>
                <w:color w:val="auto"/>
              </w:rPr>
            </w:pPr>
            <w:r>
              <w:rPr>
                <w:rFonts w:ascii="Arial" w:cs="Arial" w:eastAsia="Arial" w:hAnsi="Arial"/>
                <w:sz w:val="18"/>
                <w:szCs w:val="18"/>
                <w:color w:val="auto"/>
              </w:rPr>
              <w:t>OUTSTANDING: DILUTED</w:t>
            </w:r>
          </w:p>
        </w:tc>
        <w:tc>
          <w:tcPr>
            <w:tcW w:w="12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34,086,091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0"/>
              </w:rPr>
              <w:t>14,227,713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34,074,956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14,201,373</w:t>
            </w:r>
          </w:p>
        </w:tc>
        <w:tc>
          <w:tcPr>
            <w:tcW w:w="60" w:type="dxa"/>
            <w:vAlign w:val="bottom"/>
          </w:tcPr>
          <w:p>
            <w:pPr>
              <w:spacing w:after="0"/>
              <w:rPr>
                <w:sz w:val="24"/>
                <w:szCs w:val="24"/>
                <w:color w:val="auto"/>
              </w:rPr>
            </w:pPr>
          </w:p>
        </w:tc>
      </w:tr>
      <w:tr>
        <w:trPr>
          <w:trHeight w:val="183"/>
        </w:trPr>
        <w:tc>
          <w:tcPr>
            <w:tcW w:w="3940" w:type="dxa"/>
            <w:vAlign w:val="bottom"/>
            <w:tcBorders>
              <w:top w:val="single" w:sz="8" w:color="CCEECC"/>
            </w:tcBorders>
            <w:shd w:val="clear" w:color="auto" w:fill="CCEECC"/>
          </w:tcPr>
          <w:p>
            <w:pPr>
              <w:spacing w:after="0"/>
              <w:rPr>
                <w:sz w:val="15"/>
                <w:szCs w:val="15"/>
                <w:color w:val="auto"/>
              </w:rPr>
            </w:pPr>
          </w:p>
        </w:tc>
        <w:tc>
          <w:tcPr>
            <w:tcW w:w="120" w:type="dxa"/>
            <w:vAlign w:val="bottom"/>
            <w:tcBorders>
              <w:top w:val="single" w:sz="8" w:color="auto"/>
            </w:tcBorders>
            <w:shd w:val="clear" w:color="auto" w:fill="CCEECC"/>
          </w:tcPr>
          <w:p>
            <w:pPr>
              <w:spacing w:after="0"/>
              <w:rPr>
                <w:sz w:val="15"/>
                <w:szCs w:val="15"/>
                <w:color w:val="auto"/>
              </w:rPr>
            </w:pPr>
          </w:p>
        </w:tc>
        <w:tc>
          <w:tcPr>
            <w:tcW w:w="84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160" w:type="dxa"/>
            <w:vAlign w:val="bottom"/>
            <w:tcBorders>
              <w:top w:val="single" w:sz="8" w:color="CCEECC"/>
            </w:tcBorders>
            <w:shd w:val="clear" w:color="auto" w:fill="CCEECC"/>
          </w:tcPr>
          <w:p>
            <w:pPr>
              <w:spacing w:after="0"/>
              <w:rPr>
                <w:sz w:val="15"/>
                <w:szCs w:val="15"/>
                <w:color w:val="auto"/>
              </w:rPr>
            </w:pPr>
          </w:p>
        </w:tc>
        <w:tc>
          <w:tcPr>
            <w:tcW w:w="120" w:type="dxa"/>
            <w:vAlign w:val="bottom"/>
            <w:tcBorders>
              <w:top w:val="single" w:sz="8" w:color="auto"/>
            </w:tcBorders>
            <w:shd w:val="clear" w:color="auto" w:fill="CCEECC"/>
          </w:tcPr>
          <w:p>
            <w:pPr>
              <w:spacing w:after="0"/>
              <w:rPr>
                <w:sz w:val="15"/>
                <w:szCs w:val="15"/>
                <w:color w:val="auto"/>
              </w:rPr>
            </w:pPr>
          </w:p>
        </w:tc>
        <w:tc>
          <w:tcPr>
            <w:tcW w:w="84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160" w:type="dxa"/>
            <w:vAlign w:val="bottom"/>
            <w:tcBorders>
              <w:top w:val="single" w:sz="8" w:color="CCEECC"/>
            </w:tcBorders>
            <w:shd w:val="clear" w:color="auto" w:fill="CCEECC"/>
          </w:tcPr>
          <w:p>
            <w:pPr>
              <w:spacing w:after="0"/>
              <w:rPr>
                <w:sz w:val="15"/>
                <w:szCs w:val="15"/>
                <w:color w:val="auto"/>
              </w:rPr>
            </w:pPr>
          </w:p>
        </w:tc>
        <w:tc>
          <w:tcPr>
            <w:tcW w:w="100" w:type="dxa"/>
            <w:vAlign w:val="bottom"/>
            <w:tcBorders>
              <w:top w:val="single" w:sz="8" w:color="auto"/>
            </w:tcBorders>
            <w:shd w:val="clear" w:color="auto" w:fill="CCEECC"/>
          </w:tcPr>
          <w:p>
            <w:pPr>
              <w:spacing w:after="0"/>
              <w:rPr>
                <w:sz w:val="15"/>
                <w:szCs w:val="15"/>
                <w:color w:val="auto"/>
              </w:rPr>
            </w:pPr>
          </w:p>
        </w:tc>
        <w:tc>
          <w:tcPr>
            <w:tcW w:w="84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160" w:type="dxa"/>
            <w:vAlign w:val="bottom"/>
            <w:tcBorders>
              <w:top w:val="single" w:sz="8" w:color="CCEECC"/>
            </w:tcBorders>
            <w:shd w:val="clear" w:color="auto" w:fill="CCEECC"/>
          </w:tcPr>
          <w:p>
            <w:pPr>
              <w:spacing w:after="0"/>
              <w:rPr>
                <w:sz w:val="15"/>
                <w:szCs w:val="15"/>
                <w:color w:val="auto"/>
              </w:rPr>
            </w:pPr>
          </w:p>
        </w:tc>
        <w:tc>
          <w:tcPr>
            <w:tcW w:w="120" w:type="dxa"/>
            <w:vAlign w:val="bottom"/>
            <w:tcBorders>
              <w:top w:val="single" w:sz="8" w:color="auto"/>
            </w:tcBorders>
            <w:shd w:val="clear" w:color="auto" w:fill="CCEECC"/>
          </w:tcPr>
          <w:p>
            <w:pPr>
              <w:spacing w:after="0"/>
              <w:rPr>
                <w:sz w:val="15"/>
                <w:szCs w:val="15"/>
                <w:color w:val="auto"/>
              </w:rPr>
            </w:pPr>
          </w:p>
        </w:tc>
        <w:tc>
          <w:tcPr>
            <w:tcW w:w="820" w:type="dxa"/>
            <w:vAlign w:val="bottom"/>
            <w:tcBorders>
              <w:top w:val="single" w:sz="8" w:color="auto"/>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r>
      <w:tr>
        <w:trPr>
          <w:trHeight w:val="243"/>
        </w:trPr>
        <w:tc>
          <w:tcPr>
            <w:tcW w:w="3940" w:type="dxa"/>
            <w:vAlign w:val="bottom"/>
          </w:tcPr>
          <w:p>
            <w:pPr>
              <w:ind w:left="100"/>
              <w:spacing w:after="0"/>
              <w:rPr>
                <w:sz w:val="20"/>
                <w:szCs w:val="20"/>
                <w:color w:val="auto"/>
              </w:rPr>
            </w:pPr>
            <w:r>
              <w:rPr>
                <w:rFonts w:ascii="Arial" w:cs="Arial" w:eastAsia="Arial" w:hAnsi="Arial"/>
                <w:sz w:val="18"/>
                <w:szCs w:val="18"/>
                <w:color w:val="auto"/>
              </w:rPr>
              <w:t>NET INCOME (LOSS) PER SHARE: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(0.03)</w:t>
            </w:r>
          </w:p>
        </w:tc>
      </w:tr>
      <w:tr>
        <w:trPr>
          <w:trHeight w:val="20"/>
        </w:trPr>
        <w:tc>
          <w:tcPr>
            <w:tcW w:w="3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33" w:right="1440"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26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NINE MONTHS ENDED SEPTEMBER 30, 2013 AND 2012</w:t>
      </w:r>
    </w:p>
    <w:p>
      <w:pPr>
        <w:spacing w:after="0" w:line="21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1620" w:type="dxa"/>
            <w:vAlign w:val="bottom"/>
            <w:gridSpan w:val="4"/>
          </w:tcPr>
          <w:p>
            <w:pPr>
              <w:spacing w:after="0"/>
              <w:rPr>
                <w:sz w:val="20"/>
                <w:szCs w:val="20"/>
                <w:color w:val="auto"/>
              </w:rPr>
            </w:pPr>
            <w:r>
              <w:rPr>
                <w:rFonts w:ascii="Arial" w:cs="Arial" w:eastAsia="Arial" w:hAnsi="Arial"/>
                <w:sz w:val="18"/>
                <w:szCs w:val="18"/>
                <w:color w:val="auto"/>
                <w:w w:val="99"/>
              </w:rPr>
              <w:t>For the nine months</w:t>
            </w:r>
          </w:p>
        </w:tc>
        <w:tc>
          <w:tcPr>
            <w:tcW w:w="1440" w:type="dxa"/>
            <w:vAlign w:val="bottom"/>
            <w:gridSpan w:val="4"/>
          </w:tcPr>
          <w:p>
            <w:pPr>
              <w:spacing w:after="0"/>
              <w:rPr>
                <w:sz w:val="20"/>
                <w:szCs w:val="20"/>
                <w:color w:val="auto"/>
              </w:rPr>
            </w:pPr>
            <w:r>
              <w:rPr>
                <w:rFonts w:ascii="Arial" w:cs="Arial" w:eastAsia="Arial" w:hAnsi="Arial"/>
                <w:sz w:val="18"/>
                <w:szCs w:val="18"/>
                <w:color w:val="auto"/>
                <w:w w:val="88"/>
              </w:rPr>
              <w:t>For the nine months</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3"/>
          </w:tcPr>
          <w:p>
            <w:pPr>
              <w:ind w:left="220"/>
              <w:spacing w:after="0"/>
              <w:rPr>
                <w:sz w:val="20"/>
                <w:szCs w:val="20"/>
                <w:color w:val="auto"/>
              </w:rPr>
            </w:pPr>
            <w:r>
              <w:rPr>
                <w:rFonts w:ascii="Arial" w:cs="Arial" w:eastAsia="Arial" w:hAnsi="Arial"/>
                <w:sz w:val="18"/>
                <w:szCs w:val="18"/>
                <w:color w:val="auto"/>
              </w:rPr>
              <w:t>ended</w:t>
            </w:r>
          </w:p>
        </w:tc>
        <w:tc>
          <w:tcPr>
            <w:tcW w:w="300" w:type="dxa"/>
            <w:vAlign w:val="bottom"/>
          </w:tcPr>
          <w:p>
            <w:pPr>
              <w:spacing w:after="0"/>
              <w:rPr>
                <w:sz w:val="18"/>
                <w:szCs w:val="18"/>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rPr>
              <w:t>ended</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p>
        </w:tc>
        <w:tc>
          <w:tcPr>
            <w:tcW w:w="1620" w:type="dxa"/>
            <w:vAlign w:val="bottom"/>
            <w:gridSpan w:val="4"/>
          </w:tcPr>
          <w:p>
            <w:pPr>
              <w:spacing w:after="0"/>
              <w:rPr>
                <w:sz w:val="20"/>
                <w:szCs w:val="20"/>
                <w:color w:val="auto"/>
              </w:rPr>
            </w:pPr>
            <w:r>
              <w:rPr>
                <w:rFonts w:ascii="Arial" w:cs="Arial" w:eastAsia="Arial" w:hAnsi="Arial"/>
                <w:sz w:val="18"/>
                <w:szCs w:val="18"/>
                <w:color w:val="auto"/>
                <w:w w:val="98"/>
              </w:rPr>
              <w:t>September 30, 2013</w:t>
            </w:r>
          </w:p>
        </w:tc>
        <w:tc>
          <w:tcPr>
            <w:tcW w:w="1440" w:type="dxa"/>
            <w:vAlign w:val="bottom"/>
            <w:gridSpan w:val="4"/>
          </w:tcPr>
          <w:p>
            <w:pPr>
              <w:spacing w:after="0"/>
              <w:rPr>
                <w:sz w:val="20"/>
                <w:szCs w:val="20"/>
                <w:color w:val="auto"/>
              </w:rPr>
            </w:pPr>
            <w:r>
              <w:rPr>
                <w:rFonts w:ascii="Arial" w:cs="Arial" w:eastAsia="Arial" w:hAnsi="Arial"/>
                <w:sz w:val="18"/>
                <w:szCs w:val="18"/>
                <w:color w:val="auto"/>
                <w:w w:val="87"/>
              </w:rPr>
              <w:t>September 30, 2012</w:t>
            </w:r>
          </w:p>
        </w:tc>
        <w:tc>
          <w:tcPr>
            <w:tcW w:w="0" w:type="dxa"/>
            <w:vAlign w:val="bottom"/>
          </w:tcPr>
          <w:p>
            <w:pPr>
              <w:spacing w:after="0"/>
              <w:rPr>
                <w:sz w:val="1"/>
                <w:szCs w:val="1"/>
                <w:color w:val="auto"/>
              </w:rPr>
            </w:pPr>
          </w:p>
        </w:tc>
      </w:tr>
      <w:tr>
        <w:trPr>
          <w:trHeight w:val="210"/>
        </w:trPr>
        <w:tc>
          <w:tcPr>
            <w:tcW w:w="548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top w:val="single" w:sz="8" w:color="auto"/>
            </w:tcBorders>
            <w:shd w:val="clear" w:color="auto" w:fill="CCEECC"/>
          </w:tcPr>
          <w:p>
            <w:pPr>
              <w:spacing w:after="0"/>
              <w:rPr>
                <w:sz w:val="18"/>
                <w:szCs w:val="18"/>
                <w:color w:val="auto"/>
              </w:rPr>
            </w:pPr>
          </w:p>
        </w:tc>
        <w:tc>
          <w:tcPr>
            <w:tcW w:w="1080" w:type="dxa"/>
            <w:vAlign w:val="bottom"/>
            <w:tcBorders>
              <w:top w:val="single" w:sz="8" w:color="auto"/>
            </w:tcBorders>
            <w:shd w:val="clear" w:color="auto" w:fill="CCEECC"/>
          </w:tcPr>
          <w:p>
            <w:pPr>
              <w:spacing w:after="0"/>
              <w:rPr>
                <w:sz w:val="18"/>
                <w:szCs w:val="18"/>
                <w:color w:val="auto"/>
              </w:rPr>
            </w:pPr>
          </w:p>
        </w:tc>
        <w:tc>
          <w:tcPr>
            <w:tcW w:w="80" w:type="dxa"/>
            <w:vAlign w:val="bottom"/>
            <w:tcBorders>
              <w:top w:val="single" w:sz="8" w:color="auto"/>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300" w:type="dxa"/>
            <w:vAlign w:val="bottom"/>
            <w:tcBorders>
              <w:top w:val="single" w:sz="8" w:color="auto"/>
            </w:tcBorders>
            <w:shd w:val="clear" w:color="auto" w:fill="CCEECC"/>
          </w:tcPr>
          <w:p>
            <w:pPr>
              <w:spacing w:after="0"/>
              <w:rPr>
                <w:sz w:val="18"/>
                <w:szCs w:val="18"/>
                <w:color w:val="auto"/>
              </w:rPr>
            </w:pPr>
          </w:p>
        </w:tc>
        <w:tc>
          <w:tcPr>
            <w:tcW w:w="1060" w:type="dxa"/>
            <w:vAlign w:val="bottom"/>
            <w:tcBorders>
              <w:top w:val="single" w:sz="8" w:color="auto"/>
            </w:tcBorders>
            <w:shd w:val="clear" w:color="auto" w:fill="CCEECC"/>
          </w:tcPr>
          <w:p>
            <w:pPr>
              <w:spacing w:after="0"/>
              <w:rPr>
                <w:sz w:val="18"/>
                <w:szCs w:val="18"/>
                <w:color w:val="auto"/>
              </w:rPr>
            </w:pPr>
          </w:p>
        </w:tc>
        <w:tc>
          <w:tcPr>
            <w:tcW w:w="20" w:type="dxa"/>
            <w:vAlign w:val="bottom"/>
            <w:tcBorders>
              <w:top w:val="single" w:sz="8" w:color="auto"/>
            </w:tcBorders>
            <w:shd w:val="clear" w:color="auto" w:fill="CCEECC"/>
          </w:tcPr>
          <w:p>
            <w:pPr>
              <w:spacing w:after="0"/>
              <w:rPr>
                <w:sz w:val="18"/>
                <w:szCs w:val="18"/>
                <w:color w:val="auto"/>
              </w:rPr>
            </w:pPr>
          </w:p>
        </w:tc>
        <w:tc>
          <w:tcPr>
            <w:tcW w:w="60" w:type="dxa"/>
            <w:vAlign w:val="bottom"/>
            <w:tcBorders>
              <w:top w:val="single" w:sz="8" w:color="auto"/>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00"/>
              <w:spacing w:after="0"/>
              <w:rPr>
                <w:sz w:val="20"/>
                <w:szCs w:val="20"/>
                <w:color w:val="auto"/>
              </w:rPr>
            </w:pPr>
            <w:r>
              <w:rPr>
                <w:rFonts w:ascii="Arial" w:cs="Arial" w:eastAsia="Arial" w:hAnsi="Arial"/>
                <w:sz w:val="18"/>
                <w:szCs w:val="18"/>
                <w:color w:val="auto"/>
              </w:rPr>
              <w:t>Net income (loss) for the period</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260,109</w:t>
            </w:r>
          </w:p>
        </w:tc>
        <w:tc>
          <w:tcPr>
            <w:tcW w:w="1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(482,969)</w:t>
            </w:r>
          </w:p>
        </w:tc>
        <w:tc>
          <w:tcPr>
            <w:tcW w:w="0" w:type="dxa"/>
            <w:vAlign w:val="bottom"/>
          </w:tcPr>
          <w:p>
            <w:pPr>
              <w:spacing w:after="0"/>
              <w:rPr>
                <w:sz w:val="1"/>
                <w:szCs w:val="1"/>
                <w:color w:val="auto"/>
              </w:rPr>
            </w:pPr>
          </w:p>
        </w:tc>
      </w:tr>
      <w:tr>
        <w:trPr>
          <w:trHeight w:val="202"/>
        </w:trPr>
        <w:tc>
          <w:tcPr>
            <w:tcW w:w="5480" w:type="dxa"/>
            <w:vAlign w:val="bottom"/>
            <w:shd w:val="clear" w:color="auto" w:fill="CCEECC"/>
          </w:tcPr>
          <w:p>
            <w:pPr>
              <w:ind w:left="200"/>
              <w:spacing w:after="0" w:line="201" w:lineRule="exact"/>
              <w:rPr>
                <w:sz w:val="20"/>
                <w:szCs w:val="20"/>
                <w:color w:val="auto"/>
              </w:rPr>
            </w:pPr>
            <w:r>
              <w:rPr>
                <w:rFonts w:ascii="Arial" w:cs="Arial" w:eastAsia="Arial" w:hAnsi="Arial"/>
                <w:sz w:val="18"/>
                <w:szCs w:val="18"/>
                <w:color w:val="auto"/>
                <w:w w:val="90"/>
              </w:rPr>
              <w:t>Adjustments to reconcile net income (loss) to net cash provided by (used</w:t>
            </w:r>
          </w:p>
        </w:tc>
        <w:tc>
          <w:tcPr>
            <w:tcW w:w="300" w:type="dxa"/>
            <w:vAlign w:val="bottom"/>
            <w:shd w:val="clear" w:color="auto" w:fill="CCEECC"/>
          </w:tcPr>
          <w:p>
            <w:pPr>
              <w:spacing w:after="0"/>
              <w:rPr>
                <w:sz w:val="17"/>
                <w:szCs w:val="17"/>
                <w:color w:val="auto"/>
              </w:rPr>
            </w:pPr>
          </w:p>
        </w:tc>
        <w:tc>
          <w:tcPr>
            <w:tcW w:w="10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CC"/>
          </w:tcPr>
          <w:p>
            <w:pPr>
              <w:ind w:left="200"/>
              <w:spacing w:after="0"/>
              <w:rPr>
                <w:sz w:val="20"/>
                <w:szCs w:val="20"/>
                <w:color w:val="auto"/>
              </w:rPr>
            </w:pPr>
            <w:r>
              <w:rPr>
                <w:rFonts w:ascii="Arial" w:cs="Arial" w:eastAsia="Arial" w:hAnsi="Arial"/>
                <w:sz w:val="18"/>
                <w:szCs w:val="18"/>
                <w:color w:val="auto"/>
              </w:rPr>
              <w:t>in) operating activities:</w:t>
            </w:r>
          </w:p>
        </w:tc>
        <w:tc>
          <w:tcPr>
            <w:tcW w:w="300" w:type="dxa"/>
            <w:vAlign w:val="bottom"/>
            <w:shd w:val="clear" w:color="auto" w:fill="CCEECC"/>
          </w:tcPr>
          <w:p>
            <w:pPr>
              <w:spacing w:after="0"/>
              <w:rPr>
                <w:sz w:val="20"/>
                <w:szCs w:val="20"/>
                <w:color w:val="auto"/>
              </w:rPr>
            </w:pPr>
          </w:p>
        </w:tc>
        <w:tc>
          <w:tcPr>
            <w:tcW w:w="10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60" w:type="dxa"/>
            <w:vAlign w:val="bottom"/>
            <w:shd w:val="clear" w:color="auto" w:fill="CCEECC"/>
          </w:tcPr>
          <w:p>
            <w:pPr>
              <w:spacing w:after="0"/>
              <w:rPr>
                <w:sz w:val="20"/>
                <w:szCs w:val="20"/>
                <w:color w:val="auto"/>
              </w:rPr>
            </w:pPr>
          </w:p>
        </w:tc>
        <w:tc>
          <w:tcPr>
            <w:tcW w:w="300" w:type="dxa"/>
            <w:vAlign w:val="bottom"/>
            <w:shd w:val="clear" w:color="auto" w:fill="CCEECC"/>
          </w:tcPr>
          <w:p>
            <w:pPr>
              <w:spacing w:after="0"/>
              <w:rPr>
                <w:sz w:val="20"/>
                <w:szCs w:val="20"/>
                <w:color w:val="auto"/>
              </w:rPr>
            </w:pPr>
          </w:p>
        </w:tc>
        <w:tc>
          <w:tcPr>
            <w:tcW w:w="10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144,562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140,087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310,823</w:t>
            </w:r>
          </w:p>
        </w:tc>
        <w:tc>
          <w:tcPr>
            <w:tcW w:w="16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227,922</w:t>
            </w: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00"/>
              <w:spacing w:after="0"/>
              <w:rPr>
                <w:sz w:val="20"/>
                <w:szCs w:val="20"/>
                <w:color w:val="auto"/>
              </w:rPr>
            </w:pPr>
            <w:r>
              <w:rPr>
                <w:rFonts w:ascii="Arial" w:cs="Arial" w:eastAsia="Arial" w:hAnsi="Arial"/>
                <w:sz w:val="18"/>
                <w:szCs w:val="18"/>
                <w:color w:val="auto"/>
              </w:rPr>
              <w:t>Changes in:</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(532,109)</w:t>
            </w:r>
          </w:p>
        </w:tc>
        <w:tc>
          <w:tcPr>
            <w:tcW w:w="16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140" w:type="dxa"/>
            <w:vAlign w:val="bottom"/>
            <w:gridSpan w:val="3"/>
            <w:shd w:val="clear" w:color="auto" w:fill="CCEECC"/>
          </w:tcPr>
          <w:p>
            <w:pPr>
              <w:jc w:val="right"/>
              <w:ind w:right="20"/>
              <w:spacing w:after="0"/>
              <w:rPr>
                <w:sz w:val="20"/>
                <w:szCs w:val="20"/>
                <w:color w:val="auto"/>
              </w:rPr>
            </w:pPr>
            <w:r>
              <w:rPr>
                <w:rFonts w:ascii="Arial" w:cs="Arial" w:eastAsia="Arial" w:hAnsi="Arial"/>
                <w:sz w:val="18"/>
                <w:szCs w:val="18"/>
                <w:color w:val="auto"/>
              </w:rPr>
              <w:t>(171,779)</w:t>
            </w:r>
          </w:p>
        </w:tc>
        <w:tc>
          <w:tcPr>
            <w:tcW w:w="0" w:type="dxa"/>
            <w:vAlign w:val="bottom"/>
          </w:tcPr>
          <w:p>
            <w:pPr>
              <w:spacing w:after="0"/>
              <w:rPr>
                <w:sz w:val="1"/>
                <w:szCs w:val="1"/>
                <w:color w:val="auto"/>
              </w:rPr>
            </w:pPr>
          </w:p>
        </w:tc>
      </w:tr>
      <w:tr>
        <w:trPr>
          <w:trHeight w:val="216"/>
        </w:trPr>
        <w:tc>
          <w:tcPr>
            <w:tcW w:w="5480" w:type="dxa"/>
            <w:vAlign w:val="bottom"/>
          </w:tcPr>
          <w:p>
            <w:pPr>
              <w:ind w:left="320"/>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41,822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74,140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119,760</w:t>
            </w:r>
          </w:p>
        </w:tc>
        <w:tc>
          <w:tcPr>
            <w:tcW w:w="16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140" w:type="dxa"/>
            <w:vAlign w:val="bottom"/>
            <w:gridSpan w:val="3"/>
            <w:shd w:val="clear" w:color="auto" w:fill="CCEECC"/>
          </w:tcPr>
          <w:p>
            <w:pPr>
              <w:jc w:val="right"/>
              <w:ind w:right="20"/>
              <w:spacing w:after="0"/>
              <w:rPr>
                <w:sz w:val="20"/>
                <w:szCs w:val="20"/>
                <w:color w:val="auto"/>
              </w:rPr>
            </w:pPr>
            <w:r>
              <w:rPr>
                <w:rFonts w:ascii="Arial" w:cs="Arial" w:eastAsia="Arial" w:hAnsi="Arial"/>
                <w:sz w:val="18"/>
                <w:szCs w:val="18"/>
                <w:color w:val="auto"/>
              </w:rPr>
              <w:t>(328,236)</w:t>
            </w:r>
          </w:p>
        </w:tc>
        <w:tc>
          <w:tcPr>
            <w:tcW w:w="0" w:type="dxa"/>
            <w:vAlign w:val="bottom"/>
          </w:tcPr>
          <w:p>
            <w:pPr>
              <w:spacing w:after="0"/>
              <w:rPr>
                <w:sz w:val="1"/>
                <w:szCs w:val="1"/>
                <w:color w:val="auto"/>
              </w:rPr>
            </w:pPr>
          </w:p>
        </w:tc>
      </w:tr>
      <w:tr>
        <w:trPr>
          <w:trHeight w:val="216"/>
        </w:trPr>
        <w:tc>
          <w:tcPr>
            <w:tcW w:w="548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(6,000)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(66,000)</w:t>
            </w:r>
          </w:p>
        </w:tc>
        <w:tc>
          <w:tcPr>
            <w:tcW w:w="0" w:type="dxa"/>
            <w:vAlign w:val="bottom"/>
          </w:tcPr>
          <w:p>
            <w:pPr>
              <w:spacing w:after="0"/>
              <w:rPr>
                <w:sz w:val="1"/>
                <w:szCs w:val="1"/>
                <w:color w:val="auto"/>
              </w:rPr>
            </w:pPr>
          </w:p>
        </w:tc>
      </w:tr>
      <w:tr>
        <w:trPr>
          <w:trHeight w:val="230"/>
        </w:trPr>
        <w:tc>
          <w:tcPr>
            <w:tcW w:w="54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(35,980)</w:t>
            </w:r>
          </w:p>
        </w:tc>
        <w:tc>
          <w:tcPr>
            <w:tcW w:w="160" w:type="dxa"/>
            <w:vAlign w:val="bottom"/>
            <w:shd w:val="clear" w:color="auto" w:fill="CCEECC"/>
          </w:tcPr>
          <w:p>
            <w:pPr>
              <w:spacing w:after="0"/>
              <w:rPr>
                <w:sz w:val="19"/>
                <w:szCs w:val="19"/>
                <w:color w:val="auto"/>
              </w:rPr>
            </w:pPr>
          </w:p>
        </w:tc>
        <w:tc>
          <w:tcPr>
            <w:tcW w:w="300" w:type="dxa"/>
            <w:vAlign w:val="bottom"/>
            <w:shd w:val="clear" w:color="auto" w:fill="CCEECC"/>
          </w:tcPr>
          <w:p>
            <w:pPr>
              <w:spacing w:after="0"/>
              <w:rPr>
                <w:sz w:val="19"/>
                <w:szCs w:val="19"/>
                <w:color w:val="auto"/>
              </w:rPr>
            </w:pPr>
          </w:p>
        </w:tc>
        <w:tc>
          <w:tcPr>
            <w:tcW w:w="1140" w:type="dxa"/>
            <w:vAlign w:val="bottom"/>
            <w:gridSpan w:val="3"/>
            <w:shd w:val="clear" w:color="auto" w:fill="CCEECC"/>
          </w:tcPr>
          <w:p>
            <w:pPr>
              <w:jc w:val="right"/>
              <w:ind w:right="20"/>
              <w:spacing w:after="0"/>
              <w:rPr>
                <w:sz w:val="20"/>
                <w:szCs w:val="20"/>
                <w:color w:val="auto"/>
              </w:rPr>
            </w:pPr>
            <w:r>
              <w:rPr>
                <w:rFonts w:ascii="Arial" w:cs="Arial" w:eastAsia="Arial" w:hAnsi="Arial"/>
                <w:sz w:val="18"/>
                <w:szCs w:val="18"/>
                <w:color w:val="auto"/>
              </w:rPr>
              <w:t>(18,831)</w:t>
            </w:r>
          </w:p>
        </w:tc>
        <w:tc>
          <w:tcPr>
            <w:tcW w:w="0" w:type="dxa"/>
            <w:vAlign w:val="bottom"/>
          </w:tcPr>
          <w:p>
            <w:pPr>
              <w:spacing w:after="0"/>
              <w:rPr>
                <w:sz w:val="1"/>
                <w:szCs w:val="1"/>
                <w:color w:val="auto"/>
              </w:rPr>
            </w:pPr>
          </w:p>
        </w:tc>
      </w:tr>
      <w:tr>
        <w:trPr>
          <w:trHeight w:val="210"/>
        </w:trPr>
        <w:tc>
          <w:tcPr>
            <w:tcW w:w="548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302,987</w:t>
            </w:r>
          </w:p>
        </w:tc>
        <w:tc>
          <w:tcPr>
            <w:tcW w:w="80" w:type="dxa"/>
            <w:vAlign w:val="bottom"/>
            <w:tcBorders>
              <w:bottom w:val="single" w:sz="8" w:color="CCEECC"/>
            </w:tcBorders>
          </w:tcPr>
          <w:p>
            <w:pPr>
              <w:spacing w:after="0"/>
              <w:rPr>
                <w:sz w:val="18"/>
                <w:szCs w:val="18"/>
                <w:color w:val="auto"/>
              </w:rPr>
            </w:pPr>
          </w:p>
        </w:tc>
        <w:tc>
          <w:tcPr>
            <w:tcW w:w="160" w:type="dxa"/>
            <w:vAlign w:val="bottom"/>
            <w:tcBorders>
              <w:bottom w:val="single" w:sz="8" w:color="CCEEC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(625,666</w:t>
            </w:r>
          </w:p>
        </w:tc>
        <w:tc>
          <w:tcPr>
            <w:tcW w:w="80" w:type="dxa"/>
            <w:vAlign w:val="bottom"/>
            <w:tcBorders>
              <w:bottom w:val="single" w:sz="8" w:color="CCEECC"/>
            </w:tcBorders>
            <w:gridSpan w:val="2"/>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4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CC"/>
          </w:tcPr>
          <w:p>
            <w:pPr>
              <w:ind w:left="12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140" w:type="dxa"/>
            <w:vAlign w:val="bottom"/>
            <w:gridSpan w:val="3"/>
            <w:shd w:val="clear" w:color="auto" w:fill="CCEECC"/>
          </w:tcPr>
          <w:p>
            <w:pPr>
              <w:jc w:val="right"/>
              <w:ind w:right="20"/>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16"/>
        </w:trPr>
        <w:tc>
          <w:tcPr>
            <w:tcW w:w="5480" w:type="dxa"/>
            <w:vAlign w:val="bottom"/>
          </w:tcPr>
          <w:p>
            <w:pPr>
              <w:ind w:left="120"/>
              <w:spacing w:after="0"/>
              <w:rPr>
                <w:sz w:val="20"/>
                <w:szCs w:val="20"/>
                <w:color w:val="auto"/>
              </w:rPr>
            </w:pPr>
            <w:r>
              <w:rPr>
                <w:rFonts w:ascii="Arial" w:cs="Arial" w:eastAsia="Arial" w:hAnsi="Arial"/>
                <w:sz w:val="18"/>
                <w:szCs w:val="18"/>
                <w:color w:val="auto"/>
              </w:rPr>
              <w:t>Patent rights</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(38,278)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CC"/>
          </w:tcPr>
          <w:p>
            <w:pPr>
              <w:ind w:left="120"/>
              <w:spacing w:after="0"/>
              <w:rPr>
                <w:sz w:val="20"/>
                <w:szCs w:val="20"/>
                <w:color w:val="auto"/>
              </w:rPr>
            </w:pPr>
            <w:r>
              <w:rPr>
                <w:rFonts w:ascii="Arial" w:cs="Arial" w:eastAsia="Arial" w:hAnsi="Arial"/>
                <w:sz w:val="18"/>
                <w:szCs w:val="18"/>
                <w:color w:val="auto"/>
              </w:rPr>
              <w:t>Web development costs</w:t>
            </w:r>
          </w:p>
        </w:tc>
        <w:tc>
          <w:tcPr>
            <w:tcW w:w="30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(62,280)</w:t>
            </w:r>
          </w:p>
        </w:tc>
        <w:tc>
          <w:tcPr>
            <w:tcW w:w="160" w:type="dxa"/>
            <w:vAlign w:val="bottom"/>
            <w:shd w:val="clear" w:color="auto" w:fill="CCEECC"/>
          </w:tcPr>
          <w:p>
            <w:pPr>
              <w:spacing w:after="0"/>
              <w:rPr>
                <w:sz w:val="19"/>
                <w:szCs w:val="19"/>
                <w:color w:val="auto"/>
              </w:rPr>
            </w:pPr>
          </w:p>
        </w:tc>
        <w:tc>
          <w:tcPr>
            <w:tcW w:w="300" w:type="dxa"/>
            <w:vAlign w:val="bottom"/>
            <w:shd w:val="clear" w:color="auto" w:fill="CCEECC"/>
          </w:tcPr>
          <w:p>
            <w:pPr>
              <w:spacing w:after="0"/>
              <w:rPr>
                <w:sz w:val="19"/>
                <w:szCs w:val="19"/>
                <w:color w:val="auto"/>
              </w:rPr>
            </w:pPr>
          </w:p>
        </w:tc>
        <w:tc>
          <w:tcPr>
            <w:tcW w:w="1140" w:type="dxa"/>
            <w:vAlign w:val="bottom"/>
            <w:gridSpan w:val="3"/>
            <w:shd w:val="clear" w:color="auto" w:fill="CCEECC"/>
          </w:tcPr>
          <w:p>
            <w:pPr>
              <w:jc w:val="right"/>
              <w:ind w:right="20"/>
              <w:spacing w:after="0"/>
              <w:rPr>
                <w:sz w:val="20"/>
                <w:szCs w:val="20"/>
                <w:color w:val="auto"/>
              </w:rPr>
            </w:pPr>
            <w:r>
              <w:rPr>
                <w:rFonts w:ascii="Arial" w:cs="Arial" w:eastAsia="Arial" w:hAnsi="Arial"/>
                <w:sz w:val="18"/>
                <w:szCs w:val="18"/>
                <w:color w:val="auto"/>
              </w:rPr>
              <w:t>(48,640)</w:t>
            </w:r>
          </w:p>
        </w:tc>
        <w:tc>
          <w:tcPr>
            <w:tcW w:w="0" w:type="dxa"/>
            <w:vAlign w:val="bottom"/>
          </w:tcPr>
          <w:p>
            <w:pPr>
              <w:spacing w:after="0"/>
              <w:rPr>
                <w:sz w:val="1"/>
                <w:szCs w:val="1"/>
                <w:color w:val="auto"/>
              </w:rPr>
            </w:pPr>
          </w:p>
        </w:tc>
      </w:tr>
      <w:tr>
        <w:trPr>
          <w:trHeight w:val="210"/>
        </w:trPr>
        <w:tc>
          <w:tcPr>
            <w:tcW w:w="54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(100,558)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(50,870)</w:t>
            </w:r>
          </w:p>
        </w:tc>
        <w:tc>
          <w:tcPr>
            <w:tcW w:w="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w w:val="98"/>
              </w:rPr>
              <w:t>NET INCREASE (DECREASE) IN CASH AND CASH EQUIVALENTS</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202,429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(676,536)</w:t>
            </w:r>
          </w:p>
        </w:tc>
        <w:tc>
          <w:tcPr>
            <w:tcW w:w="0" w:type="dxa"/>
            <w:vAlign w:val="bottom"/>
          </w:tcPr>
          <w:p>
            <w:pPr>
              <w:spacing w:after="0"/>
              <w:rPr>
                <w:sz w:val="1"/>
                <w:szCs w:val="1"/>
                <w:color w:val="auto"/>
              </w:rPr>
            </w:pPr>
          </w:p>
        </w:tc>
      </w:tr>
      <w:tr>
        <w:trPr>
          <w:trHeight w:val="216"/>
        </w:trPr>
        <w:tc>
          <w:tcPr>
            <w:tcW w:w="54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3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284,263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959,166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80" w:type="dxa"/>
            <w:vAlign w:val="bottom"/>
            <w:tcBorders>
              <w:top w:val="single" w:sz="8" w:color="CCEECC"/>
            </w:tcBorders>
            <w:shd w:val="clear" w:color="auto" w:fill="CCEECC"/>
          </w:tcPr>
          <w:p>
            <w:pPr>
              <w:spacing w:after="0"/>
              <w:rPr>
                <w:sz w:val="18"/>
                <w:szCs w:val="18"/>
                <w:color w:val="auto"/>
              </w:rPr>
            </w:pPr>
          </w:p>
        </w:tc>
        <w:tc>
          <w:tcPr>
            <w:tcW w:w="300" w:type="dxa"/>
            <w:vAlign w:val="bottom"/>
            <w:tcBorders>
              <w:top w:val="single" w:sz="8" w:color="auto"/>
            </w:tcBorders>
            <w:shd w:val="clear" w:color="auto" w:fill="CCEECC"/>
          </w:tcPr>
          <w:p>
            <w:pPr>
              <w:spacing w:after="0"/>
              <w:rPr>
                <w:sz w:val="18"/>
                <w:szCs w:val="18"/>
                <w:color w:val="auto"/>
              </w:rPr>
            </w:pPr>
          </w:p>
        </w:tc>
        <w:tc>
          <w:tcPr>
            <w:tcW w:w="1080" w:type="dxa"/>
            <w:vAlign w:val="bottom"/>
            <w:tcBorders>
              <w:top w:val="single" w:sz="8" w:color="auto"/>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300" w:type="dxa"/>
            <w:vAlign w:val="bottom"/>
            <w:tcBorders>
              <w:top w:val="single" w:sz="8" w:color="auto"/>
            </w:tcBorders>
            <w:shd w:val="clear" w:color="auto" w:fill="CCEECC"/>
          </w:tcPr>
          <w:p>
            <w:pPr>
              <w:spacing w:after="0"/>
              <w:rPr>
                <w:sz w:val="18"/>
                <w:szCs w:val="18"/>
                <w:color w:val="auto"/>
              </w:rPr>
            </w:pPr>
          </w:p>
        </w:tc>
        <w:tc>
          <w:tcPr>
            <w:tcW w:w="1060" w:type="dxa"/>
            <w:vAlign w:val="bottom"/>
            <w:tcBorders>
              <w:top w:val="single" w:sz="8" w:color="auto"/>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48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486,692</w:t>
            </w:r>
          </w:p>
        </w:tc>
        <w:tc>
          <w:tcPr>
            <w:tcW w:w="16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282,630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5480" w:type="dxa"/>
            <w:vAlign w:val="bottom"/>
            <w:tcBorders>
              <w:top w:val="single" w:sz="8" w:color="CCEECC"/>
            </w:tcBorders>
            <w:shd w:val="clear" w:color="auto" w:fill="CCEECC"/>
          </w:tcPr>
          <w:p>
            <w:pPr>
              <w:spacing w:after="0"/>
              <w:rPr>
                <w:sz w:val="17"/>
                <w:szCs w:val="17"/>
                <w:color w:val="auto"/>
              </w:rPr>
            </w:pPr>
          </w:p>
        </w:tc>
        <w:tc>
          <w:tcPr>
            <w:tcW w:w="300" w:type="dxa"/>
            <w:vAlign w:val="bottom"/>
            <w:tcBorders>
              <w:top w:val="single" w:sz="8" w:color="auto"/>
            </w:tcBorders>
            <w:shd w:val="clear" w:color="auto" w:fill="CCEECC"/>
          </w:tcPr>
          <w:p>
            <w:pPr>
              <w:spacing w:after="0"/>
              <w:rPr>
                <w:sz w:val="17"/>
                <w:szCs w:val="17"/>
                <w:color w:val="auto"/>
              </w:rPr>
            </w:pPr>
          </w:p>
        </w:tc>
        <w:tc>
          <w:tcPr>
            <w:tcW w:w="1080" w:type="dxa"/>
            <w:vAlign w:val="bottom"/>
            <w:tcBorders>
              <w:top w:val="single" w:sz="8" w:color="auto"/>
            </w:tcBorders>
            <w:shd w:val="clear" w:color="auto" w:fill="CCEECC"/>
          </w:tcPr>
          <w:p>
            <w:pPr>
              <w:spacing w:after="0"/>
              <w:rPr>
                <w:sz w:val="17"/>
                <w:szCs w:val="17"/>
                <w:color w:val="auto"/>
              </w:rPr>
            </w:pPr>
          </w:p>
        </w:tc>
        <w:tc>
          <w:tcPr>
            <w:tcW w:w="80" w:type="dxa"/>
            <w:vAlign w:val="bottom"/>
            <w:tcBorders>
              <w:top w:val="single" w:sz="8" w:color="CCEECC"/>
            </w:tcBorders>
            <w:shd w:val="clear" w:color="auto" w:fill="CCEECC"/>
          </w:tcPr>
          <w:p>
            <w:pPr>
              <w:spacing w:after="0"/>
              <w:rPr>
                <w:sz w:val="17"/>
                <w:szCs w:val="17"/>
                <w:color w:val="auto"/>
              </w:rPr>
            </w:pPr>
          </w:p>
        </w:tc>
        <w:tc>
          <w:tcPr>
            <w:tcW w:w="160" w:type="dxa"/>
            <w:vAlign w:val="bottom"/>
            <w:tcBorders>
              <w:top w:val="single" w:sz="8" w:color="CCEECC"/>
            </w:tcBorders>
            <w:shd w:val="clear" w:color="auto" w:fill="CCEECC"/>
          </w:tcPr>
          <w:p>
            <w:pPr>
              <w:spacing w:after="0"/>
              <w:rPr>
                <w:sz w:val="17"/>
                <w:szCs w:val="17"/>
                <w:color w:val="auto"/>
              </w:rPr>
            </w:pPr>
          </w:p>
        </w:tc>
        <w:tc>
          <w:tcPr>
            <w:tcW w:w="300" w:type="dxa"/>
            <w:vAlign w:val="bottom"/>
            <w:tcBorders>
              <w:top w:val="single" w:sz="8" w:color="auto"/>
            </w:tcBorders>
            <w:shd w:val="clear" w:color="auto" w:fill="CCEECC"/>
          </w:tcPr>
          <w:p>
            <w:pPr>
              <w:spacing w:after="0"/>
              <w:rPr>
                <w:sz w:val="17"/>
                <w:szCs w:val="17"/>
                <w:color w:val="auto"/>
              </w:rPr>
            </w:pPr>
          </w:p>
        </w:tc>
        <w:tc>
          <w:tcPr>
            <w:tcW w:w="1060" w:type="dxa"/>
            <w:vAlign w:val="bottom"/>
            <w:tcBorders>
              <w:top w:val="single" w:sz="8" w:color="auto"/>
            </w:tcBorders>
            <w:shd w:val="clear" w:color="auto" w:fill="CCEECC"/>
          </w:tcPr>
          <w:p>
            <w:pPr>
              <w:spacing w:after="0"/>
              <w:rPr>
                <w:sz w:val="17"/>
                <w:szCs w:val="17"/>
                <w:color w:val="auto"/>
              </w:rPr>
            </w:pPr>
          </w:p>
        </w:tc>
        <w:tc>
          <w:tcPr>
            <w:tcW w:w="20" w:type="dxa"/>
            <w:vAlign w:val="bottom"/>
            <w:tcBorders>
              <w:top w:val="single" w:sz="8" w:color="CCEECC"/>
            </w:tcBorders>
            <w:shd w:val="clear" w:color="auto" w:fill="CCEECC"/>
          </w:tcPr>
          <w:p>
            <w:pPr>
              <w:spacing w:after="0"/>
              <w:rPr>
                <w:sz w:val="17"/>
                <w:szCs w:val="17"/>
                <w:color w:val="auto"/>
              </w:rPr>
            </w:pPr>
          </w:p>
        </w:tc>
        <w:tc>
          <w:tcPr>
            <w:tcW w:w="60" w:type="dxa"/>
            <w:vAlign w:val="bottom"/>
            <w:tcBorders>
              <w:top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CC"/>
          </w:tcPr>
          <w:p>
            <w:pPr>
              <w:ind w:left="120"/>
              <w:spacing w:after="0"/>
              <w:rPr>
                <w:sz w:val="20"/>
                <w:szCs w:val="20"/>
                <w:color w:val="auto"/>
              </w:rPr>
            </w:pPr>
            <w:r>
              <w:rPr>
                <w:rFonts w:ascii="Arial" w:cs="Arial" w:eastAsia="Arial" w:hAnsi="Arial"/>
                <w:sz w:val="18"/>
                <w:szCs w:val="18"/>
                <w:color w:val="auto"/>
              </w:rPr>
              <w:t>Cash paid for interest</w:t>
            </w:r>
          </w:p>
        </w:tc>
        <w:tc>
          <w:tcPr>
            <w:tcW w:w="30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CC"/>
          </w:tcPr>
          <w:p>
            <w:pPr>
              <w:spacing w:after="0"/>
              <w:rPr>
                <w:sz w:val="21"/>
                <w:szCs w:val="21"/>
                <w:color w:val="auto"/>
              </w:rPr>
            </w:pPr>
          </w:p>
        </w:tc>
        <w:tc>
          <w:tcPr>
            <w:tcW w:w="30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CEECC"/>
              <w:bottom w:val="single" w:sz="8" w:color="CCEECC"/>
            </w:tcBorders>
            <w:vMerge w:val="restart"/>
          </w:tcPr>
          <w:p>
            <w:pPr>
              <w:ind w:left="120"/>
              <w:spacing w:after="0"/>
              <w:rPr>
                <w:sz w:val="20"/>
                <w:szCs w:val="20"/>
                <w:color w:val="auto"/>
              </w:rPr>
            </w:pPr>
            <w:r>
              <w:rPr>
                <w:rFonts w:ascii="Arial" w:cs="Arial" w:eastAsia="Arial" w:hAnsi="Arial"/>
                <w:sz w:val="18"/>
                <w:szCs w:val="18"/>
                <w:color w:val="auto"/>
              </w:rPr>
              <w:t>Cash paid for income taxes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bottom w:val="single" w:sz="8" w:color="CCEECC"/>
            </w:tcBorders>
            <w:vMerge w:val="restart"/>
          </w:tcPr>
          <w:p>
            <w:pPr>
              <w:spacing w:after="0" w:line="20" w:lineRule="exact"/>
              <w:rPr>
                <w:sz w:val="1"/>
                <w:szCs w:val="1"/>
                <w:color w:val="auto"/>
              </w:rPr>
            </w:pPr>
          </w:p>
        </w:tc>
        <w:tc>
          <w:tcPr>
            <w:tcW w:w="160" w:type="dxa"/>
            <w:vAlign w:val="bottom"/>
            <w:tcBorders>
              <w:top w:val="single" w:sz="8" w:color="CCEECC"/>
              <w:bottom w:val="single" w:sz="8" w:color="CCEECC"/>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CC"/>
              <w:bottom w:val="single" w:sz="8" w:color="CCEECC"/>
            </w:tcBorders>
            <w:vMerge w:val="restart"/>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80" w:type="dxa"/>
            <w:vAlign w:val="bottom"/>
            <w:tcBorders>
              <w:bottom w:val="single" w:sz="8" w:color="CCEECC"/>
            </w:tcBorders>
            <w:vMerge w:val="continue"/>
          </w:tcPr>
          <w:p>
            <w:pPr>
              <w:spacing w:after="0"/>
              <w:rPr>
                <w:sz w:val="20"/>
                <w:szCs w:val="20"/>
                <w:color w:val="auto"/>
              </w:rPr>
            </w:pPr>
          </w:p>
        </w:tc>
        <w:tc>
          <w:tcPr>
            <w:tcW w:w="3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p>
        </w:tc>
        <w:tc>
          <w:tcPr>
            <w:tcW w:w="80" w:type="dxa"/>
            <w:vAlign w:val="bottom"/>
            <w:tcBorders>
              <w:bottom w:val="single" w:sz="8" w:color="CCEECC"/>
            </w:tcBorders>
            <w:vMerge w:val="continue"/>
          </w:tcPr>
          <w:p>
            <w:pPr>
              <w:spacing w:after="0"/>
              <w:rPr>
                <w:sz w:val="20"/>
                <w:szCs w:val="20"/>
                <w:color w:val="auto"/>
              </w:rPr>
            </w:pPr>
          </w:p>
        </w:tc>
        <w:tc>
          <w:tcPr>
            <w:tcW w:w="160" w:type="dxa"/>
            <w:vAlign w:val="bottom"/>
            <w:tcBorders>
              <w:bottom w:val="single" w:sz="8" w:color="CCEECC"/>
            </w:tcBorders>
            <w:vMerge w:val="continue"/>
          </w:tcPr>
          <w:p>
            <w:pPr>
              <w:spacing w:after="0"/>
              <w:rPr>
                <w:sz w:val="20"/>
                <w:szCs w:val="20"/>
                <w:color w:val="auto"/>
              </w:rPr>
            </w:pPr>
          </w:p>
        </w:tc>
        <w:tc>
          <w:tcPr>
            <w:tcW w:w="3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p>
        </w:tc>
        <w:tc>
          <w:tcPr>
            <w:tcW w:w="20" w:type="dxa"/>
            <w:vAlign w:val="bottom"/>
            <w:tcBorders>
              <w:bottom w:val="single" w:sz="8" w:color="CCEECC"/>
            </w:tcBorders>
            <w:vMerge w:val="continue"/>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5480" w:type="dxa"/>
            <w:vAlign w:val="bottom"/>
            <w:shd w:val="clear" w:color="auto" w:fill="CCEECC"/>
          </w:tcPr>
          <w:p>
            <w:pPr>
              <w:spacing w:after="0" w:line="151" w:lineRule="exact"/>
              <w:rPr>
                <w:sz w:val="20"/>
                <w:szCs w:val="20"/>
                <w:color w:val="auto"/>
              </w:rPr>
            </w:pPr>
            <w:r>
              <w:rPr>
                <w:rFonts w:ascii="Arial" w:cs="Arial" w:eastAsia="Arial" w:hAnsi="Arial"/>
                <w:sz w:val="17"/>
                <w:szCs w:val="17"/>
                <w:b w:val="1"/>
                <w:bCs w:val="1"/>
                <w:color w:val="auto"/>
              </w:rPr>
              <w:t>SUPPLEMENTAL DISCLOSURE OF NONCASH INVESTING AND</w:t>
            </w:r>
          </w:p>
        </w:tc>
        <w:tc>
          <w:tcPr>
            <w:tcW w:w="300" w:type="dxa"/>
            <w:vAlign w:val="bottom"/>
            <w:shd w:val="clear" w:color="auto" w:fill="CCEECC"/>
          </w:tcPr>
          <w:p>
            <w:pPr>
              <w:spacing w:after="0"/>
              <w:rPr>
                <w:sz w:val="13"/>
                <w:szCs w:val="13"/>
                <w:color w:val="auto"/>
              </w:rPr>
            </w:pPr>
          </w:p>
        </w:tc>
        <w:tc>
          <w:tcPr>
            <w:tcW w:w="1080" w:type="dxa"/>
            <w:vAlign w:val="bottom"/>
            <w:shd w:val="clear" w:color="auto" w:fill="CCEECC"/>
          </w:tcPr>
          <w:p>
            <w:pPr>
              <w:spacing w:after="0"/>
              <w:rPr>
                <w:sz w:val="13"/>
                <w:szCs w:val="13"/>
                <w:color w:val="auto"/>
              </w:rPr>
            </w:pPr>
          </w:p>
        </w:tc>
        <w:tc>
          <w:tcPr>
            <w:tcW w:w="80" w:type="dxa"/>
            <w:vAlign w:val="bottom"/>
            <w:shd w:val="clear" w:color="auto" w:fill="CCEECC"/>
          </w:tcPr>
          <w:p>
            <w:pPr>
              <w:spacing w:after="0"/>
              <w:rPr>
                <w:sz w:val="13"/>
                <w:szCs w:val="13"/>
                <w:color w:val="auto"/>
              </w:rPr>
            </w:pPr>
          </w:p>
        </w:tc>
        <w:tc>
          <w:tcPr>
            <w:tcW w:w="160" w:type="dxa"/>
            <w:vAlign w:val="bottom"/>
            <w:shd w:val="clear" w:color="auto" w:fill="CCEECC"/>
          </w:tcPr>
          <w:p>
            <w:pPr>
              <w:spacing w:after="0"/>
              <w:rPr>
                <w:sz w:val="13"/>
                <w:szCs w:val="13"/>
                <w:color w:val="auto"/>
              </w:rPr>
            </w:pPr>
          </w:p>
        </w:tc>
        <w:tc>
          <w:tcPr>
            <w:tcW w:w="300" w:type="dxa"/>
            <w:vAlign w:val="bottom"/>
            <w:shd w:val="clear" w:color="auto" w:fill="CCEECC"/>
          </w:tcPr>
          <w:p>
            <w:pPr>
              <w:spacing w:after="0"/>
              <w:rPr>
                <w:sz w:val="13"/>
                <w:szCs w:val="13"/>
                <w:color w:val="auto"/>
              </w:rPr>
            </w:pPr>
          </w:p>
        </w:tc>
        <w:tc>
          <w:tcPr>
            <w:tcW w:w="1060" w:type="dxa"/>
            <w:vAlign w:val="bottom"/>
            <w:shd w:val="clear" w:color="auto" w:fill="CCEECC"/>
          </w:tcPr>
          <w:p>
            <w:pPr>
              <w:spacing w:after="0"/>
              <w:rPr>
                <w:sz w:val="13"/>
                <w:szCs w:val="13"/>
                <w:color w:val="auto"/>
              </w:rPr>
            </w:pPr>
          </w:p>
        </w:tc>
        <w:tc>
          <w:tcPr>
            <w:tcW w:w="20" w:type="dxa"/>
            <w:vAlign w:val="bottom"/>
            <w:shd w:val="clear" w:color="auto" w:fill="CCEECC"/>
          </w:tcPr>
          <w:p>
            <w:pPr>
              <w:spacing w:after="0"/>
              <w:rPr>
                <w:sz w:val="13"/>
                <w:szCs w:val="13"/>
                <w:color w:val="auto"/>
              </w:rPr>
            </w:pPr>
          </w:p>
        </w:tc>
        <w:tc>
          <w:tcPr>
            <w:tcW w:w="60" w:type="dxa"/>
            <w:vAlign w:val="bottom"/>
            <w:shd w:val="clear" w:color="auto" w:fill="CCEEC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48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shd w:val="clear" w:color="auto" w:fill="CCEECC"/>
          </w:tcPr>
          <w:p>
            <w:pPr>
              <w:spacing w:after="0"/>
              <w:rPr>
                <w:sz w:val="20"/>
                <w:szCs w:val="20"/>
                <w:color w:val="auto"/>
              </w:rPr>
            </w:pPr>
          </w:p>
        </w:tc>
        <w:tc>
          <w:tcPr>
            <w:tcW w:w="10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60" w:type="dxa"/>
            <w:vAlign w:val="bottom"/>
            <w:shd w:val="clear" w:color="auto" w:fill="CCEECC"/>
          </w:tcPr>
          <w:p>
            <w:pPr>
              <w:spacing w:after="0"/>
              <w:rPr>
                <w:sz w:val="20"/>
                <w:szCs w:val="20"/>
                <w:color w:val="auto"/>
              </w:rPr>
            </w:pPr>
          </w:p>
        </w:tc>
        <w:tc>
          <w:tcPr>
            <w:tcW w:w="300" w:type="dxa"/>
            <w:vAlign w:val="bottom"/>
            <w:shd w:val="clear" w:color="auto" w:fill="CCEECC"/>
          </w:tcPr>
          <w:p>
            <w:pPr>
              <w:spacing w:after="0"/>
              <w:rPr>
                <w:sz w:val="20"/>
                <w:szCs w:val="20"/>
                <w:color w:val="auto"/>
              </w:rPr>
            </w:pPr>
          </w:p>
        </w:tc>
        <w:tc>
          <w:tcPr>
            <w:tcW w:w="10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120"/>
              <w:spacing w:after="0"/>
              <w:rPr>
                <w:sz w:val="20"/>
                <w:szCs w:val="20"/>
                <w:color w:val="auto"/>
              </w:rPr>
            </w:pPr>
            <w:r>
              <w:rPr>
                <w:rFonts w:ascii="Arial" w:cs="Arial" w:eastAsia="Arial" w:hAnsi="Arial"/>
                <w:sz w:val="18"/>
                <w:szCs w:val="18"/>
                <w:color w:val="auto"/>
              </w:rPr>
              <w:t>Common stock issued in officer settlement upon severance</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505,000</w:t>
            </w:r>
          </w:p>
        </w:tc>
        <w:tc>
          <w:tcPr>
            <w:tcW w:w="160" w:type="dxa"/>
            <w:vAlign w:val="bottom"/>
          </w:tcPr>
          <w:p>
            <w:pPr>
              <w:spacing w:after="0"/>
              <w:rPr>
                <w:sz w:val="21"/>
                <w:szCs w:val="21"/>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33" w:right="1440"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Optimizer Systems, LLC was formed in the State of Michigan on January 31, 2006. It then became a corporation in the State of Michigan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a wholly-owned subsidiary (together, "OptimizeRx" and "the Company").</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wholly-owned subsidiary, OptimizeRx Corporation, is a technology solutions company targeting the health care industry. Their objective is to bring better access to better care through connecting patients, physicians and pharmaceutical manufacturers through technology. Once defined as a marketing and advertising company through its consumer website, OptimizeRx is maturing as a technology solutions provider as it launched its direct to physician solution, SampleMD. SampleMD allows physicians to search, print and send available sample trial vouchers and/or co-pay coupons on behalf of their patients. The SampleMD solution can either sit on the doctor’s desktop or can be integrated into the ePrescribing or Electronic Medical Records applications. OptimizeRx solutions provide pharmaceutical manufacturers either a direct to consumer and/or direct to physician channels for communicating and promoting their products. It provides health care providers a means to provide sampling and coupons without having to physically store samples on site, and it provides better access and affordability to the patients.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interim consolidated financial statements have been prepared in accordance with accounting principles generally accepted in the United States of America and the rules of the Securities and Exchange Commission (“SEC”), and should be read in conjunction with the audited financial statements and notes thereto contained in the Company’s Form 10-K filed with the SEC as of and for the year ended December 31, 2012. In the opinion of management, all adjustments necessary for the financial statements to be not misleading for the interim periods presented have been reflected herein. The results of operations for interim periods are not necessarily indicative of the results to be expected for the full year.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Basis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uses the accrual basis of accounting and accounting principles generally accepted in the United States of America (“GAAP” accounting). The Company has adopted a December 31 fiscal year end.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with an initial maturity of three months or less to be cash equivalents.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fair value of cash, accounts receivable, prepaid expenses, patent rights, web development costs, accounts payable, accounts payable – related party, accrued expenses and deferred revenue approximates the carrying amount of these financial instruments due to their short-term nature. The fair value of long-term debt, which approximates its carrying value, is based on current rates at which the Company could borrow funds with similar remaining maturities.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and Allowance for Doubtful Accounts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Accounts receivable are reported at realizable value, net of allowances for doubtful accounts, which is estimated and recorded in the period the related revenue is recorded.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Bad debt expense was $0 for the nine months ended September 30, 2013 and 2012, respectively. The allowance for doubtful accounts was $0 as of September 30, 2013 and December 31, 2012,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capital assets are being depreciated over their estimated useful lives, three to seven years using the straight-line method of depreciation for book purposes.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revenue is recognized when it is earned. Revenues are generated either through the Company’s website activities, in which we earn revenue from advertising and lead generation activities, or from our SampleMD activities, which include offering setup within the systems and our offers, coupons, and vouchers that enable our customers to save money on medical products and services. The Company’s processes are monitored by third parties who collect revenues from clients on a per activity basis and report and forward the revenue to the Company’s account.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Company’s key members are part of a continual research development team and monitor new technologies, trends, services and partnerships that can provide the Company with additional services, value to healthcare and pharmaceutical industries and to the patients it serves.</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seeks to educate team members through understanding of all market dynamics that have the potential to affect the business both short term and longer term. The primary goal is to help patients better afford and access the medicines their doctor prescribes, as well as other healthcare products and services they need. Based on this, the Company continually seeks better ways to meet this mission through technology, better user experiences and new ways to engage industries to provide new support for patients needing their products. The Company is always seeking new services and solutions to offer. At this time, the three current platforms provide robust opportunities and growth during the next five years.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provided for the amount of deferred tax assets that, based on available evidence, are not expected to be realized.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and the allowance for doubtful accounts receivable. Actual results could differ from these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Common and Common Equivalent Share</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which are common stock equivalents are included in the per share calculation for the three and nine months ended September 30, 2013. They have not been included in the diluted earnings per share calculation for the three and nine months ended September 30, 2012 since their effect is anti-dilutive.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operations, financial position or cash flow.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3 – PREPAID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consisted of the following as of September 30, 2013 and December 31, 2012:</w:t>
      </w:r>
    </w:p>
    <w:p>
      <w:pPr>
        <w:spacing w:after="0" w:line="239" w:lineRule="exact"/>
        <w:rPr>
          <w:sz w:val="20"/>
          <w:szCs w:val="20"/>
          <w:color w:val="auto"/>
        </w:rPr>
      </w:pPr>
    </w:p>
    <w:tbl>
      <w:tblPr>
        <w:tblLayout w:type="fixed"/>
        <w:tblInd w:w="2880" w:type="dxa"/>
        <w:tblCellMar>
          <w:top w:w="0" w:type="dxa"/>
          <w:left w:w="0" w:type="dxa"/>
          <w:bottom w:w="0" w:type="dxa"/>
          <w:right w:w="0" w:type="dxa"/>
        </w:tblCellMar>
      </w:tblPr>
      <w:tr>
        <w:trPr>
          <w:trHeight w:val="230"/>
        </w:trPr>
        <w:tc>
          <w:tcPr>
            <w:tcW w:w="3020" w:type="dxa"/>
            <w:vAlign w:val="bottom"/>
            <w:tcBorders>
              <w:bottom w:val="single" w:sz="8" w:color="CCEE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r>
      <w:tr>
        <w:trPr>
          <w:trHeight w:val="210"/>
        </w:trPr>
        <w:tc>
          <w:tcPr>
            <w:tcW w:w="3020" w:type="dxa"/>
            <w:vAlign w:val="bottom"/>
            <w:shd w:val="clear" w:color="auto" w:fill="CCEECC"/>
          </w:tcPr>
          <w:p>
            <w:pPr>
              <w:ind w:left="80"/>
              <w:spacing w:after="0"/>
              <w:rPr>
                <w:sz w:val="20"/>
                <w:szCs w:val="20"/>
                <w:color w:val="auto"/>
              </w:rPr>
            </w:pPr>
            <w:r>
              <w:rPr>
                <w:rFonts w:ascii="Arial" w:cs="Arial" w:eastAsia="Arial" w:hAnsi="Arial"/>
                <w:sz w:val="18"/>
                <w:szCs w:val="18"/>
                <w:color w:val="auto"/>
              </w:rPr>
              <w:t>Insurance</w:t>
            </w:r>
          </w:p>
        </w:tc>
        <w:tc>
          <w:tcPr>
            <w:tcW w:w="260" w:type="dxa"/>
            <w:vAlign w:val="bottom"/>
            <w:shd w:val="clear" w:color="auto" w:fill="CCEEC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6,653</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280" w:type="dxa"/>
            <w:vAlign w:val="bottom"/>
            <w:shd w:val="clear" w:color="auto" w:fill="CCEEC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6,437</w:t>
            </w:r>
          </w:p>
        </w:tc>
        <w:tc>
          <w:tcPr>
            <w:tcW w:w="60" w:type="dxa"/>
            <w:vAlign w:val="bottom"/>
            <w:shd w:val="clear" w:color="auto" w:fill="CCEECC"/>
          </w:tcPr>
          <w:p>
            <w:pPr>
              <w:spacing w:after="0"/>
              <w:rPr>
                <w:sz w:val="18"/>
                <w:szCs w:val="18"/>
                <w:color w:val="auto"/>
              </w:rPr>
            </w:pPr>
          </w:p>
        </w:tc>
      </w:tr>
      <w:tr>
        <w:trPr>
          <w:trHeight w:val="216"/>
        </w:trPr>
        <w:tc>
          <w:tcPr>
            <w:tcW w:w="3020" w:type="dxa"/>
            <w:vAlign w:val="bottom"/>
          </w:tcPr>
          <w:p>
            <w:pPr>
              <w:ind w:left="80"/>
              <w:spacing w:after="0"/>
              <w:rPr>
                <w:sz w:val="20"/>
                <w:szCs w:val="20"/>
                <w:color w:val="auto"/>
              </w:rPr>
            </w:pPr>
            <w:r>
              <w:rPr>
                <w:rFonts w:ascii="Arial" w:cs="Arial" w:eastAsia="Arial" w:hAnsi="Arial"/>
                <w:sz w:val="18"/>
                <w:szCs w:val="18"/>
                <w:color w:val="auto"/>
              </w:rPr>
              <w:t>Rent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5,049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5,049</w:t>
            </w:r>
          </w:p>
        </w:tc>
        <w:tc>
          <w:tcPr>
            <w:tcW w:w="60" w:type="dxa"/>
            <w:vAlign w:val="bottom"/>
          </w:tcPr>
          <w:p>
            <w:pPr>
              <w:spacing w:after="0"/>
              <w:rPr>
                <w:sz w:val="18"/>
                <w:szCs w:val="18"/>
                <w:color w:val="auto"/>
              </w:rPr>
            </w:pPr>
          </w:p>
        </w:tc>
      </w:tr>
      <w:tr>
        <w:trPr>
          <w:trHeight w:val="216"/>
        </w:trPr>
        <w:tc>
          <w:tcPr>
            <w:tcW w:w="3020" w:type="dxa"/>
            <w:vAlign w:val="bottom"/>
            <w:shd w:val="clear" w:color="auto" w:fill="CCEECC"/>
          </w:tcPr>
          <w:p>
            <w:pPr>
              <w:ind w:left="80"/>
              <w:spacing w:after="0"/>
              <w:rPr>
                <w:sz w:val="20"/>
                <w:szCs w:val="20"/>
                <w:color w:val="auto"/>
              </w:rPr>
            </w:pPr>
            <w:r>
              <w:rPr>
                <w:rFonts w:ascii="Arial" w:cs="Arial" w:eastAsia="Arial" w:hAnsi="Arial"/>
                <w:sz w:val="18"/>
                <w:szCs w:val="18"/>
                <w:color w:val="auto"/>
              </w:rPr>
              <w:t>Consulting</w:t>
            </w:r>
          </w:p>
        </w:tc>
        <w:tc>
          <w:tcPr>
            <w:tcW w:w="260" w:type="dxa"/>
            <w:vAlign w:val="bottom"/>
            <w:shd w:val="clear" w:color="auto" w:fill="CCEECC"/>
          </w:tcPr>
          <w:p>
            <w:pPr>
              <w:spacing w:after="0"/>
              <w:rPr>
                <w:sz w:val="18"/>
                <w:szCs w:val="18"/>
                <w:color w:val="auto"/>
              </w:rPr>
            </w:pPr>
          </w:p>
        </w:tc>
        <w:tc>
          <w:tcPr>
            <w:tcW w:w="9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14,634</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9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31,672</w:t>
            </w:r>
          </w:p>
        </w:tc>
        <w:tc>
          <w:tcPr>
            <w:tcW w:w="60" w:type="dxa"/>
            <w:vAlign w:val="bottom"/>
            <w:shd w:val="clear" w:color="auto" w:fill="CCEECC"/>
          </w:tcPr>
          <w:p>
            <w:pPr>
              <w:spacing w:after="0"/>
              <w:rPr>
                <w:sz w:val="18"/>
                <w:szCs w:val="18"/>
                <w:color w:val="auto"/>
              </w:rPr>
            </w:pPr>
          </w:p>
        </w:tc>
      </w:tr>
      <w:tr>
        <w:trPr>
          <w:trHeight w:val="230"/>
        </w:trPr>
        <w:tc>
          <w:tcPr>
            <w:tcW w:w="3020" w:type="dxa"/>
            <w:vAlign w:val="bottom"/>
            <w:tcBorders>
              <w:bottom w:val="single" w:sz="8" w:color="CCEECC"/>
            </w:tcBorders>
          </w:tcPr>
          <w:p>
            <w:pPr>
              <w:ind w:left="80"/>
              <w:spacing w:after="0"/>
              <w:rPr>
                <w:sz w:val="20"/>
                <w:szCs w:val="20"/>
                <w:color w:val="auto"/>
              </w:rPr>
            </w:pPr>
            <w:r>
              <w:rPr>
                <w:rFonts w:ascii="Arial" w:cs="Arial" w:eastAsia="Arial" w:hAnsi="Arial"/>
                <w:sz w:val="18"/>
                <w:szCs w:val="18"/>
                <w:color w:val="auto"/>
              </w:rPr>
              <w:t>Legal</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bottom w:val="single" w:sz="8" w:color="CCEECC"/>
            </w:tcBorders>
          </w:tcPr>
          <w:p>
            <w:pPr>
              <w:spacing w:after="0"/>
              <w:rPr>
                <w:sz w:val="19"/>
                <w:szCs w:val="19"/>
                <w:color w:val="auto"/>
              </w:rPr>
            </w:pPr>
          </w:p>
        </w:tc>
        <w:tc>
          <w:tcPr>
            <w:tcW w:w="100" w:type="dxa"/>
            <w:vAlign w:val="bottom"/>
            <w:tcBorders>
              <w:bottom w:val="single" w:sz="8" w:color="CCEE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60" w:type="dxa"/>
            <w:vAlign w:val="bottom"/>
            <w:tcBorders>
              <w:bottom w:val="single" w:sz="8" w:color="CCEECC"/>
            </w:tcBorders>
          </w:tcPr>
          <w:p>
            <w:pPr>
              <w:spacing w:after="0"/>
              <w:rPr>
                <w:sz w:val="19"/>
                <w:szCs w:val="19"/>
                <w:color w:val="auto"/>
              </w:rPr>
            </w:pPr>
          </w:p>
        </w:tc>
      </w:tr>
      <w:tr>
        <w:trPr>
          <w:trHeight w:val="223"/>
        </w:trPr>
        <w:tc>
          <w:tcPr>
            <w:tcW w:w="3020" w:type="dxa"/>
            <w:vAlign w:val="bottom"/>
            <w:tcBorders>
              <w:bottom w:val="single" w:sz="8" w:color="CCEECC"/>
            </w:tcBorders>
            <w:shd w:val="clear" w:color="auto" w:fill="CCEECC"/>
          </w:tcPr>
          <w:p>
            <w:pPr>
              <w:ind w:left="80"/>
              <w:spacing w:after="0"/>
              <w:rPr>
                <w:sz w:val="20"/>
                <w:szCs w:val="20"/>
                <w:color w:val="auto"/>
              </w:rPr>
            </w:pPr>
            <w:r>
              <w:rPr>
                <w:rFonts w:ascii="Arial" w:cs="Arial" w:eastAsia="Arial" w:hAnsi="Arial"/>
                <w:sz w:val="18"/>
                <w:szCs w:val="18"/>
                <w:color w:val="auto"/>
              </w:rPr>
              <w:t>Total prepaid expenses</w:t>
            </w:r>
          </w:p>
        </w:tc>
        <w:tc>
          <w:tcPr>
            <w:tcW w:w="260" w:type="dxa"/>
            <w:vAlign w:val="bottom"/>
            <w:tcBorders>
              <w:bottom w:val="single" w:sz="8" w:color="auto"/>
            </w:tcBorders>
            <w:shd w:val="clear" w:color="auto" w:fill="CCEEC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26,336</w:t>
            </w:r>
          </w:p>
        </w:tc>
        <w:tc>
          <w:tcPr>
            <w:tcW w:w="60" w:type="dxa"/>
            <w:vAlign w:val="bottom"/>
            <w:tcBorders>
              <w:bottom w:val="single" w:sz="8" w:color="CCEECC"/>
            </w:tcBorders>
            <w:shd w:val="clear" w:color="auto" w:fill="CCEECC"/>
          </w:tcPr>
          <w:p>
            <w:pPr>
              <w:spacing w:after="0"/>
              <w:rPr>
                <w:sz w:val="19"/>
                <w:szCs w:val="19"/>
                <w:color w:val="auto"/>
              </w:rPr>
            </w:pPr>
          </w:p>
        </w:tc>
        <w:tc>
          <w:tcPr>
            <w:tcW w:w="100" w:type="dxa"/>
            <w:vAlign w:val="bottom"/>
            <w:tcBorders>
              <w:bottom w:val="single" w:sz="8" w:color="CCEECC"/>
            </w:tcBorders>
            <w:shd w:val="clear" w:color="auto" w:fill="CCEECC"/>
          </w:tcPr>
          <w:p>
            <w:pPr>
              <w:spacing w:after="0"/>
              <w:rPr>
                <w:sz w:val="19"/>
                <w:szCs w:val="19"/>
                <w:color w:val="auto"/>
              </w:rPr>
            </w:pPr>
          </w:p>
        </w:tc>
        <w:tc>
          <w:tcPr>
            <w:tcW w:w="280" w:type="dxa"/>
            <w:vAlign w:val="bottom"/>
            <w:tcBorders>
              <w:bottom w:val="single" w:sz="8" w:color="auto"/>
            </w:tcBorders>
            <w:shd w:val="clear" w:color="auto" w:fill="CCEEC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68,158</w:t>
            </w:r>
          </w:p>
        </w:tc>
        <w:tc>
          <w:tcPr>
            <w:tcW w:w="60" w:type="dxa"/>
            <w:vAlign w:val="bottom"/>
            <w:tcBorders>
              <w:bottom w:val="single" w:sz="8" w:color="CCEECC"/>
            </w:tcBorders>
            <w:shd w:val="clear" w:color="auto" w:fill="CCEECC"/>
          </w:tcPr>
          <w:p>
            <w:pPr>
              <w:spacing w:after="0"/>
              <w:rPr>
                <w:sz w:val="19"/>
                <w:szCs w:val="19"/>
                <w:color w:val="auto"/>
              </w:rPr>
            </w:pPr>
          </w:p>
        </w:tc>
      </w:tr>
      <w:tr>
        <w:trPr>
          <w:trHeight w:val="20"/>
        </w:trPr>
        <w:tc>
          <w:tcPr>
            <w:tcW w:w="3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4 – 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owned equipment recorded at cost which consisted of the following as of September 30, 2013 and December 31, 2012:</w:t>
      </w:r>
    </w:p>
    <w:p>
      <w:pPr>
        <w:spacing w:after="0" w:line="239" w:lineRule="exact"/>
        <w:rPr>
          <w:sz w:val="20"/>
          <w:szCs w:val="20"/>
          <w:color w:val="auto"/>
        </w:rPr>
      </w:pPr>
    </w:p>
    <w:tbl>
      <w:tblPr>
        <w:tblLayout w:type="fixed"/>
        <w:tblInd w:w="2880" w:type="dxa"/>
        <w:tblCellMar>
          <w:top w:w="0" w:type="dxa"/>
          <w:left w:w="0" w:type="dxa"/>
          <w:bottom w:w="0" w:type="dxa"/>
          <w:right w:w="0" w:type="dxa"/>
        </w:tblCellMar>
      </w:tblPr>
      <w:tr>
        <w:trPr>
          <w:trHeight w:val="230"/>
        </w:trPr>
        <w:tc>
          <w:tcPr>
            <w:tcW w:w="2640" w:type="dxa"/>
            <w:vAlign w:val="bottom"/>
            <w:tcBorders>
              <w:bottom w:val="single" w:sz="8" w:color="CCEECC"/>
            </w:tcBorders>
          </w:tcPr>
          <w:p>
            <w:pPr>
              <w:spacing w:after="0"/>
              <w:rPr>
                <w:sz w:val="20"/>
                <w:szCs w:val="20"/>
                <w:color w:val="auto"/>
              </w:rPr>
            </w:pPr>
          </w:p>
        </w:tc>
        <w:tc>
          <w:tcPr>
            <w:tcW w:w="360" w:type="dxa"/>
            <w:vAlign w:val="bottom"/>
            <w:tcBorders>
              <w:bottom w:val="single" w:sz="8" w:color="CCEE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80" w:type="dxa"/>
            <w:vAlign w:val="bottom"/>
            <w:tcBorders>
              <w:bottom w:val="single" w:sz="8" w:color="auto"/>
            </w:tcBorders>
          </w:tcPr>
          <w:p>
            <w:pPr>
              <w:spacing w:after="0"/>
              <w:rPr>
                <w:sz w:val="20"/>
                <w:szCs w:val="20"/>
                <w:color w:val="auto"/>
              </w:rPr>
            </w:pPr>
          </w:p>
        </w:tc>
      </w:tr>
      <w:tr>
        <w:trPr>
          <w:trHeight w:val="210"/>
        </w:trPr>
        <w:tc>
          <w:tcPr>
            <w:tcW w:w="2640" w:type="dxa"/>
            <w:vAlign w:val="bottom"/>
            <w:shd w:val="clear" w:color="auto" w:fill="CCEECC"/>
          </w:tcPr>
          <w:p>
            <w:pPr>
              <w:ind w:left="80"/>
              <w:spacing w:after="0"/>
              <w:rPr>
                <w:sz w:val="20"/>
                <w:szCs w:val="20"/>
                <w:color w:val="auto"/>
              </w:rPr>
            </w:pPr>
            <w:r>
              <w:rPr>
                <w:rFonts w:ascii="Arial" w:cs="Arial" w:eastAsia="Arial" w:hAnsi="Arial"/>
                <w:sz w:val="18"/>
                <w:szCs w:val="18"/>
                <w:color w:val="auto"/>
              </w:rPr>
              <w:t>Computer equipment</w:t>
            </w:r>
          </w:p>
        </w:tc>
        <w:tc>
          <w:tcPr>
            <w:tcW w:w="360" w:type="dxa"/>
            <w:vAlign w:val="bottom"/>
            <w:shd w:val="clear" w:color="auto" w:fill="CCEECC"/>
          </w:tcPr>
          <w:p>
            <w:pPr>
              <w:spacing w:after="0"/>
              <w:rPr>
                <w:sz w:val="18"/>
                <w:szCs w:val="18"/>
                <w:color w:val="auto"/>
              </w:rPr>
            </w:pPr>
          </w:p>
        </w:tc>
        <w:tc>
          <w:tcPr>
            <w:tcW w:w="280" w:type="dxa"/>
            <w:vAlign w:val="bottom"/>
            <w:shd w:val="clear" w:color="auto" w:fill="CCEEC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22,360</w:t>
            </w:r>
          </w:p>
        </w:tc>
        <w:tc>
          <w:tcPr>
            <w:tcW w:w="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260" w:type="dxa"/>
            <w:vAlign w:val="bottom"/>
            <w:shd w:val="clear" w:color="auto" w:fill="CCEEC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22,360</w:t>
            </w:r>
          </w:p>
        </w:tc>
        <w:tc>
          <w:tcPr>
            <w:tcW w:w="80" w:type="dxa"/>
            <w:vAlign w:val="bottom"/>
            <w:shd w:val="clear" w:color="auto" w:fill="CCEECC"/>
          </w:tcPr>
          <w:p>
            <w:pPr>
              <w:spacing w:after="0"/>
              <w:rPr>
                <w:sz w:val="18"/>
                <w:szCs w:val="18"/>
                <w:color w:val="auto"/>
              </w:rPr>
            </w:pPr>
          </w:p>
        </w:tc>
      </w:tr>
      <w:tr>
        <w:trPr>
          <w:trHeight w:val="230"/>
        </w:trPr>
        <w:tc>
          <w:tcPr>
            <w:tcW w:w="2640" w:type="dxa"/>
            <w:vAlign w:val="bottom"/>
            <w:tcBorders>
              <w:bottom w:val="single" w:sz="8" w:color="CCEECC"/>
            </w:tcBorders>
          </w:tcPr>
          <w:p>
            <w:pPr>
              <w:ind w:left="80"/>
              <w:spacing w:after="0"/>
              <w:rPr>
                <w:sz w:val="20"/>
                <w:szCs w:val="20"/>
                <w:color w:val="auto"/>
              </w:rPr>
            </w:pPr>
            <w:r>
              <w:rPr>
                <w:rFonts w:ascii="Arial" w:cs="Arial" w:eastAsia="Arial" w:hAnsi="Arial"/>
                <w:sz w:val="18"/>
                <w:szCs w:val="18"/>
                <w:color w:val="auto"/>
              </w:rPr>
              <w:t>Furniture and fixtures</w:t>
            </w:r>
          </w:p>
        </w:tc>
        <w:tc>
          <w:tcPr>
            <w:tcW w:w="360" w:type="dxa"/>
            <w:vAlign w:val="bottom"/>
            <w:tcBorders>
              <w:bottom w:val="single" w:sz="8" w:color="CCEE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11,088</w:t>
            </w:r>
          </w:p>
        </w:tc>
        <w:tc>
          <w:tcPr>
            <w:tcW w:w="60" w:type="dxa"/>
            <w:vAlign w:val="bottom"/>
            <w:tcBorders>
              <w:bottom w:val="single" w:sz="8" w:color="CCEECC"/>
            </w:tcBorders>
          </w:tcPr>
          <w:p>
            <w:pPr>
              <w:spacing w:after="0"/>
              <w:rPr>
                <w:sz w:val="19"/>
                <w:szCs w:val="19"/>
                <w:color w:val="auto"/>
              </w:rPr>
            </w:pPr>
          </w:p>
        </w:tc>
        <w:tc>
          <w:tcPr>
            <w:tcW w:w="120" w:type="dxa"/>
            <w:vAlign w:val="bottom"/>
            <w:tcBorders>
              <w:bottom w:val="single" w:sz="8" w:color="CCEEC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11,088</w:t>
            </w:r>
          </w:p>
        </w:tc>
        <w:tc>
          <w:tcPr>
            <w:tcW w:w="80" w:type="dxa"/>
            <w:vAlign w:val="bottom"/>
            <w:tcBorders>
              <w:bottom w:val="single" w:sz="8" w:color="CCEECC"/>
            </w:tcBorders>
          </w:tcPr>
          <w:p>
            <w:pPr>
              <w:spacing w:after="0"/>
              <w:rPr>
                <w:sz w:val="19"/>
                <w:szCs w:val="19"/>
                <w:color w:val="auto"/>
              </w:rPr>
            </w:pPr>
          </w:p>
        </w:tc>
      </w:tr>
      <w:tr>
        <w:trPr>
          <w:trHeight w:val="210"/>
        </w:trPr>
        <w:tc>
          <w:tcPr>
            <w:tcW w:w="2640" w:type="dxa"/>
            <w:vAlign w:val="bottom"/>
            <w:shd w:val="clear" w:color="auto" w:fill="CCEECC"/>
          </w:tcPr>
          <w:p>
            <w:pPr>
              <w:ind w:left="300"/>
              <w:spacing w:after="0"/>
              <w:rPr>
                <w:sz w:val="20"/>
                <w:szCs w:val="20"/>
                <w:color w:val="auto"/>
              </w:rPr>
            </w:pPr>
            <w:r>
              <w:rPr>
                <w:rFonts w:ascii="Arial" w:cs="Arial" w:eastAsia="Arial" w:hAnsi="Arial"/>
                <w:sz w:val="18"/>
                <w:szCs w:val="18"/>
                <w:color w:val="auto"/>
              </w:rPr>
              <w:t>Subtotal</w:t>
            </w:r>
          </w:p>
        </w:tc>
        <w:tc>
          <w:tcPr>
            <w:tcW w:w="36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9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33,448</w:t>
            </w:r>
          </w:p>
        </w:tc>
        <w:tc>
          <w:tcPr>
            <w:tcW w:w="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9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33,448</w:t>
            </w:r>
          </w:p>
        </w:tc>
        <w:tc>
          <w:tcPr>
            <w:tcW w:w="80" w:type="dxa"/>
            <w:vAlign w:val="bottom"/>
            <w:shd w:val="clear" w:color="auto" w:fill="CCEECC"/>
          </w:tcPr>
          <w:p>
            <w:pPr>
              <w:spacing w:after="0"/>
              <w:rPr>
                <w:sz w:val="18"/>
                <w:szCs w:val="18"/>
                <w:color w:val="auto"/>
              </w:rPr>
            </w:pPr>
          </w:p>
        </w:tc>
      </w:tr>
      <w:tr>
        <w:trPr>
          <w:trHeight w:val="230"/>
        </w:trPr>
        <w:tc>
          <w:tcPr>
            <w:tcW w:w="2640" w:type="dxa"/>
            <w:vAlign w:val="bottom"/>
          </w:tcPr>
          <w:p>
            <w:pPr>
              <w:ind w:left="80"/>
              <w:spacing w:after="0"/>
              <w:rPr>
                <w:sz w:val="20"/>
                <w:szCs w:val="20"/>
                <w:color w:val="auto"/>
              </w:rPr>
            </w:pPr>
            <w:r>
              <w:rPr>
                <w:rFonts w:ascii="Arial" w:cs="Arial" w:eastAsia="Arial" w:hAnsi="Arial"/>
                <w:sz w:val="18"/>
                <w:szCs w:val="18"/>
                <w:color w:val="auto"/>
              </w:rPr>
              <w:t>Accumulated depreciation</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(16,984)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(12,763)</w:t>
            </w:r>
          </w:p>
        </w:tc>
      </w:tr>
      <w:tr>
        <w:trPr>
          <w:trHeight w:val="223"/>
        </w:trPr>
        <w:tc>
          <w:tcPr>
            <w:tcW w:w="2640" w:type="dxa"/>
            <w:vAlign w:val="bottom"/>
            <w:tcBorders>
              <w:top w:val="single" w:sz="8" w:color="CCEECC"/>
              <w:bottom w:val="single" w:sz="8" w:color="CCEECC"/>
            </w:tcBorders>
            <w:shd w:val="clear" w:color="auto" w:fill="CCEECC"/>
          </w:tcPr>
          <w:p>
            <w:pPr>
              <w:ind w:left="26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top w:val="single" w:sz="8" w:color="CCEECC"/>
              <w:bottom w:val="single" w:sz="8" w:color="CCEECC"/>
            </w:tcBorders>
            <w:shd w:val="clear" w:color="auto" w:fill="CCEECC"/>
          </w:tcPr>
          <w:p>
            <w:pPr>
              <w:spacing w:after="0"/>
              <w:rPr>
                <w:sz w:val="19"/>
                <w:szCs w:val="19"/>
                <w:color w:val="auto"/>
              </w:rPr>
            </w:pPr>
          </w:p>
        </w:tc>
        <w:tc>
          <w:tcPr>
            <w:tcW w:w="280" w:type="dxa"/>
            <w:vAlign w:val="bottom"/>
            <w:tcBorders>
              <w:top w:val="single" w:sz="8" w:color="auto"/>
              <w:bottom w:val="single" w:sz="8" w:color="auto"/>
            </w:tcBorders>
            <w:shd w:val="clear" w:color="auto" w:fill="CCEEC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16,464</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120" w:type="dxa"/>
            <w:vAlign w:val="bottom"/>
            <w:tcBorders>
              <w:top w:val="single" w:sz="8" w:color="CCEECC"/>
              <w:bottom w:val="single" w:sz="8" w:color="CCEECC"/>
            </w:tcBorders>
            <w:shd w:val="clear" w:color="auto" w:fill="CCEECC"/>
          </w:tcPr>
          <w:p>
            <w:pPr>
              <w:spacing w:after="0"/>
              <w:rPr>
                <w:sz w:val="19"/>
                <w:szCs w:val="19"/>
                <w:color w:val="auto"/>
              </w:rPr>
            </w:pPr>
          </w:p>
        </w:tc>
        <w:tc>
          <w:tcPr>
            <w:tcW w:w="260" w:type="dxa"/>
            <w:vAlign w:val="bottom"/>
            <w:tcBorders>
              <w:top w:val="single" w:sz="8" w:color="auto"/>
              <w:bottom w:val="single" w:sz="8" w:color="auto"/>
            </w:tcBorders>
            <w:shd w:val="clear" w:color="auto" w:fill="CCEEC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20,685</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was $1,407 and $1,382 for the three months ended September 30, 2013 and 2012, respectively. Depreciation expense was $4,221 and $4,094 for the nine months ended September 30, 2013 and 2012,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5 – WEB DEVELOPMENT COSTS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capitalized costs in developing their website and web-based products, which consisted of the following as of September 30, 2013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w:t>
      </w:r>
    </w:p>
    <w:p>
      <w:pPr>
        <w:spacing w:after="0" w:line="224" w:lineRule="exact"/>
        <w:rPr>
          <w:sz w:val="20"/>
          <w:szCs w:val="20"/>
          <w:color w:val="auto"/>
        </w:rPr>
      </w:pPr>
    </w:p>
    <w:tbl>
      <w:tblPr>
        <w:tblLayout w:type="fixed"/>
        <w:tblInd w:w="2880" w:type="dxa"/>
        <w:tblCellMar>
          <w:top w:w="0" w:type="dxa"/>
          <w:left w:w="0" w:type="dxa"/>
          <w:bottom w:w="0" w:type="dxa"/>
          <w:right w:w="0" w:type="dxa"/>
        </w:tblCellMar>
      </w:tblPr>
      <w:tr>
        <w:trPr>
          <w:trHeight w:val="230"/>
        </w:trPr>
        <w:tc>
          <w:tcPr>
            <w:tcW w:w="2800" w:type="dxa"/>
            <w:vAlign w:val="bottom"/>
            <w:tcBorders>
              <w:bottom w:val="single" w:sz="8" w:color="CCEECC"/>
            </w:tcBorders>
          </w:tcPr>
          <w:p>
            <w:pPr>
              <w:spacing w:after="0"/>
              <w:rPr>
                <w:sz w:val="20"/>
                <w:szCs w:val="20"/>
                <w:color w:val="auto"/>
              </w:rPr>
            </w:pPr>
          </w:p>
        </w:tc>
        <w:tc>
          <w:tcPr>
            <w:tcW w:w="180" w:type="dxa"/>
            <w:vAlign w:val="bottom"/>
            <w:tcBorders>
              <w:bottom w:val="single" w:sz="8" w:color="CCEE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80" w:type="dxa"/>
            <w:vAlign w:val="bottom"/>
            <w:tcBorders>
              <w:bottom w:val="single" w:sz="8" w:color="auto"/>
            </w:tcBorders>
          </w:tcPr>
          <w:p>
            <w:pPr>
              <w:spacing w:after="0"/>
              <w:rPr>
                <w:sz w:val="20"/>
                <w:szCs w:val="20"/>
                <w:color w:val="auto"/>
              </w:rPr>
            </w:pPr>
          </w:p>
        </w:tc>
      </w:tr>
      <w:tr>
        <w:trPr>
          <w:trHeight w:val="210"/>
        </w:trPr>
        <w:tc>
          <w:tcPr>
            <w:tcW w:w="2800" w:type="dxa"/>
            <w:vAlign w:val="bottom"/>
            <w:shd w:val="clear" w:color="auto" w:fill="CCEECC"/>
          </w:tcPr>
          <w:p>
            <w:pPr>
              <w:ind w:left="80"/>
              <w:spacing w:after="0"/>
              <w:rPr>
                <w:sz w:val="20"/>
                <w:szCs w:val="20"/>
                <w:color w:val="auto"/>
              </w:rPr>
            </w:pPr>
            <w:r>
              <w:rPr>
                <w:rFonts w:ascii="Arial" w:cs="Arial" w:eastAsia="Arial" w:hAnsi="Arial"/>
                <w:sz w:val="18"/>
                <w:szCs w:val="18"/>
                <w:color w:val="auto"/>
              </w:rPr>
              <w:t>OptimizeRx web development</w:t>
            </w:r>
          </w:p>
        </w:tc>
        <w:tc>
          <w:tcPr>
            <w:tcW w:w="180" w:type="dxa"/>
            <w:vAlign w:val="bottom"/>
            <w:shd w:val="clear" w:color="auto" w:fill="CCEECC"/>
          </w:tcPr>
          <w:p>
            <w:pPr>
              <w:spacing w:after="0"/>
              <w:rPr>
                <w:sz w:val="18"/>
                <w:szCs w:val="18"/>
                <w:color w:val="auto"/>
              </w:rPr>
            </w:pPr>
          </w:p>
        </w:tc>
        <w:tc>
          <w:tcPr>
            <w:tcW w:w="280" w:type="dxa"/>
            <w:vAlign w:val="bottom"/>
            <w:shd w:val="clear" w:color="auto" w:fill="CCEEC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154,133</w:t>
            </w:r>
          </w:p>
        </w:tc>
        <w:tc>
          <w:tcPr>
            <w:tcW w:w="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260" w:type="dxa"/>
            <w:vAlign w:val="bottom"/>
            <w:shd w:val="clear" w:color="auto" w:fill="CCEEC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154,133</w:t>
            </w:r>
          </w:p>
        </w:tc>
        <w:tc>
          <w:tcPr>
            <w:tcW w:w="80" w:type="dxa"/>
            <w:vAlign w:val="bottom"/>
            <w:shd w:val="clear" w:color="auto" w:fill="CCEECC"/>
          </w:tcPr>
          <w:p>
            <w:pPr>
              <w:spacing w:after="0"/>
              <w:rPr>
                <w:sz w:val="18"/>
                <w:szCs w:val="18"/>
                <w:color w:val="auto"/>
              </w:rPr>
            </w:pPr>
          </w:p>
        </w:tc>
      </w:tr>
      <w:tr>
        <w:trPr>
          <w:trHeight w:val="216"/>
        </w:trPr>
        <w:tc>
          <w:tcPr>
            <w:tcW w:w="2800" w:type="dxa"/>
            <w:vAlign w:val="bottom"/>
          </w:tcPr>
          <w:p>
            <w:pPr>
              <w:ind w:left="80"/>
              <w:spacing w:after="0"/>
              <w:rPr>
                <w:sz w:val="20"/>
                <w:szCs w:val="20"/>
                <w:color w:val="auto"/>
              </w:rPr>
            </w:pPr>
            <w:r>
              <w:rPr>
                <w:rFonts w:ascii="Arial" w:cs="Arial" w:eastAsia="Arial" w:hAnsi="Arial"/>
                <w:sz w:val="18"/>
                <w:szCs w:val="18"/>
                <w:color w:val="auto"/>
              </w:rPr>
              <w:t>SampleMD web development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602,517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602,517</w:t>
            </w:r>
          </w:p>
        </w:tc>
        <w:tc>
          <w:tcPr>
            <w:tcW w:w="80" w:type="dxa"/>
            <w:vAlign w:val="bottom"/>
          </w:tcPr>
          <w:p>
            <w:pPr>
              <w:spacing w:after="0"/>
              <w:rPr>
                <w:sz w:val="18"/>
                <w:szCs w:val="18"/>
                <w:color w:val="auto"/>
              </w:rPr>
            </w:pPr>
          </w:p>
        </w:tc>
      </w:tr>
      <w:tr>
        <w:trPr>
          <w:trHeight w:val="230"/>
        </w:trPr>
        <w:tc>
          <w:tcPr>
            <w:tcW w:w="2800" w:type="dxa"/>
            <w:vAlign w:val="bottom"/>
            <w:shd w:val="clear" w:color="auto" w:fill="CCEECC"/>
          </w:tcPr>
          <w:p>
            <w:pPr>
              <w:ind w:left="80"/>
              <w:spacing w:after="0"/>
              <w:rPr>
                <w:sz w:val="20"/>
                <w:szCs w:val="20"/>
                <w:color w:val="auto"/>
              </w:rPr>
            </w:pPr>
            <w:r>
              <w:rPr>
                <w:rFonts w:ascii="Arial" w:cs="Arial" w:eastAsia="Arial" w:hAnsi="Arial"/>
                <w:sz w:val="18"/>
                <w:szCs w:val="18"/>
                <w:color w:val="auto"/>
              </w:rPr>
              <w:t>SampleMD 2.0</w:t>
            </w:r>
          </w:p>
        </w:tc>
        <w:tc>
          <w:tcPr>
            <w:tcW w:w="180" w:type="dxa"/>
            <w:vAlign w:val="bottom"/>
            <w:shd w:val="clear" w:color="auto" w:fill="CCEECC"/>
          </w:tcPr>
          <w:p>
            <w:pPr>
              <w:spacing w:after="0"/>
              <w:rPr>
                <w:sz w:val="19"/>
                <w:szCs w:val="19"/>
                <w:color w:val="auto"/>
              </w:rPr>
            </w:pPr>
          </w:p>
        </w:tc>
        <w:tc>
          <w:tcPr>
            <w:tcW w:w="280" w:type="dxa"/>
            <w:vAlign w:val="bottom"/>
            <w:tcBorders>
              <w:bottom w:val="single" w:sz="8" w:color="auto"/>
            </w:tcBorders>
            <w:shd w:val="clear" w:color="auto" w:fill="CCEECC"/>
          </w:tcPr>
          <w:p>
            <w:pPr>
              <w:spacing w:after="0"/>
              <w:rPr>
                <w:sz w:val="19"/>
                <w:szCs w:val="19"/>
                <w:color w:val="auto"/>
              </w:rPr>
            </w:pPr>
          </w:p>
        </w:tc>
        <w:tc>
          <w:tcPr>
            <w:tcW w:w="9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62,280</w:t>
            </w:r>
          </w:p>
        </w:tc>
        <w:tc>
          <w:tcPr>
            <w:tcW w:w="6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260" w:type="dxa"/>
            <w:vAlign w:val="bottom"/>
            <w:tcBorders>
              <w:bottom w:val="single" w:sz="8" w:color="auto"/>
            </w:tcBorders>
            <w:shd w:val="clear" w:color="auto" w:fill="CCEECC"/>
          </w:tcPr>
          <w:p>
            <w:pPr>
              <w:spacing w:after="0"/>
              <w:rPr>
                <w:sz w:val="19"/>
                <w:szCs w:val="19"/>
                <w:color w:val="auto"/>
              </w:rPr>
            </w:pPr>
          </w:p>
        </w:tc>
        <w:tc>
          <w:tcPr>
            <w:tcW w:w="9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9"/>
                <w:szCs w:val="19"/>
                <w:color w:val="auto"/>
              </w:rPr>
            </w:pPr>
          </w:p>
        </w:tc>
      </w:tr>
      <w:tr>
        <w:trPr>
          <w:trHeight w:val="210"/>
        </w:trPr>
        <w:tc>
          <w:tcPr>
            <w:tcW w:w="2800" w:type="dxa"/>
            <w:vAlign w:val="bottom"/>
          </w:tcPr>
          <w:p>
            <w:pPr>
              <w:ind w:left="260"/>
              <w:spacing w:after="0"/>
              <w:rPr>
                <w:sz w:val="20"/>
                <w:szCs w:val="20"/>
                <w:color w:val="auto"/>
              </w:rPr>
            </w:pPr>
            <w:r>
              <w:rPr>
                <w:rFonts w:ascii="Arial" w:cs="Arial" w:eastAsia="Arial" w:hAnsi="Arial"/>
                <w:sz w:val="18"/>
                <w:szCs w:val="18"/>
                <w:color w:val="auto"/>
                <w:w w:val="95"/>
              </w:rPr>
              <w:t>Subtotal, web development costs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818,930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756,650</w:t>
            </w:r>
          </w:p>
        </w:tc>
        <w:tc>
          <w:tcPr>
            <w:tcW w:w="80" w:type="dxa"/>
            <w:vAlign w:val="bottom"/>
          </w:tcPr>
          <w:p>
            <w:pPr>
              <w:spacing w:after="0"/>
              <w:rPr>
                <w:sz w:val="18"/>
                <w:szCs w:val="18"/>
                <w:color w:val="auto"/>
              </w:rPr>
            </w:pPr>
          </w:p>
        </w:tc>
      </w:tr>
      <w:tr>
        <w:trPr>
          <w:trHeight w:val="216"/>
        </w:trPr>
        <w:tc>
          <w:tcPr>
            <w:tcW w:w="2800" w:type="dxa"/>
            <w:vAlign w:val="bottom"/>
            <w:shd w:val="clear" w:color="auto" w:fill="CCEECC"/>
          </w:tcPr>
          <w:p>
            <w:pPr>
              <w:ind w:left="80"/>
              <w:spacing w:after="0"/>
              <w:rPr>
                <w:sz w:val="20"/>
                <w:szCs w:val="20"/>
                <w:color w:val="auto"/>
              </w:rPr>
            </w:pPr>
            <w:r>
              <w:rPr>
                <w:rFonts w:ascii="Arial" w:cs="Arial" w:eastAsia="Arial" w:hAnsi="Arial"/>
                <w:sz w:val="18"/>
                <w:szCs w:val="18"/>
                <w:color w:val="auto"/>
              </w:rPr>
              <w:t>Accumulated amortization</w:t>
            </w:r>
          </w:p>
        </w:tc>
        <w:tc>
          <w:tcPr>
            <w:tcW w:w="18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(408,069)</w:t>
            </w:r>
          </w:p>
        </w:tc>
        <w:tc>
          <w:tcPr>
            <w:tcW w:w="1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(310,352)</w:t>
            </w:r>
          </w:p>
        </w:tc>
      </w:tr>
      <w:tr>
        <w:trPr>
          <w:trHeight w:val="230"/>
        </w:trPr>
        <w:tc>
          <w:tcPr>
            <w:tcW w:w="2800" w:type="dxa"/>
            <w:vAlign w:val="bottom"/>
          </w:tcPr>
          <w:p>
            <w:pPr>
              <w:ind w:left="80"/>
              <w:spacing w:after="0"/>
              <w:rPr>
                <w:sz w:val="20"/>
                <w:szCs w:val="20"/>
                <w:color w:val="auto"/>
              </w:rPr>
            </w:pPr>
            <w:r>
              <w:rPr>
                <w:rFonts w:ascii="Arial" w:cs="Arial" w:eastAsia="Arial" w:hAnsi="Arial"/>
                <w:sz w:val="18"/>
                <w:szCs w:val="18"/>
                <w:color w:val="auto"/>
              </w:rPr>
              <w:t>Impairment</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(59,083)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(59,083)</w:t>
            </w:r>
          </w:p>
        </w:tc>
      </w:tr>
      <w:tr>
        <w:trPr>
          <w:trHeight w:val="223"/>
        </w:trPr>
        <w:tc>
          <w:tcPr>
            <w:tcW w:w="2800" w:type="dxa"/>
            <w:vAlign w:val="bottom"/>
            <w:tcBorders>
              <w:top w:val="single" w:sz="8" w:color="CCEECC"/>
              <w:bottom w:val="single" w:sz="8" w:color="CCEECC"/>
            </w:tcBorders>
            <w:shd w:val="clear" w:color="auto" w:fill="CCEECC"/>
          </w:tcPr>
          <w:p>
            <w:pPr>
              <w:ind w:left="260"/>
              <w:spacing w:after="0"/>
              <w:rPr>
                <w:sz w:val="20"/>
                <w:szCs w:val="20"/>
                <w:color w:val="auto"/>
              </w:rPr>
            </w:pPr>
            <w:r>
              <w:rPr>
                <w:rFonts w:ascii="Arial" w:cs="Arial" w:eastAsia="Arial" w:hAnsi="Arial"/>
                <w:sz w:val="18"/>
                <w:szCs w:val="18"/>
                <w:color w:val="auto"/>
              </w:rPr>
              <w:t>Web development costs, net</w:t>
            </w:r>
          </w:p>
        </w:tc>
        <w:tc>
          <w:tcPr>
            <w:tcW w:w="180" w:type="dxa"/>
            <w:vAlign w:val="bottom"/>
            <w:tcBorders>
              <w:top w:val="single" w:sz="8" w:color="CCEECC"/>
              <w:bottom w:val="single" w:sz="8" w:color="CCEECC"/>
            </w:tcBorders>
            <w:shd w:val="clear" w:color="auto" w:fill="CCEECC"/>
          </w:tcPr>
          <w:p>
            <w:pPr>
              <w:spacing w:after="0"/>
              <w:rPr>
                <w:sz w:val="19"/>
                <w:szCs w:val="19"/>
                <w:color w:val="auto"/>
              </w:rPr>
            </w:pPr>
          </w:p>
        </w:tc>
        <w:tc>
          <w:tcPr>
            <w:tcW w:w="280" w:type="dxa"/>
            <w:vAlign w:val="bottom"/>
            <w:tcBorders>
              <w:top w:val="single" w:sz="8" w:color="auto"/>
              <w:bottom w:val="single" w:sz="8" w:color="auto"/>
            </w:tcBorders>
            <w:shd w:val="clear" w:color="auto" w:fill="CCEEC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351,778</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120" w:type="dxa"/>
            <w:vAlign w:val="bottom"/>
            <w:tcBorders>
              <w:top w:val="single" w:sz="8" w:color="CCEECC"/>
              <w:bottom w:val="single" w:sz="8" w:color="CCEECC"/>
            </w:tcBorders>
            <w:shd w:val="clear" w:color="auto" w:fill="CCEECC"/>
          </w:tcPr>
          <w:p>
            <w:pPr>
              <w:spacing w:after="0"/>
              <w:rPr>
                <w:sz w:val="19"/>
                <w:szCs w:val="19"/>
                <w:color w:val="auto"/>
              </w:rPr>
            </w:pPr>
          </w:p>
        </w:tc>
        <w:tc>
          <w:tcPr>
            <w:tcW w:w="260" w:type="dxa"/>
            <w:vAlign w:val="bottom"/>
            <w:tcBorders>
              <w:top w:val="single" w:sz="8" w:color="auto"/>
              <w:bottom w:val="single" w:sz="8" w:color="auto"/>
            </w:tcBorders>
            <w:shd w:val="clear" w:color="auto" w:fill="CCEEC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387,215</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Amortization is recorded using the straight-line method over a period of five years. The Company is currently developing an enhanced SampleMD website and has capitalized $62,280. The development is currently in process. It is not completed at September 30, 2013. Accordingly, no amortization has been recorded. The development is expected to be completed in 2014. The Company determined that the original OptimizeRx website was no longer useful so the remaining unamortized balance of $59,083 was impaired as of December 31, 2010. Amortization expense for the web development costs was $32,572 and $31,677 for the three months ended September 30, 2013 and 2012, respectively. Amortization expense for the web development costs was $97,717 and $94,964 for the nine months ended September 30, 2013 and 2012, respectively.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RIGHTS AND INTANGIBLE ASSETS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April 26,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capitalized costs in purchasing and defending the SampleMD patent, which consisted of the following as of September 30, 2013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w:t>
      </w:r>
    </w:p>
    <w:p>
      <w:pPr>
        <w:spacing w:after="0" w:line="224" w:lineRule="exact"/>
        <w:rPr>
          <w:sz w:val="20"/>
          <w:szCs w:val="20"/>
          <w:color w:val="auto"/>
        </w:rPr>
      </w:pPr>
    </w:p>
    <w:tbl>
      <w:tblPr>
        <w:tblLayout w:type="fixed"/>
        <w:tblInd w:w="2880" w:type="dxa"/>
        <w:tblCellMar>
          <w:top w:w="0" w:type="dxa"/>
          <w:left w:w="0" w:type="dxa"/>
          <w:bottom w:w="0" w:type="dxa"/>
          <w:right w:w="0" w:type="dxa"/>
        </w:tblCellMar>
      </w:tblPr>
      <w:tr>
        <w:trPr>
          <w:trHeight w:val="230"/>
        </w:trPr>
        <w:tc>
          <w:tcPr>
            <w:tcW w:w="2860" w:type="dxa"/>
            <w:vAlign w:val="bottom"/>
            <w:tcBorders>
              <w:bottom w:val="single" w:sz="8" w:color="CCEECC"/>
            </w:tcBorders>
          </w:tcPr>
          <w:p>
            <w:pPr>
              <w:spacing w:after="0"/>
              <w:rPr>
                <w:sz w:val="20"/>
                <w:szCs w:val="20"/>
                <w:color w:val="auto"/>
              </w:rPr>
            </w:pPr>
          </w:p>
        </w:tc>
        <w:tc>
          <w:tcPr>
            <w:tcW w:w="120" w:type="dxa"/>
            <w:vAlign w:val="bottom"/>
            <w:tcBorders>
              <w:bottom w:val="single" w:sz="8" w:color="CCEE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80" w:type="dxa"/>
            <w:vAlign w:val="bottom"/>
            <w:tcBorders>
              <w:bottom w:val="single" w:sz="8" w:color="auto"/>
            </w:tcBorders>
          </w:tcPr>
          <w:p>
            <w:pPr>
              <w:spacing w:after="0"/>
              <w:rPr>
                <w:sz w:val="20"/>
                <w:szCs w:val="20"/>
                <w:color w:val="auto"/>
              </w:rPr>
            </w:pPr>
          </w:p>
        </w:tc>
      </w:tr>
      <w:tr>
        <w:trPr>
          <w:trHeight w:val="210"/>
        </w:trPr>
        <w:tc>
          <w:tcPr>
            <w:tcW w:w="2860" w:type="dxa"/>
            <w:vAlign w:val="bottom"/>
            <w:shd w:val="clear" w:color="auto" w:fill="CCEECC"/>
          </w:tcPr>
          <w:p>
            <w:pPr>
              <w:ind w:left="80"/>
              <w:spacing w:after="0"/>
              <w:rPr>
                <w:sz w:val="20"/>
                <w:szCs w:val="20"/>
                <w:color w:val="auto"/>
              </w:rPr>
            </w:pPr>
            <w:r>
              <w:rPr>
                <w:rFonts w:ascii="Arial" w:cs="Arial" w:eastAsia="Arial" w:hAnsi="Arial"/>
                <w:sz w:val="18"/>
                <w:szCs w:val="18"/>
                <w:color w:val="auto"/>
              </w:rPr>
              <w:t>Patent rights and intangible assets</w:t>
            </w:r>
          </w:p>
        </w:tc>
        <w:tc>
          <w:tcPr>
            <w:tcW w:w="120" w:type="dxa"/>
            <w:vAlign w:val="bottom"/>
            <w:shd w:val="clear" w:color="auto" w:fill="CCEECC"/>
          </w:tcPr>
          <w:p>
            <w:pPr>
              <w:spacing w:after="0"/>
              <w:rPr>
                <w:sz w:val="18"/>
                <w:szCs w:val="18"/>
                <w:color w:val="auto"/>
              </w:rPr>
            </w:pPr>
          </w:p>
        </w:tc>
        <w:tc>
          <w:tcPr>
            <w:tcW w:w="280" w:type="dxa"/>
            <w:vAlign w:val="bottom"/>
            <w:shd w:val="clear" w:color="auto" w:fill="CCEEC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930,000</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60" w:type="dxa"/>
            <w:vAlign w:val="bottom"/>
            <w:shd w:val="clear" w:color="auto" w:fill="CCEEC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930,000</w:t>
            </w:r>
          </w:p>
        </w:tc>
        <w:tc>
          <w:tcPr>
            <w:tcW w:w="80" w:type="dxa"/>
            <w:vAlign w:val="bottom"/>
            <w:shd w:val="clear" w:color="auto" w:fill="CCEECC"/>
          </w:tcPr>
          <w:p>
            <w:pPr>
              <w:spacing w:after="0"/>
              <w:rPr>
                <w:sz w:val="18"/>
                <w:szCs w:val="18"/>
                <w:color w:val="auto"/>
              </w:rPr>
            </w:pPr>
          </w:p>
        </w:tc>
      </w:tr>
      <w:tr>
        <w:trPr>
          <w:trHeight w:val="216"/>
        </w:trPr>
        <w:tc>
          <w:tcPr>
            <w:tcW w:w="2860" w:type="dxa"/>
            <w:vAlign w:val="bottom"/>
          </w:tcPr>
          <w:p>
            <w:pPr>
              <w:ind w:left="80"/>
              <w:spacing w:after="0"/>
              <w:rPr>
                <w:sz w:val="20"/>
                <w:szCs w:val="20"/>
                <w:color w:val="auto"/>
              </w:rPr>
            </w:pPr>
            <w:r>
              <w:rPr>
                <w:rFonts w:ascii="Arial" w:cs="Arial" w:eastAsia="Arial" w:hAnsi="Arial"/>
                <w:sz w:val="18"/>
                <w:szCs w:val="18"/>
                <w:color w:val="auto"/>
              </w:rPr>
              <w:t>Patent defense costs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38,278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r>
      <w:tr>
        <w:trPr>
          <w:trHeight w:val="230"/>
        </w:trPr>
        <w:tc>
          <w:tcPr>
            <w:tcW w:w="2860" w:type="dxa"/>
            <w:vAlign w:val="bottom"/>
            <w:shd w:val="clear" w:color="auto" w:fill="CCEECC"/>
          </w:tcPr>
          <w:p>
            <w:pPr>
              <w:ind w:left="80"/>
              <w:spacing w:after="0"/>
              <w:rPr>
                <w:sz w:val="20"/>
                <w:szCs w:val="20"/>
                <w:color w:val="auto"/>
              </w:rPr>
            </w:pPr>
            <w:r>
              <w:rPr>
                <w:rFonts w:ascii="Arial" w:cs="Arial" w:eastAsia="Arial" w:hAnsi="Arial"/>
                <w:sz w:val="18"/>
                <w:szCs w:val="18"/>
                <w:color w:val="auto"/>
              </w:rPr>
              <w:t>Accumulated amortization</w:t>
            </w:r>
          </w:p>
        </w:tc>
        <w:tc>
          <w:tcPr>
            <w:tcW w:w="120" w:type="dxa"/>
            <w:vAlign w:val="bottom"/>
            <w:shd w:val="clear" w:color="auto" w:fill="CCEECC"/>
          </w:tcPr>
          <w:p>
            <w:pPr>
              <w:spacing w:after="0"/>
              <w:rPr>
                <w:sz w:val="19"/>
                <w:szCs w:val="19"/>
                <w:color w:val="auto"/>
              </w:rPr>
            </w:pPr>
          </w:p>
        </w:tc>
        <w:tc>
          <w:tcPr>
            <w:tcW w:w="280" w:type="dxa"/>
            <w:vAlign w:val="bottom"/>
            <w:shd w:val="clear" w:color="auto" w:fill="CCEECC"/>
          </w:tcPr>
          <w:p>
            <w:pPr>
              <w:spacing w:after="0"/>
              <w:rPr>
                <w:sz w:val="19"/>
                <w:szCs w:val="19"/>
                <w:color w:val="auto"/>
              </w:rPr>
            </w:pPr>
          </w:p>
        </w:tc>
        <w:tc>
          <w:tcPr>
            <w:tcW w:w="10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(179,388)</w:t>
            </w:r>
          </w:p>
        </w:tc>
        <w:tc>
          <w:tcPr>
            <w:tcW w:w="10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260" w:type="dxa"/>
            <w:vAlign w:val="bottom"/>
            <w:shd w:val="clear" w:color="auto" w:fill="CCEECC"/>
          </w:tcPr>
          <w:p>
            <w:pPr>
              <w:spacing w:after="0"/>
              <w:rPr>
                <w:sz w:val="19"/>
                <w:szCs w:val="19"/>
                <w:color w:val="auto"/>
              </w:rPr>
            </w:pPr>
          </w:p>
        </w:tc>
        <w:tc>
          <w:tcPr>
            <w:tcW w:w="10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(136,764)</w:t>
            </w:r>
          </w:p>
        </w:tc>
      </w:tr>
      <w:tr>
        <w:trPr>
          <w:trHeight w:val="182"/>
        </w:trPr>
        <w:tc>
          <w:tcPr>
            <w:tcW w:w="2860" w:type="dxa"/>
            <w:vAlign w:val="bottom"/>
          </w:tcPr>
          <w:p>
            <w:pPr>
              <w:ind w:left="260"/>
              <w:spacing w:after="0" w:line="182" w:lineRule="exact"/>
              <w:rPr>
                <w:sz w:val="20"/>
                <w:szCs w:val="20"/>
                <w:color w:val="auto"/>
              </w:rPr>
            </w:pPr>
            <w:r>
              <w:rPr>
                <w:rFonts w:ascii="Arial" w:cs="Arial" w:eastAsia="Arial" w:hAnsi="Arial"/>
                <w:sz w:val="18"/>
                <w:szCs w:val="18"/>
                <w:color w:val="auto"/>
                <w:w w:val="92"/>
              </w:rPr>
              <w:t>Patent rights and intangible assets,</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57"/>
        </w:trPr>
        <w:tc>
          <w:tcPr>
            <w:tcW w:w="2860" w:type="dxa"/>
            <w:vAlign w:val="bottom"/>
          </w:tcPr>
          <w:p>
            <w:pPr>
              <w:ind w:left="80"/>
              <w:spacing w:after="0"/>
              <w:rPr>
                <w:sz w:val="20"/>
                <w:szCs w:val="20"/>
                <w:color w:val="auto"/>
              </w:rPr>
            </w:pPr>
            <w:r>
              <w:rPr>
                <w:rFonts w:ascii="Arial" w:cs="Arial" w:eastAsia="Arial" w:hAnsi="Arial"/>
                <w:sz w:val="18"/>
                <w:szCs w:val="18"/>
                <w:color w:val="auto"/>
              </w:rPr>
              <w:t>net</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788,890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793,236</w:t>
            </w:r>
          </w:p>
        </w:tc>
        <w:tc>
          <w:tcPr>
            <w:tcW w:w="80" w:type="dxa"/>
            <w:vAlign w:val="bottom"/>
          </w:tcPr>
          <w:p>
            <w:pPr>
              <w:spacing w:after="0"/>
              <w:rPr>
                <w:sz w:val="22"/>
                <w:szCs w:val="22"/>
                <w:color w:val="auto"/>
              </w:rPr>
            </w:pPr>
          </w:p>
        </w:tc>
      </w:tr>
      <w:tr>
        <w:trPr>
          <w:trHeight w:val="20"/>
        </w:trPr>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Company began amortizing the patent, using the straight-line method over the estimated useful life of 17 years, once it was put into service in July 2010. In 2013, the Company began incurring costs related to defense of the patent. These costs have been capitalized and will be amortized using the straight-line method over the remaining useful life of the original patent. Amortization expense was $14,246 and $13,676 for the three months ended September 30, 2013 and 2012, respectively. Amortization expense was $42,624 and $41,029 for the nine months ended September 30, 2013 and 2012,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NOTE 7 – ACCRUED EXPENSES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January 14, 2013, the Company hired a new CEO. The employment agreement required annual compensation of $175,000 that was to be accrued and deferred until at least January 1, 2014. Additionally, the agreement required the issuance of 2,000,000 options with an exercise price of $1.00 for a term of five years. The options were not exercisable until at least January 1, 2014. On September 20, 2013, the Company entered into a separation agreement with the CEO. As part of the agreement, the accrued compensation was paid through the date of separation and the options were terminated.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consisted of the following as of September 30, 2013 and December 31, 2012:</w:t>
      </w:r>
    </w:p>
    <w:p>
      <w:pPr>
        <w:spacing w:after="0" w:line="239" w:lineRule="exact"/>
        <w:rPr>
          <w:sz w:val="20"/>
          <w:szCs w:val="20"/>
          <w:color w:val="auto"/>
        </w:rPr>
      </w:pPr>
    </w:p>
    <w:tbl>
      <w:tblPr>
        <w:tblLayout w:type="fixed"/>
        <w:tblInd w:w="288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p>
        </w:tc>
        <w:tc>
          <w:tcPr>
            <w:tcW w:w="1560" w:type="dxa"/>
            <w:vAlign w:val="bottom"/>
            <w:gridSpan w:val="2"/>
          </w:tcPr>
          <w:p>
            <w:pPr>
              <w:jc w:val="right"/>
              <w:ind w:right="65"/>
              <w:spacing w:after="0"/>
              <w:rPr>
                <w:sz w:val="20"/>
                <w:szCs w:val="20"/>
                <w:color w:val="auto"/>
              </w:rPr>
            </w:pPr>
            <w:r>
              <w:rPr>
                <w:rFonts w:ascii="Arial" w:cs="Arial" w:eastAsia="Arial" w:hAnsi="Arial"/>
                <w:sz w:val="18"/>
                <w:szCs w:val="18"/>
                <w:color w:val="auto"/>
              </w:rPr>
              <w:t>2013</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color w:val="auto"/>
              </w:rPr>
              <w:t>2012</w:t>
            </w:r>
          </w:p>
        </w:tc>
        <w:tc>
          <w:tcPr>
            <w:tcW w:w="60" w:type="dxa"/>
            <w:vAlign w:val="bottom"/>
          </w:tcPr>
          <w:p>
            <w:pPr>
              <w:spacing w:after="0"/>
              <w:rPr>
                <w:sz w:val="20"/>
                <w:szCs w:val="20"/>
                <w:color w:val="auto"/>
              </w:rPr>
            </w:pPr>
          </w:p>
        </w:tc>
      </w:tr>
      <w:tr>
        <w:trPr>
          <w:trHeight w:val="210"/>
        </w:trPr>
        <w:tc>
          <w:tcPr>
            <w:tcW w:w="2420" w:type="dxa"/>
            <w:vAlign w:val="bottom"/>
            <w:tcBorders>
              <w:top w:val="single" w:sz="8" w:color="CCEECC"/>
            </w:tcBorders>
            <w:shd w:val="clear" w:color="auto" w:fill="CCEECC"/>
          </w:tcPr>
          <w:p>
            <w:pPr>
              <w:ind w:left="80"/>
              <w:spacing w:after="0"/>
              <w:rPr>
                <w:sz w:val="20"/>
                <w:szCs w:val="20"/>
                <w:color w:val="auto"/>
              </w:rPr>
            </w:pPr>
            <w:r>
              <w:rPr>
                <w:rFonts w:ascii="Arial" w:cs="Arial" w:eastAsia="Arial" w:hAnsi="Arial"/>
                <w:sz w:val="18"/>
                <w:szCs w:val="18"/>
                <w:color w:val="auto"/>
              </w:rPr>
              <w:t>Accrued compensation</w:t>
            </w:r>
          </w:p>
        </w:tc>
        <w:tc>
          <w:tcPr>
            <w:tcW w:w="600" w:type="dxa"/>
            <w:vAlign w:val="bottom"/>
            <w:tcBorders>
              <w:top w:val="single" w:sz="8" w:color="CCEECC"/>
            </w:tcBorders>
            <w:shd w:val="clear" w:color="auto" w:fill="CCEECC"/>
          </w:tcPr>
          <w:p>
            <w:pPr>
              <w:spacing w:after="0"/>
              <w:rPr>
                <w:sz w:val="18"/>
                <w:szCs w:val="18"/>
                <w:color w:val="auto"/>
              </w:rPr>
            </w:pPr>
          </w:p>
        </w:tc>
        <w:tc>
          <w:tcPr>
            <w:tcW w:w="960" w:type="dxa"/>
            <w:vAlign w:val="bottom"/>
            <w:tcBorders>
              <w:top w:val="single" w:sz="8" w:color="auto"/>
            </w:tcBorders>
            <w:shd w:val="clear" w:color="auto" w:fill="CCEECC"/>
          </w:tcPr>
          <w:p>
            <w:pPr>
              <w:jc w:val="right"/>
              <w:ind w:right="805"/>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auto"/>
            </w:tcBorders>
            <w:shd w:val="clear" w:color="auto" w:fill="CCEECC"/>
          </w:tcPr>
          <w:p>
            <w:pPr>
              <w:spacing w:after="0"/>
              <w:rPr>
                <w:sz w:val="18"/>
                <w:szCs w:val="18"/>
                <w:color w:val="auto"/>
              </w:rPr>
            </w:pPr>
          </w:p>
        </w:tc>
        <w:tc>
          <w:tcPr>
            <w:tcW w:w="100" w:type="dxa"/>
            <w:vAlign w:val="bottom"/>
            <w:tcBorders>
              <w:top w:val="single" w:sz="8" w:color="CCEECC"/>
            </w:tcBorders>
            <w:shd w:val="clear" w:color="auto" w:fill="CCEECC"/>
          </w:tcPr>
          <w:p>
            <w:pPr>
              <w:spacing w:after="0"/>
              <w:rPr>
                <w:sz w:val="18"/>
                <w:szCs w:val="18"/>
                <w:color w:val="auto"/>
              </w:rPr>
            </w:pPr>
          </w:p>
        </w:tc>
        <w:tc>
          <w:tcPr>
            <w:tcW w:w="280" w:type="dxa"/>
            <w:vAlign w:val="bottom"/>
            <w:tcBorders>
              <w:top w:val="single" w:sz="8" w:color="auto"/>
            </w:tcBorders>
            <w:shd w:val="clear" w:color="auto" w:fill="CCEEC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auto"/>
            </w:tcBorders>
            <w:shd w:val="clear" w:color="auto" w:fill="CCEECC"/>
          </w:tcPr>
          <w:p>
            <w:pPr>
              <w:spacing w:after="0"/>
              <w:rPr>
                <w:sz w:val="18"/>
                <w:szCs w:val="18"/>
                <w:color w:val="auto"/>
              </w:rPr>
            </w:pPr>
          </w:p>
        </w:tc>
      </w:tr>
      <w:tr>
        <w:trPr>
          <w:trHeight w:val="230"/>
        </w:trPr>
        <w:tc>
          <w:tcPr>
            <w:tcW w:w="2420" w:type="dxa"/>
            <w:vAlign w:val="bottom"/>
            <w:tcBorders>
              <w:bottom w:val="single" w:sz="8" w:color="CCEECC"/>
            </w:tcBorders>
          </w:tcPr>
          <w:p>
            <w:pPr>
              <w:ind w:left="80"/>
              <w:spacing w:after="0"/>
              <w:rPr>
                <w:sz w:val="20"/>
                <w:szCs w:val="20"/>
                <w:color w:val="auto"/>
              </w:rPr>
            </w:pPr>
            <w:r>
              <w:rPr>
                <w:rFonts w:ascii="Arial" w:cs="Arial" w:eastAsia="Arial" w:hAnsi="Arial"/>
                <w:sz w:val="18"/>
                <w:szCs w:val="18"/>
                <w:color w:val="auto"/>
              </w:rPr>
              <w:t>Accrued audit fees</w:t>
            </w:r>
          </w:p>
        </w:tc>
        <w:tc>
          <w:tcPr>
            <w:tcW w:w="600" w:type="dxa"/>
            <w:vAlign w:val="bottom"/>
            <w:tcBorders>
              <w:bottom w:val="single" w:sz="8" w:color="CCEEC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bottom w:val="single" w:sz="8" w:color="CCEECC"/>
            </w:tcBorders>
          </w:tcPr>
          <w:p>
            <w:pPr>
              <w:spacing w:after="0"/>
              <w:rPr>
                <w:sz w:val="19"/>
                <w:szCs w:val="19"/>
                <w:color w:val="auto"/>
              </w:rPr>
            </w:pPr>
          </w:p>
        </w:tc>
        <w:tc>
          <w:tcPr>
            <w:tcW w:w="100" w:type="dxa"/>
            <w:vAlign w:val="bottom"/>
            <w:tcBorders>
              <w:bottom w:val="single" w:sz="8" w:color="CCEE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60" w:type="dxa"/>
            <w:vAlign w:val="bottom"/>
            <w:tcBorders>
              <w:bottom w:val="single" w:sz="8" w:color="CCEECC"/>
            </w:tcBorders>
          </w:tcPr>
          <w:p>
            <w:pPr>
              <w:spacing w:after="0"/>
              <w:rPr>
                <w:sz w:val="19"/>
                <w:szCs w:val="19"/>
                <w:color w:val="auto"/>
              </w:rPr>
            </w:pPr>
          </w:p>
        </w:tc>
      </w:tr>
      <w:tr>
        <w:trPr>
          <w:trHeight w:val="223"/>
        </w:trPr>
        <w:tc>
          <w:tcPr>
            <w:tcW w:w="2420" w:type="dxa"/>
            <w:vAlign w:val="bottom"/>
            <w:tcBorders>
              <w:bottom w:val="single" w:sz="8" w:color="CCEECC"/>
            </w:tcBorders>
            <w:shd w:val="clear" w:color="auto" w:fill="CCEECC"/>
          </w:tcPr>
          <w:p>
            <w:pPr>
              <w:ind w:left="160"/>
              <w:spacing w:after="0"/>
              <w:rPr>
                <w:sz w:val="20"/>
                <w:szCs w:val="20"/>
                <w:color w:val="auto"/>
              </w:rPr>
            </w:pPr>
            <w:r>
              <w:rPr>
                <w:rFonts w:ascii="Arial" w:cs="Arial" w:eastAsia="Arial" w:hAnsi="Arial"/>
                <w:sz w:val="18"/>
                <w:szCs w:val="18"/>
                <w:color w:val="auto"/>
              </w:rPr>
              <w:t>Total accrued expenses</w:t>
            </w:r>
          </w:p>
        </w:tc>
        <w:tc>
          <w:tcPr>
            <w:tcW w:w="600" w:type="dxa"/>
            <w:vAlign w:val="bottom"/>
            <w:tcBorders>
              <w:bottom w:val="single" w:sz="8" w:color="CCEECC"/>
            </w:tcBorders>
            <w:shd w:val="clear" w:color="auto" w:fill="CCEECC"/>
          </w:tcPr>
          <w:p>
            <w:pPr>
              <w:spacing w:after="0"/>
              <w:rPr>
                <w:sz w:val="19"/>
                <w:szCs w:val="19"/>
                <w:color w:val="auto"/>
              </w:rPr>
            </w:pPr>
          </w:p>
        </w:tc>
        <w:tc>
          <w:tcPr>
            <w:tcW w:w="960" w:type="dxa"/>
            <w:vAlign w:val="bottom"/>
            <w:tcBorders>
              <w:bottom w:val="single" w:sz="8" w:color="auto"/>
            </w:tcBorders>
            <w:shd w:val="clear" w:color="auto" w:fill="CCEECC"/>
          </w:tcPr>
          <w:p>
            <w:pPr>
              <w:jc w:val="right"/>
              <w:ind w:right="805"/>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bottom w:val="single" w:sz="8" w:color="CCEECC"/>
            </w:tcBorders>
            <w:shd w:val="clear" w:color="auto" w:fill="CCEECC"/>
          </w:tcPr>
          <w:p>
            <w:pPr>
              <w:spacing w:after="0"/>
              <w:rPr>
                <w:sz w:val="19"/>
                <w:szCs w:val="19"/>
                <w:color w:val="auto"/>
              </w:rPr>
            </w:pPr>
          </w:p>
        </w:tc>
        <w:tc>
          <w:tcPr>
            <w:tcW w:w="100" w:type="dxa"/>
            <w:vAlign w:val="bottom"/>
            <w:tcBorders>
              <w:bottom w:val="single" w:sz="8" w:color="CCEECC"/>
            </w:tcBorders>
            <w:shd w:val="clear" w:color="auto" w:fill="CCEECC"/>
          </w:tcPr>
          <w:p>
            <w:pPr>
              <w:spacing w:after="0"/>
              <w:rPr>
                <w:sz w:val="19"/>
                <w:szCs w:val="19"/>
                <w:color w:val="auto"/>
              </w:rPr>
            </w:pPr>
          </w:p>
        </w:tc>
        <w:tc>
          <w:tcPr>
            <w:tcW w:w="280" w:type="dxa"/>
            <w:vAlign w:val="bottom"/>
            <w:tcBorders>
              <w:bottom w:val="single" w:sz="8" w:color="auto"/>
            </w:tcBorders>
            <w:shd w:val="clear" w:color="auto" w:fill="CCEEC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6,000</w:t>
            </w:r>
          </w:p>
        </w:tc>
        <w:tc>
          <w:tcPr>
            <w:tcW w:w="60" w:type="dxa"/>
            <w:vAlign w:val="bottom"/>
            <w:tcBorders>
              <w:bottom w:val="single" w:sz="8" w:color="CCEECC"/>
            </w:tcBorders>
            <w:shd w:val="clear" w:color="auto" w:fill="CCEECC"/>
          </w:tcPr>
          <w:p>
            <w:pPr>
              <w:spacing w:after="0"/>
              <w:rPr>
                <w:sz w:val="19"/>
                <w:szCs w:val="19"/>
                <w:color w:val="auto"/>
              </w:rPr>
            </w:pPr>
          </w:p>
        </w:tc>
      </w:tr>
      <w:tr>
        <w:trPr>
          <w:trHeight w:val="20"/>
        </w:trPr>
        <w:tc>
          <w:tcPr>
            <w:tcW w:w="2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8 – DEFERRED REVENUE</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signed several contracts with customers for either the distribution or redemption of coupons. The payments are not taken into revenue until either the coupon is distributed to a patient or the coupon has been redeemed depending on the specific contract. The distributions and redemptions are tracked by the Company’s administrative tool. Additionally, customer setup contracts that have been paid in full are deferred until the Company has completed the obligations of the contacts. Deferred revenue was $13,272 and $49,252 as of September 30, 2013 and December 31, 2012, respectively.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9 – RELATED PARTY TRANSACTIONS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10 –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 has 500,000,000 shares of $.001 par value common stock authorized as of September 30,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14,752,496 and 14,232,496 common shares issued and outstanding at September 30, 2013 and December 31, 2012, respectively.</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1, 2012, the Company entered into a consulting agreement with North Coast Advisors, Inc. for various services. The Company agreed to issue 40,000 shares of common stock as of the date of the contract. However, these shares were not issued until July 12, 2012. The Company also agreed to issue an additional 40,000 shares every six months in alignment with the agreement renewal up to the two years of the agreement. The first 40,000 shares were valued at the Company’s common stock price as of the date of the contract, which was $1.12/share and has been expensed. No additional shares were issued and the agreement was voided and replaced by a new agreement as noted below.</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 2013, the Company entered into a consulting agreement with North Coast Advisors, Inc. for various services. The Company agreed to issue 20,000 shares of common stock as of the date of the contract. The Company also agreed to issue an additional 20,000 shares every six months in alignment with the agreement renewal up to the two years of the agreement. The first 20,000 shares were valued at the Company’s common stock price as of the date of the contract, which was $1.945/share and has been expensed.</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September 20, 2013, the Company entered into a separation agreement that includes post-employment consulting services with a former officer. The Company agreed to issue 500,000 shares of common stock, 250,000 shares immediately and 250,000 by January 1, 2014. The first 250,000 shares have been issued and the Company has recognized the entire issuance in the September 30, 2013 shares outstanding. The shares were valued at $505,000 and $233,077 of that amount has been recorded as deferred stock compensation as of September 30,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11 –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2008, 35 preferred shares were issued for $3,500,000. Issuance costs totaled $515,000 resulting in net proceeds of $2,985,000. The 35 shares are convertible to 3,500,000 shares of common stock and bear a 10% cumulative dividend. In addition, there was a warrant issued to purchase 6,000,000 shares of common stock at an exercise price of $2 for a period of seven years.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11 – PREFERRED STOCK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 Continued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A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A preferred stock shall also be convertible at the option of the holder into that number of shares of common stock of the Company at the stated value of such share at a $1 conversion price.</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There is no conversion expiration date, however, the holder must provide 30 days notice for the registration of the conversion.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12, 2010, the Company’s Board declared and issued 236,598 common shares as payment for all cumulative and current semi-annual dividends. On November 16, 2010, the Company’s Board declared and issued 173,922 common shares for its semi-annual dividend payment. On March 25, 2011, the Company’s Board declared and issued 176,768 common shares for its semi-annual dividend payment. On September 21, 2011, the Company's Board declared and issued 156,306 common shares for its semi-annual dividend payment. The Company has undeclared dividends that were due in February and September 2012 totaling $350,000 and undeclared dividends of $350,000 that were due in February and September 2013 for a total undeclared amount of $700,000 as of September 30,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2010, 15 preferred shares were issued for $1,500,000. The 15 shares are convertible to 1,000,000 shares of common stock and bear a 10% cumulative dividend. In addition, there was a warrant issued to purchase 3,000,000 shares of common stock at an exercise price of $3 for a period of seven years.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preferred stock was issued for $1,500,000 less associated issuance costs of $350,000 for net proceeds of $1,150,000. Additionally, 3,000,000 common stock warrants were issued with the preferred stock. Based on the fair values of the preferred stock and common stock warrants on the issue date, $341,100 was allocated to preferred stock and $1,158,900 was allocated to the common stock warrants. Equity issuance costs of $350,000 were allocated to the preferred stock.</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September 30, 2011, 15 preferred shares were issued to an investor for $1,500,000. The 15 shares are convertible to 1,000,000 shares of common stock and bear a 10% cumulative dividend. In addition, there was a warrant issued to purchase 1,000,000 shares of common stock at an exercise price of $3 for a period of seven years. Based on the fair values of the preferred stock and common stock warrants on the issue date, $855,460 was allocated to preferred stock and $644,540 was allocated to the common stock warrants. See Note 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11 – PREFERRED STOCK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 Continued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B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B preferred stock shall also be convertible at the option of the holder into that number of shares of common stock of the Company at the stated value of such share at a $1.50 conversion price.</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On March 25, 2011, the Company’s Board declared and issued 75,758 common shares for its semi-annual dividend payment. On September 21, 2011, the Company's Board declared and issued 66,988 common shares for its semi-annual dividend payment. The Company has undeclared dividends that were due in February and September 2012 totaling $150,000 and undeclared dividends of $150,000 that were due in February and September 2013 for a total undeclared amount of $300,000 as of September 30,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NOTE 12 – STOCK OPTIONS AND WARRANTS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accounts for employee stock-based compensation in accordance with the guidance of ASC Topic 718: Compensation - Stock Compensation, which requires all share-based payments to employees, including grants of employee stock options, to be recognized in the financial statements based on their fair values.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follows ASC Topic 505-50, formerly EITF 96-18, “Accounting for Equity Instruments that are Issued to Other than Employees for Acquiring, or in Conjunction with Selling Goods and Services,” for stock options and warrants issued to consultants and other non-employees. In accordance with ASC Topic 505-50, these stock options and warrants issued as compensation for services provided to the Company are accounted for based upon the fair value of the services provided or the estimated fair market value of the option or warrant, whichever can be more clearly determined. The fair value of the equity instrument is charged directly to compensation expense and additional paid-in capital over the period during which services are rendered.</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31, 2011, the Company issued 285,000 stock options to 3 employees at an exercise price of $1.00. The options were valued on the grant date using the Black-Scholes option-pricing model with the following assumptions: dividend yield of 0%, expected volatility of 218%, risk-free interest rate of 1.68% and expected life of 60 months. The total value of the options was $320,585. The options vest over one year. The Company recognized share-based compensation expense of $187,005 during the year ended December 31, 2011. The remaining balance of $133,580 was recognized over the first five months of 2012.</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12 – STOCK OPTIONS AND WARRANTS (CONTINUED)</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quarter ended December 31, 2011, the Company issued 20,000 stock options to 2 employees at an exercise price of $1.00. The options were valued on the grant date using the Black-Scholes option-pricing model with the following assumptions: dividend yield of 0%, expected volatility of 204-205%, risk-free interest rate of 0.88-0.93% and expected life of 60 months. The total value of the options was $19,270. The options vest over one year. The Company recognized share-based compensation expense of $2,480 during the year ended December 31, 2011 and $14,459 during the nine months ended September 30, 2012. The remaining balance was recognized during the remainder of 2012.</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November 21, 2011, the Company issued 100,000 stock options to an individual at an exercise price of $0.73. The options were valued on the grant date using the Black-Scholes option-pricing model with the following assumptions: dividend yield of 0%, expected volatility of 205%, risk-free interest rate of 0.92% and expected life of 60 months. The Company recognized expenses of $8,346 during the year ended December 31, 2011 and $75,117 during the nine months ended September 30, 2012. The remaining balance was recognized during the remainder of 2012.</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March 31, 2012, the Company issued 50,000 stock options to 4 non-employees at an exercise price of $0.89. The options were valued on the grant date using the Black-Scholes option-pricing model with the following assumptions: dividend yield of 0%, expected volatility of 198%, risk-free interest rate of 0.65% and expected life of 48 months. The total value of the options was $35,091. The options vest over 4 months. The Company recognized share-based compensation expense of $35,091 during the six months ended June 30, 2012.</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quarter ended December 31, 2012, the Company issued 25,000 stock options to a non-employee at an exercise price of $1.58. The options were valued on the grant date using the Black-Scholes option-pricing model with the following assumptions: dividend yield of 0%, expected volatility of 200%, risk-free interest rate of 0.67% and expected life of 60 months. The total value of the options was $40,007. The options vest over 1 year. The Company recognized share-based compensation expense of $8,335 during the three months ended December 31, 2012 and $30,006 during the nine months ended September 30, 2013. The remaining balance will be recognized over the remainder of 2013.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gridSpan w:val="2"/>
          </w:tcPr>
          <w:p>
            <w:pPr>
              <w:jc w:val="right"/>
              <w:ind w:right="70"/>
              <w:spacing w:after="0"/>
              <w:rPr>
                <w:sz w:val="20"/>
                <w:szCs w:val="20"/>
                <w:color w:val="auto"/>
              </w:rPr>
            </w:pPr>
            <w:r>
              <w:rPr>
                <w:rFonts w:ascii="Arial" w:cs="Arial" w:eastAsia="Arial" w:hAnsi="Arial"/>
                <w:sz w:val="18"/>
                <w:szCs w:val="18"/>
                <w:color w:val="auto"/>
                <w:w w:val="90"/>
              </w:rPr>
              <w:t>The Company had the following options outstanding as of September 30, 2013:</w:t>
            </w: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18"/>
        </w:trPr>
        <w:tc>
          <w:tcPr>
            <w:tcW w:w="28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Number of</w:t>
            </w:r>
          </w:p>
        </w:tc>
        <w:tc>
          <w:tcPr>
            <w:tcW w:w="1420" w:type="dxa"/>
            <w:vAlign w:val="bottom"/>
            <w:gridSpan w:val="4"/>
          </w:tcPr>
          <w:p>
            <w:pPr>
              <w:ind w:left="120"/>
              <w:spacing w:after="0"/>
              <w:rPr>
                <w:sz w:val="20"/>
                <w:szCs w:val="20"/>
                <w:color w:val="auto"/>
              </w:rPr>
            </w:pPr>
            <w:r>
              <w:rPr>
                <w:rFonts w:ascii="Arial" w:cs="Arial" w:eastAsia="Arial" w:hAnsi="Arial"/>
                <w:sz w:val="18"/>
                <w:szCs w:val="18"/>
                <w:color w:val="auto"/>
                <w:w w:val="87"/>
              </w:rPr>
              <w:t>Weighted average</w:t>
            </w:r>
          </w:p>
        </w:tc>
        <w:tc>
          <w:tcPr>
            <w:tcW w:w="2840" w:type="dxa"/>
            <w:vAlign w:val="bottom"/>
          </w:tcPr>
          <w:p>
            <w:pPr>
              <w:spacing w:after="0"/>
              <w:rPr>
                <w:sz w:val="24"/>
                <w:szCs w:val="24"/>
                <w:color w:val="auto"/>
              </w:rPr>
            </w:pPr>
          </w:p>
        </w:tc>
      </w:tr>
      <w:tr>
        <w:trPr>
          <w:trHeight w:val="230"/>
        </w:trPr>
        <w:tc>
          <w:tcPr>
            <w:tcW w:w="2880" w:type="dxa"/>
            <w:vAlign w:val="bottom"/>
          </w:tcPr>
          <w:p>
            <w:pPr>
              <w:spacing w:after="0"/>
              <w:rPr>
                <w:sz w:val="20"/>
                <w:szCs w:val="20"/>
                <w:color w:val="auto"/>
              </w:rPr>
            </w:pPr>
          </w:p>
        </w:tc>
        <w:tc>
          <w:tcPr>
            <w:tcW w:w="3020" w:type="dxa"/>
            <w:vAlign w:val="bottom"/>
            <w:tcBorders>
              <w:bottom w:val="single" w:sz="8" w:color="CCEECC"/>
            </w:tcBorders>
          </w:tcPr>
          <w:p>
            <w:pPr>
              <w:spacing w:after="0"/>
              <w:rPr>
                <w:sz w:val="20"/>
                <w:szCs w:val="20"/>
                <w:color w:val="auto"/>
              </w:rPr>
            </w:pPr>
          </w:p>
        </w:tc>
        <w:tc>
          <w:tcPr>
            <w:tcW w:w="12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Options</w:t>
            </w:r>
          </w:p>
        </w:tc>
        <w:tc>
          <w:tcPr>
            <w:tcW w:w="120" w:type="dxa"/>
            <w:vAlign w:val="bottom"/>
            <w:tcBorders>
              <w:bottom w:val="single" w:sz="8" w:color="CCEE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1"/>
              </w:rPr>
              <w:t>exercise price</w:t>
            </w:r>
          </w:p>
        </w:tc>
        <w:tc>
          <w:tcPr>
            <w:tcW w:w="2840" w:type="dxa"/>
            <w:vAlign w:val="bottom"/>
          </w:tcPr>
          <w:p>
            <w:pPr>
              <w:spacing w:after="0"/>
              <w:rPr>
                <w:sz w:val="20"/>
                <w:szCs w:val="20"/>
                <w:color w:val="auto"/>
              </w:rPr>
            </w:pPr>
          </w:p>
        </w:tc>
      </w:tr>
      <w:tr>
        <w:trPr>
          <w:trHeight w:val="210"/>
        </w:trPr>
        <w:tc>
          <w:tcPr>
            <w:tcW w:w="2880" w:type="dxa"/>
            <w:vAlign w:val="bottom"/>
          </w:tcPr>
          <w:p>
            <w:pPr>
              <w:spacing w:after="0"/>
              <w:rPr>
                <w:sz w:val="18"/>
                <w:szCs w:val="18"/>
                <w:color w:val="auto"/>
              </w:rPr>
            </w:pPr>
          </w:p>
        </w:tc>
        <w:tc>
          <w:tcPr>
            <w:tcW w:w="30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Outstanding, January 1, 2012</w:t>
            </w:r>
          </w:p>
        </w:tc>
        <w:tc>
          <w:tcPr>
            <w:tcW w:w="1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405,000</w:t>
            </w:r>
          </w:p>
        </w:tc>
        <w:tc>
          <w:tcPr>
            <w:tcW w:w="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CC"/>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3020" w:type="dxa"/>
            <w:vAlign w:val="bottom"/>
          </w:tcPr>
          <w:p>
            <w:pPr>
              <w:jc w:val="right"/>
              <w:ind w:right="70"/>
              <w:spacing w:after="0"/>
              <w:rPr>
                <w:sz w:val="20"/>
                <w:szCs w:val="20"/>
                <w:color w:val="auto"/>
              </w:rPr>
            </w:pPr>
            <w:r>
              <w:rPr>
                <w:rFonts w:ascii="Arial" w:cs="Arial" w:eastAsia="Arial" w:hAnsi="Arial"/>
                <w:sz w:val="18"/>
                <w:szCs w:val="18"/>
                <w:color w:val="auto"/>
              </w:rPr>
              <w:t>Granted - 2012</w:t>
            </w:r>
          </w:p>
        </w:tc>
        <w:tc>
          <w:tcPr>
            <w:tcW w:w="1200" w:type="dxa"/>
            <w:vAlign w:val="bottom"/>
          </w:tcPr>
          <w:p>
            <w:pPr>
              <w:jc w:val="right"/>
              <w:spacing w:after="0"/>
              <w:rPr>
                <w:sz w:val="20"/>
                <w:szCs w:val="20"/>
                <w:color w:val="auto"/>
              </w:rPr>
            </w:pPr>
            <w:r>
              <w:rPr>
                <w:rFonts w:ascii="Arial" w:cs="Arial" w:eastAsia="Arial" w:hAnsi="Arial"/>
                <w:sz w:val="18"/>
                <w:szCs w:val="18"/>
                <w:color w:val="auto"/>
              </w:rPr>
              <w:t>75,000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30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Exercised - 2012</w:t>
            </w:r>
          </w:p>
        </w:tc>
        <w:tc>
          <w:tcPr>
            <w:tcW w:w="1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2840" w:type="dxa"/>
            <w:vAlign w:val="bottom"/>
          </w:tcPr>
          <w:p>
            <w:pPr>
              <w:spacing w:after="0"/>
              <w:rPr>
                <w:sz w:val="18"/>
                <w:szCs w:val="18"/>
                <w:color w:val="auto"/>
              </w:rPr>
            </w:pPr>
          </w:p>
        </w:tc>
      </w:tr>
      <w:tr>
        <w:trPr>
          <w:trHeight w:val="230"/>
        </w:trPr>
        <w:tc>
          <w:tcPr>
            <w:tcW w:w="2880" w:type="dxa"/>
            <w:vAlign w:val="bottom"/>
          </w:tcPr>
          <w:p>
            <w:pPr>
              <w:spacing w:after="0"/>
              <w:rPr>
                <w:sz w:val="19"/>
                <w:szCs w:val="19"/>
                <w:color w:val="auto"/>
              </w:rPr>
            </w:pPr>
          </w:p>
        </w:tc>
        <w:tc>
          <w:tcPr>
            <w:tcW w:w="3020" w:type="dxa"/>
            <w:vAlign w:val="bottom"/>
          </w:tcPr>
          <w:p>
            <w:pPr>
              <w:jc w:val="right"/>
              <w:ind w:right="70"/>
              <w:spacing w:after="0"/>
              <w:rPr>
                <w:sz w:val="20"/>
                <w:szCs w:val="20"/>
                <w:color w:val="auto"/>
              </w:rPr>
            </w:pPr>
            <w:r>
              <w:rPr>
                <w:rFonts w:ascii="Arial" w:cs="Arial" w:eastAsia="Arial" w:hAnsi="Arial"/>
                <w:sz w:val="18"/>
                <w:szCs w:val="18"/>
                <w:color w:val="auto"/>
              </w:rPr>
              <w:t>Expired - 2012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(455,000)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2840" w:type="dxa"/>
            <w:vAlign w:val="bottom"/>
          </w:tcPr>
          <w:p>
            <w:pPr>
              <w:spacing w:after="0"/>
              <w:rPr>
                <w:sz w:val="19"/>
                <w:szCs w:val="19"/>
                <w:color w:val="auto"/>
              </w:rPr>
            </w:pPr>
          </w:p>
        </w:tc>
      </w:tr>
      <w:tr>
        <w:trPr>
          <w:trHeight w:val="210"/>
        </w:trPr>
        <w:tc>
          <w:tcPr>
            <w:tcW w:w="2880" w:type="dxa"/>
            <w:vAlign w:val="bottom"/>
          </w:tcPr>
          <w:p>
            <w:pPr>
              <w:spacing w:after="0"/>
              <w:rPr>
                <w:sz w:val="18"/>
                <w:szCs w:val="18"/>
                <w:color w:val="auto"/>
              </w:rPr>
            </w:pPr>
          </w:p>
        </w:tc>
        <w:tc>
          <w:tcPr>
            <w:tcW w:w="3020" w:type="dxa"/>
            <w:vAlign w:val="bottom"/>
            <w:tcBorders>
              <w:top w:val="single" w:sz="8" w:color="CCEECC"/>
            </w:tcBorders>
            <w:shd w:val="clear" w:color="auto" w:fill="CCEECC"/>
          </w:tcPr>
          <w:p>
            <w:pPr>
              <w:jc w:val="right"/>
              <w:ind w:right="70"/>
              <w:spacing w:after="0"/>
              <w:rPr>
                <w:sz w:val="20"/>
                <w:szCs w:val="20"/>
                <w:color w:val="auto"/>
              </w:rPr>
            </w:pPr>
            <w:r>
              <w:rPr>
                <w:rFonts w:ascii="Arial" w:cs="Arial" w:eastAsia="Arial" w:hAnsi="Arial"/>
                <w:sz w:val="18"/>
                <w:szCs w:val="18"/>
                <w:color w:val="auto"/>
              </w:rPr>
              <w:t>Balance, December 31, 2012</w:t>
            </w:r>
          </w:p>
        </w:tc>
        <w:tc>
          <w:tcPr>
            <w:tcW w:w="120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25,000</w:t>
            </w:r>
          </w:p>
        </w:tc>
        <w:tc>
          <w:tcPr>
            <w:tcW w:w="6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spacing w:after="0"/>
              <w:rPr>
                <w:sz w:val="18"/>
                <w:szCs w:val="18"/>
                <w:color w:val="auto"/>
              </w:rPr>
            </w:pPr>
          </w:p>
        </w:tc>
        <w:tc>
          <w:tcPr>
            <w:tcW w:w="11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1.58</w:t>
            </w:r>
          </w:p>
        </w:tc>
        <w:tc>
          <w:tcPr>
            <w:tcW w:w="80" w:type="dxa"/>
            <w:vAlign w:val="bottom"/>
            <w:tcBorders>
              <w:top w:val="single" w:sz="8" w:color="CCEECC"/>
            </w:tcBorders>
            <w:shd w:val="clear" w:color="auto" w:fill="CCEECC"/>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3020" w:type="dxa"/>
            <w:vAlign w:val="bottom"/>
          </w:tcPr>
          <w:p>
            <w:pPr>
              <w:jc w:val="right"/>
              <w:ind w:right="70"/>
              <w:spacing w:after="0"/>
              <w:rPr>
                <w:sz w:val="20"/>
                <w:szCs w:val="20"/>
                <w:color w:val="auto"/>
              </w:rPr>
            </w:pPr>
            <w:r>
              <w:rPr>
                <w:rFonts w:ascii="Arial" w:cs="Arial" w:eastAsia="Arial" w:hAnsi="Arial"/>
                <w:sz w:val="18"/>
                <w:szCs w:val="18"/>
                <w:color w:val="auto"/>
              </w:rPr>
              <w:t>Granted - 2013</w:t>
            </w:r>
          </w:p>
        </w:tc>
        <w:tc>
          <w:tcPr>
            <w:tcW w:w="120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30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Exercised - 2013</w:t>
            </w:r>
          </w:p>
        </w:tc>
        <w:tc>
          <w:tcPr>
            <w:tcW w:w="1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2840" w:type="dxa"/>
            <w:vAlign w:val="bottom"/>
          </w:tcPr>
          <w:p>
            <w:pPr>
              <w:spacing w:after="0"/>
              <w:rPr>
                <w:sz w:val="18"/>
                <w:szCs w:val="18"/>
                <w:color w:val="auto"/>
              </w:rPr>
            </w:pPr>
          </w:p>
        </w:tc>
      </w:tr>
      <w:tr>
        <w:trPr>
          <w:trHeight w:val="230"/>
        </w:trPr>
        <w:tc>
          <w:tcPr>
            <w:tcW w:w="2880" w:type="dxa"/>
            <w:vAlign w:val="bottom"/>
          </w:tcPr>
          <w:p>
            <w:pPr>
              <w:spacing w:after="0"/>
              <w:rPr>
                <w:sz w:val="19"/>
                <w:szCs w:val="19"/>
                <w:color w:val="auto"/>
              </w:rPr>
            </w:pPr>
          </w:p>
        </w:tc>
        <w:tc>
          <w:tcPr>
            <w:tcW w:w="3020" w:type="dxa"/>
            <w:vAlign w:val="bottom"/>
            <w:tcBorders>
              <w:bottom w:val="single" w:sz="8" w:color="CCEECC"/>
            </w:tcBorders>
          </w:tcPr>
          <w:p>
            <w:pPr>
              <w:jc w:val="right"/>
              <w:ind w:right="70"/>
              <w:spacing w:after="0"/>
              <w:rPr>
                <w:sz w:val="20"/>
                <w:szCs w:val="20"/>
                <w:color w:val="auto"/>
              </w:rPr>
            </w:pPr>
            <w:r>
              <w:rPr>
                <w:rFonts w:ascii="Arial" w:cs="Arial" w:eastAsia="Arial" w:hAnsi="Arial"/>
                <w:sz w:val="18"/>
                <w:szCs w:val="18"/>
                <w:color w:val="auto"/>
              </w:rPr>
              <w:t>Expired - 2013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bottom w:val="single" w:sz="8" w:color="CCEECC"/>
            </w:tcBorders>
          </w:tcPr>
          <w:p>
            <w:pPr>
              <w:spacing w:after="0"/>
              <w:rPr>
                <w:sz w:val="19"/>
                <w:szCs w:val="19"/>
                <w:color w:val="auto"/>
              </w:rPr>
            </w:pPr>
          </w:p>
        </w:tc>
        <w:tc>
          <w:tcPr>
            <w:tcW w:w="120" w:type="dxa"/>
            <w:vAlign w:val="bottom"/>
            <w:tcBorders>
              <w:bottom w:val="single" w:sz="8" w:color="CCEEC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CCEECC"/>
            </w:tcBorders>
          </w:tcPr>
          <w:p>
            <w:pPr>
              <w:spacing w:after="0"/>
              <w:rPr>
                <w:sz w:val="19"/>
                <w:szCs w:val="19"/>
                <w:color w:val="auto"/>
              </w:rPr>
            </w:pPr>
          </w:p>
        </w:tc>
        <w:tc>
          <w:tcPr>
            <w:tcW w:w="2840" w:type="dxa"/>
            <w:vAlign w:val="bottom"/>
          </w:tcPr>
          <w:p>
            <w:pPr>
              <w:spacing w:after="0"/>
              <w:rPr>
                <w:sz w:val="19"/>
                <w:szCs w:val="19"/>
                <w:color w:val="auto"/>
              </w:rPr>
            </w:pPr>
          </w:p>
        </w:tc>
      </w:tr>
      <w:tr>
        <w:trPr>
          <w:trHeight w:val="223"/>
        </w:trPr>
        <w:tc>
          <w:tcPr>
            <w:tcW w:w="2880" w:type="dxa"/>
            <w:vAlign w:val="bottom"/>
          </w:tcPr>
          <w:p>
            <w:pPr>
              <w:spacing w:after="0"/>
              <w:rPr>
                <w:sz w:val="19"/>
                <w:szCs w:val="19"/>
                <w:color w:val="auto"/>
              </w:rPr>
            </w:pPr>
          </w:p>
        </w:tc>
        <w:tc>
          <w:tcPr>
            <w:tcW w:w="3020" w:type="dxa"/>
            <w:vAlign w:val="bottom"/>
            <w:tcBorders>
              <w:bottom w:val="single" w:sz="8" w:color="CCEECC"/>
            </w:tcBorders>
            <w:shd w:val="clear" w:color="auto" w:fill="CCEECC"/>
          </w:tcPr>
          <w:p>
            <w:pPr>
              <w:jc w:val="right"/>
              <w:ind w:right="70"/>
              <w:spacing w:after="0"/>
              <w:rPr>
                <w:sz w:val="20"/>
                <w:szCs w:val="20"/>
                <w:color w:val="auto"/>
              </w:rPr>
            </w:pPr>
            <w:r>
              <w:rPr>
                <w:rFonts w:ascii="Arial" w:cs="Arial" w:eastAsia="Arial" w:hAnsi="Arial"/>
                <w:sz w:val="18"/>
                <w:szCs w:val="18"/>
                <w:color w:val="auto"/>
              </w:rPr>
              <w:t>Balance, September 30, 2013</w:t>
            </w:r>
          </w:p>
        </w:tc>
        <w:tc>
          <w:tcPr>
            <w:tcW w:w="12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25,000</w:t>
            </w:r>
          </w:p>
        </w:tc>
        <w:tc>
          <w:tcPr>
            <w:tcW w:w="60" w:type="dxa"/>
            <w:vAlign w:val="bottom"/>
            <w:tcBorders>
              <w:bottom w:val="single" w:sz="8" w:color="CCEECC"/>
            </w:tcBorders>
            <w:shd w:val="clear" w:color="auto" w:fill="CCEECC"/>
          </w:tcPr>
          <w:p>
            <w:pPr>
              <w:spacing w:after="0"/>
              <w:rPr>
                <w:sz w:val="19"/>
                <w:szCs w:val="19"/>
                <w:color w:val="auto"/>
              </w:rPr>
            </w:pPr>
          </w:p>
        </w:tc>
        <w:tc>
          <w:tcPr>
            <w:tcW w:w="120" w:type="dxa"/>
            <w:vAlign w:val="bottom"/>
            <w:tcBorders>
              <w:bottom w:val="single" w:sz="8" w:color="CCEECC"/>
            </w:tcBorders>
            <w:shd w:val="clear" w:color="auto" w:fill="CCEECC"/>
          </w:tcPr>
          <w:p>
            <w:pPr>
              <w:spacing w:after="0"/>
              <w:rPr>
                <w:sz w:val="19"/>
                <w:szCs w:val="19"/>
                <w:color w:val="auto"/>
              </w:rPr>
            </w:pPr>
          </w:p>
        </w:tc>
        <w:tc>
          <w:tcPr>
            <w:tcW w:w="100" w:type="dxa"/>
            <w:vAlign w:val="bottom"/>
            <w:tcBorders>
              <w:bottom w:val="single" w:sz="8" w:color="auto"/>
            </w:tcBorders>
            <w:shd w:val="clear" w:color="auto" w:fill="CCEECC"/>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1.58</w:t>
            </w:r>
          </w:p>
        </w:tc>
        <w:tc>
          <w:tcPr>
            <w:tcW w:w="80" w:type="dxa"/>
            <w:vAlign w:val="bottom"/>
            <w:tcBorders>
              <w:bottom w:val="single" w:sz="8" w:color="CCEECC"/>
            </w:tcBorders>
            <w:shd w:val="clear" w:color="auto" w:fill="CCEECC"/>
          </w:tcPr>
          <w:p>
            <w:pPr>
              <w:spacing w:after="0"/>
              <w:rPr>
                <w:sz w:val="19"/>
                <w:szCs w:val="19"/>
                <w:color w:val="auto"/>
              </w:rPr>
            </w:pPr>
          </w:p>
        </w:tc>
        <w:tc>
          <w:tcPr>
            <w:tcW w:w="2840" w:type="dxa"/>
            <w:vAlign w:val="bottom"/>
          </w:tcPr>
          <w:p>
            <w:pPr>
              <w:spacing w:after="0"/>
              <w:rPr>
                <w:sz w:val="19"/>
                <w:szCs w:val="19"/>
                <w:color w:val="auto"/>
              </w:rPr>
            </w:pPr>
          </w:p>
        </w:tc>
      </w:tr>
      <w:tr>
        <w:trPr>
          <w:trHeight w:val="20"/>
        </w:trPr>
        <w:tc>
          <w:tcPr>
            <w:tcW w:w="28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386"/>
        </w:trPr>
        <w:tc>
          <w:tcPr>
            <w:tcW w:w="28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r>
        <w:trPr>
          <w:trHeight w:val="224"/>
        </w:trPr>
        <w:tc>
          <w:tcPr>
            <w:tcW w:w="2880" w:type="dxa"/>
            <w:vAlign w:val="bottom"/>
          </w:tcPr>
          <w:p>
            <w:pPr>
              <w:spacing w:after="0"/>
              <w:rPr>
                <w:sz w:val="19"/>
                <w:szCs w:val="19"/>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F-12</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Pr>
          <w:p>
            <w:pPr>
              <w:spacing w:after="0"/>
              <w:rPr>
                <w:sz w:val="19"/>
                <w:szCs w:val="19"/>
                <w:color w:val="auto"/>
              </w:rPr>
            </w:pPr>
          </w:p>
        </w:tc>
      </w:tr>
    </w:tbl>
    <w:p>
      <w:pPr>
        <w:sectPr>
          <w:pgSz w:w="11900" w:h="16838" w:orient="portrait"/>
          <w:cols w:equalWidth="0" w:num="1">
            <w:col w:w="11420"/>
          </w:cols>
          <w:pgMar w:left="240" w:top="233"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gridSpan w:val="3"/>
          </w:tcPr>
          <w:p>
            <w:pPr>
              <w:spacing w:after="0"/>
              <w:rPr>
                <w:sz w:val="20"/>
                <w:szCs w:val="20"/>
                <w:color w:val="auto"/>
              </w:rPr>
            </w:pPr>
            <w:r>
              <w:rPr>
                <w:rFonts w:ascii="Arial" w:cs="Arial" w:eastAsia="Arial" w:hAnsi="Arial"/>
                <w:sz w:val="18"/>
                <w:szCs w:val="18"/>
                <w:color w:val="auto"/>
              </w:rPr>
              <w:t>NOTE 12 – STOCK OPTIONS AND WARRANTS (CONTINUED)</w:t>
            </w: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900" w:type="dxa"/>
            <w:vAlign w:val="bottom"/>
            <w:gridSpan w:val="3"/>
          </w:tcPr>
          <w:p>
            <w:pPr>
              <w:spacing w:after="0"/>
              <w:rPr>
                <w:sz w:val="20"/>
                <w:szCs w:val="20"/>
                <w:color w:val="auto"/>
              </w:rPr>
            </w:pPr>
            <w:r>
              <w:rPr>
                <w:rFonts w:ascii="Arial" w:cs="Arial" w:eastAsia="Arial" w:hAnsi="Arial"/>
                <w:sz w:val="18"/>
                <w:szCs w:val="18"/>
                <w:color w:val="auto"/>
                <w:w w:val="91"/>
              </w:rPr>
              <w:t>The Company had the following warrants outstanding as of September 30, 2013:</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28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Number of</w:t>
            </w:r>
          </w:p>
        </w:tc>
        <w:tc>
          <w:tcPr>
            <w:tcW w:w="1420" w:type="dxa"/>
            <w:vAlign w:val="bottom"/>
            <w:gridSpan w:val="4"/>
          </w:tcPr>
          <w:p>
            <w:pPr>
              <w:ind w:left="120"/>
              <w:spacing w:after="0"/>
              <w:rPr>
                <w:sz w:val="20"/>
                <w:szCs w:val="20"/>
                <w:color w:val="auto"/>
              </w:rPr>
            </w:pPr>
            <w:r>
              <w:rPr>
                <w:rFonts w:ascii="Arial" w:cs="Arial" w:eastAsia="Arial" w:hAnsi="Arial"/>
                <w:sz w:val="18"/>
                <w:szCs w:val="18"/>
                <w:color w:val="auto"/>
                <w:w w:val="87"/>
              </w:rPr>
              <w:t>Weighted average</w:t>
            </w:r>
          </w:p>
        </w:tc>
      </w:tr>
      <w:tr>
        <w:trPr>
          <w:trHeight w:val="230"/>
        </w:trPr>
        <w:tc>
          <w:tcPr>
            <w:tcW w:w="2880" w:type="dxa"/>
            <w:vAlign w:val="bottom"/>
          </w:tcPr>
          <w:p>
            <w:pPr>
              <w:spacing w:after="0"/>
              <w:rPr>
                <w:sz w:val="20"/>
                <w:szCs w:val="20"/>
                <w:color w:val="auto"/>
              </w:rPr>
            </w:pPr>
          </w:p>
        </w:tc>
        <w:tc>
          <w:tcPr>
            <w:tcW w:w="2860" w:type="dxa"/>
            <w:vAlign w:val="bottom"/>
            <w:tcBorders>
              <w:bottom w:val="single" w:sz="8" w:color="CCEECC"/>
            </w:tcBorders>
          </w:tcPr>
          <w:p>
            <w:pPr>
              <w:spacing w:after="0"/>
              <w:rPr>
                <w:sz w:val="20"/>
                <w:szCs w:val="20"/>
                <w:color w:val="auto"/>
              </w:rPr>
            </w:pPr>
          </w:p>
        </w:tc>
        <w:tc>
          <w:tcPr>
            <w:tcW w:w="160" w:type="dxa"/>
            <w:vAlign w:val="bottom"/>
            <w:tcBorders>
              <w:bottom w:val="single" w:sz="8" w:color="CCEECC"/>
            </w:tcBorders>
          </w:tcPr>
          <w:p>
            <w:pPr>
              <w:spacing w:after="0"/>
              <w:rPr>
                <w:sz w:val="20"/>
                <w:szCs w:val="20"/>
                <w:color w:val="auto"/>
              </w:rPr>
            </w:pPr>
          </w:p>
        </w:tc>
        <w:tc>
          <w:tcPr>
            <w:tcW w:w="12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Warrants</w:t>
            </w:r>
          </w:p>
        </w:tc>
        <w:tc>
          <w:tcPr>
            <w:tcW w:w="120" w:type="dxa"/>
            <w:vAlign w:val="bottom"/>
            <w:tcBorders>
              <w:bottom w:val="single" w:sz="8" w:color="CCEE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1"/>
              </w:rPr>
              <w:t>exercise price</w:t>
            </w:r>
          </w:p>
        </w:tc>
      </w:tr>
      <w:tr>
        <w:trPr>
          <w:trHeight w:val="210"/>
        </w:trPr>
        <w:tc>
          <w:tcPr>
            <w:tcW w:w="2880" w:type="dxa"/>
            <w:vAlign w:val="bottom"/>
          </w:tcPr>
          <w:p>
            <w:pPr>
              <w:spacing w:after="0"/>
              <w:rPr>
                <w:sz w:val="18"/>
                <w:szCs w:val="18"/>
                <w:color w:val="auto"/>
              </w:rPr>
            </w:pPr>
          </w:p>
        </w:tc>
        <w:tc>
          <w:tcPr>
            <w:tcW w:w="30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Outstanding, January 1, 2012</w:t>
            </w:r>
          </w:p>
        </w:tc>
        <w:tc>
          <w:tcPr>
            <w:tcW w:w="1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14,344,434</w:t>
            </w:r>
          </w:p>
        </w:tc>
        <w:tc>
          <w:tcPr>
            <w:tcW w:w="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CC"/>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3020" w:type="dxa"/>
            <w:vAlign w:val="bottom"/>
            <w:gridSpan w:val="2"/>
          </w:tcPr>
          <w:p>
            <w:pPr>
              <w:jc w:val="right"/>
              <w:ind w:right="160"/>
              <w:spacing w:after="0"/>
              <w:rPr>
                <w:sz w:val="20"/>
                <w:szCs w:val="20"/>
                <w:color w:val="auto"/>
              </w:rPr>
            </w:pPr>
            <w:r>
              <w:rPr>
                <w:rFonts w:ascii="Arial" w:cs="Arial" w:eastAsia="Arial" w:hAnsi="Arial"/>
                <w:sz w:val="18"/>
                <w:szCs w:val="18"/>
                <w:color w:val="auto"/>
              </w:rPr>
              <w:t>Granted - 2012</w:t>
            </w:r>
          </w:p>
        </w:tc>
        <w:tc>
          <w:tcPr>
            <w:tcW w:w="120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30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Exercised - 2012</w:t>
            </w:r>
          </w:p>
        </w:tc>
        <w:tc>
          <w:tcPr>
            <w:tcW w:w="1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r>
      <w:tr>
        <w:trPr>
          <w:trHeight w:val="230"/>
        </w:trPr>
        <w:tc>
          <w:tcPr>
            <w:tcW w:w="2880" w:type="dxa"/>
            <w:vAlign w:val="bottom"/>
          </w:tcPr>
          <w:p>
            <w:pPr>
              <w:spacing w:after="0"/>
              <w:rPr>
                <w:sz w:val="19"/>
                <w:szCs w:val="19"/>
                <w:color w:val="auto"/>
              </w:rPr>
            </w:pPr>
          </w:p>
        </w:tc>
        <w:tc>
          <w:tcPr>
            <w:tcW w:w="3020" w:type="dxa"/>
            <w:vAlign w:val="bottom"/>
            <w:gridSpan w:val="2"/>
          </w:tcPr>
          <w:p>
            <w:pPr>
              <w:jc w:val="right"/>
              <w:ind w:right="160"/>
              <w:spacing w:after="0"/>
              <w:rPr>
                <w:sz w:val="20"/>
                <w:szCs w:val="20"/>
                <w:color w:val="auto"/>
              </w:rPr>
            </w:pPr>
            <w:r>
              <w:rPr>
                <w:rFonts w:ascii="Arial" w:cs="Arial" w:eastAsia="Arial" w:hAnsi="Arial"/>
                <w:sz w:val="18"/>
                <w:szCs w:val="18"/>
                <w:color w:val="auto"/>
              </w:rPr>
              <w:t>Expired - 2012</w:t>
            </w:r>
          </w:p>
        </w:tc>
        <w:tc>
          <w:tcPr>
            <w:tcW w:w="120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r>
      <w:tr>
        <w:trPr>
          <w:trHeight w:val="210"/>
        </w:trPr>
        <w:tc>
          <w:tcPr>
            <w:tcW w:w="2880" w:type="dxa"/>
            <w:vAlign w:val="bottom"/>
          </w:tcPr>
          <w:p>
            <w:pPr>
              <w:spacing w:after="0"/>
              <w:rPr>
                <w:sz w:val="18"/>
                <w:szCs w:val="18"/>
                <w:color w:val="auto"/>
              </w:rPr>
            </w:pPr>
          </w:p>
        </w:tc>
        <w:tc>
          <w:tcPr>
            <w:tcW w:w="28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Balance, December 31, 2012</w:t>
            </w:r>
          </w:p>
        </w:tc>
        <w:tc>
          <w:tcPr>
            <w:tcW w:w="160" w:type="dxa"/>
            <w:vAlign w:val="bottom"/>
            <w:tcBorders>
              <w:top w:val="single" w:sz="8" w:color="CCEECC"/>
            </w:tcBorders>
            <w:shd w:val="clear" w:color="auto" w:fill="CCEECC"/>
          </w:tcPr>
          <w:p>
            <w:pPr>
              <w:spacing w:after="0"/>
              <w:rPr>
                <w:sz w:val="18"/>
                <w:szCs w:val="18"/>
                <w:color w:val="auto"/>
              </w:rPr>
            </w:pPr>
          </w:p>
        </w:tc>
        <w:tc>
          <w:tcPr>
            <w:tcW w:w="120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14,344,434</w:t>
            </w:r>
          </w:p>
        </w:tc>
        <w:tc>
          <w:tcPr>
            <w:tcW w:w="6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spacing w:after="0"/>
              <w:rPr>
                <w:sz w:val="18"/>
                <w:szCs w:val="18"/>
                <w:color w:val="auto"/>
              </w:rPr>
            </w:pPr>
          </w:p>
        </w:tc>
        <w:tc>
          <w:tcPr>
            <w:tcW w:w="11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2.41</w:t>
            </w:r>
          </w:p>
        </w:tc>
        <w:tc>
          <w:tcPr>
            <w:tcW w:w="80" w:type="dxa"/>
            <w:vAlign w:val="bottom"/>
            <w:tcBorders>
              <w:top w:val="single" w:sz="8" w:color="CCEECC"/>
            </w:tcBorders>
            <w:shd w:val="clear" w:color="auto" w:fill="CCEECC"/>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3020" w:type="dxa"/>
            <w:vAlign w:val="bottom"/>
            <w:gridSpan w:val="2"/>
          </w:tcPr>
          <w:p>
            <w:pPr>
              <w:jc w:val="right"/>
              <w:ind w:right="160"/>
              <w:spacing w:after="0"/>
              <w:rPr>
                <w:sz w:val="20"/>
                <w:szCs w:val="20"/>
                <w:color w:val="auto"/>
              </w:rPr>
            </w:pPr>
            <w:r>
              <w:rPr>
                <w:rFonts w:ascii="Arial" w:cs="Arial" w:eastAsia="Arial" w:hAnsi="Arial"/>
                <w:sz w:val="18"/>
                <w:szCs w:val="18"/>
                <w:color w:val="auto"/>
              </w:rPr>
              <w:t>Granted - 2013</w:t>
            </w:r>
          </w:p>
        </w:tc>
        <w:tc>
          <w:tcPr>
            <w:tcW w:w="120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30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Exercised - 2013</w:t>
            </w:r>
          </w:p>
        </w:tc>
        <w:tc>
          <w:tcPr>
            <w:tcW w:w="1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r>
      <w:tr>
        <w:trPr>
          <w:trHeight w:val="230"/>
        </w:trPr>
        <w:tc>
          <w:tcPr>
            <w:tcW w:w="2880" w:type="dxa"/>
            <w:vAlign w:val="bottom"/>
          </w:tcPr>
          <w:p>
            <w:pPr>
              <w:spacing w:after="0"/>
              <w:rPr>
                <w:sz w:val="19"/>
                <w:szCs w:val="19"/>
                <w:color w:val="auto"/>
              </w:rPr>
            </w:pPr>
          </w:p>
        </w:tc>
        <w:tc>
          <w:tcPr>
            <w:tcW w:w="3020" w:type="dxa"/>
            <w:vAlign w:val="bottom"/>
            <w:gridSpan w:val="2"/>
          </w:tcPr>
          <w:p>
            <w:pPr>
              <w:jc w:val="right"/>
              <w:ind w:right="160"/>
              <w:spacing w:after="0"/>
              <w:rPr>
                <w:sz w:val="20"/>
                <w:szCs w:val="20"/>
                <w:color w:val="auto"/>
              </w:rPr>
            </w:pPr>
            <w:r>
              <w:rPr>
                <w:rFonts w:ascii="Arial" w:cs="Arial" w:eastAsia="Arial" w:hAnsi="Arial"/>
                <w:sz w:val="18"/>
                <w:szCs w:val="18"/>
                <w:color w:val="auto"/>
              </w:rPr>
              <w:t>Expired - 2013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(672,000)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(2.59)</w:t>
            </w:r>
          </w:p>
        </w:tc>
      </w:tr>
      <w:tr>
        <w:trPr>
          <w:trHeight w:val="223"/>
        </w:trPr>
        <w:tc>
          <w:tcPr>
            <w:tcW w:w="2880" w:type="dxa"/>
            <w:vAlign w:val="bottom"/>
          </w:tcPr>
          <w:p>
            <w:pPr>
              <w:spacing w:after="0"/>
              <w:rPr>
                <w:sz w:val="19"/>
                <w:szCs w:val="19"/>
                <w:color w:val="auto"/>
              </w:rPr>
            </w:pPr>
          </w:p>
        </w:tc>
        <w:tc>
          <w:tcPr>
            <w:tcW w:w="2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Balance, September 30, 2013</w:t>
            </w:r>
          </w:p>
        </w:tc>
        <w:tc>
          <w:tcPr>
            <w:tcW w:w="160" w:type="dxa"/>
            <w:vAlign w:val="bottom"/>
            <w:tcBorders>
              <w:top w:val="single" w:sz="8" w:color="CCEECC"/>
              <w:bottom w:val="single" w:sz="8" w:color="CCEECC"/>
            </w:tcBorders>
            <w:shd w:val="clear" w:color="auto" w:fill="CCEECC"/>
          </w:tcPr>
          <w:p>
            <w:pPr>
              <w:spacing w:after="0"/>
              <w:rPr>
                <w:sz w:val="19"/>
                <w:szCs w:val="19"/>
                <w:color w:val="auto"/>
              </w:rPr>
            </w:pPr>
          </w:p>
        </w:tc>
        <w:tc>
          <w:tcPr>
            <w:tcW w:w="12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13,672,434</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120" w:type="dxa"/>
            <w:vAlign w:val="bottom"/>
            <w:tcBorders>
              <w:top w:val="single" w:sz="8" w:color="CCEECC"/>
              <w:bottom w:val="single" w:sz="8" w:color="CCEECC"/>
            </w:tcBorders>
            <w:shd w:val="clear" w:color="auto" w:fill="CCEECC"/>
          </w:tcPr>
          <w:p>
            <w:pPr>
              <w:spacing w:after="0"/>
              <w:rPr>
                <w:sz w:val="19"/>
                <w:szCs w:val="19"/>
                <w:color w:val="auto"/>
              </w:rPr>
            </w:pPr>
          </w:p>
        </w:tc>
        <w:tc>
          <w:tcPr>
            <w:tcW w:w="100" w:type="dxa"/>
            <w:vAlign w:val="bottom"/>
            <w:tcBorders>
              <w:top w:val="single" w:sz="8" w:color="auto"/>
              <w:bottom w:val="single" w:sz="8" w:color="auto"/>
            </w:tcBorders>
            <w:shd w:val="clear" w:color="auto" w:fill="CCEECC"/>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2.44</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2880" w:type="dxa"/>
            <w:vAlign w:val="bottom"/>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13 – OPERATING LEASES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signed a lease for new office space on December 1, 2011 at an approximate rent of $5,000 per month. The new offices are in Rochester, Michigan. The lease is for three years with an option to renew for an additional two years at approximately $5,200 per month with six months advance notice to exercise the option. Minimum annual rent is as follows for the initial term of the lease:</w:t>
      </w:r>
    </w:p>
    <w:p>
      <w:pPr>
        <w:spacing w:after="0" w:line="196"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3100" w:type="dxa"/>
            <w:vAlign w:val="bottom"/>
            <w:shd w:val="clear" w:color="auto" w:fill="CCEECC"/>
          </w:tcPr>
          <w:p>
            <w:pPr>
              <w:jc w:val="right"/>
              <w:ind w:right="550"/>
              <w:spacing w:after="0"/>
              <w:rPr>
                <w:sz w:val="20"/>
                <w:szCs w:val="20"/>
                <w:color w:val="auto"/>
              </w:rPr>
            </w:pPr>
            <w:r>
              <w:rPr>
                <w:rFonts w:ascii="Arial" w:cs="Arial" w:eastAsia="Arial" w:hAnsi="Arial"/>
                <w:sz w:val="18"/>
                <w:szCs w:val="18"/>
                <w:color w:val="auto"/>
                <w:w w:val="95"/>
              </w:rPr>
              <w:t>Year ended December 31, 2013</w:t>
            </w:r>
          </w:p>
        </w:tc>
        <w:tc>
          <w:tcPr>
            <w:tcW w:w="1020" w:type="dxa"/>
            <w:vAlign w:val="bottom"/>
            <w:gridSpan w:val="2"/>
            <w:shd w:val="clear" w:color="auto" w:fill="CCEECC"/>
          </w:tcPr>
          <w:p>
            <w:pPr>
              <w:jc w:val="right"/>
              <w:ind w:right="890"/>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60,591</w:t>
            </w:r>
          </w:p>
        </w:tc>
        <w:tc>
          <w:tcPr>
            <w:tcW w:w="60" w:type="dxa"/>
            <w:vAlign w:val="bottom"/>
            <w:shd w:val="clear" w:color="auto" w:fill="CCEECC"/>
          </w:tcPr>
          <w:p>
            <w:pPr>
              <w:spacing w:after="0"/>
              <w:rPr>
                <w:sz w:val="18"/>
                <w:szCs w:val="18"/>
                <w:color w:val="auto"/>
              </w:rPr>
            </w:pPr>
          </w:p>
        </w:tc>
      </w:tr>
      <w:tr>
        <w:trPr>
          <w:trHeight w:val="216"/>
        </w:trPr>
        <w:tc>
          <w:tcPr>
            <w:tcW w:w="3100" w:type="dxa"/>
            <w:vAlign w:val="bottom"/>
          </w:tcPr>
          <w:p>
            <w:pPr>
              <w:jc w:val="right"/>
              <w:ind w:right="55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55,542</w:t>
            </w:r>
          </w:p>
        </w:tc>
        <w:tc>
          <w:tcPr>
            <w:tcW w:w="60" w:type="dxa"/>
            <w:vAlign w:val="bottom"/>
          </w:tcPr>
          <w:p>
            <w:pPr>
              <w:spacing w:after="0"/>
              <w:rPr>
                <w:sz w:val="18"/>
                <w:szCs w:val="18"/>
                <w:color w:val="auto"/>
              </w:rPr>
            </w:pPr>
          </w:p>
        </w:tc>
      </w:tr>
      <w:tr>
        <w:trPr>
          <w:trHeight w:val="230"/>
        </w:trPr>
        <w:tc>
          <w:tcPr>
            <w:tcW w:w="3100" w:type="dxa"/>
            <w:vAlign w:val="bottom"/>
            <w:shd w:val="clear" w:color="auto" w:fill="CCEECC"/>
          </w:tcPr>
          <w:p>
            <w:pPr>
              <w:jc w:val="right"/>
              <w:ind w:right="550"/>
              <w:spacing w:after="0"/>
              <w:rPr>
                <w:sz w:val="20"/>
                <w:szCs w:val="20"/>
                <w:color w:val="auto"/>
              </w:rPr>
            </w:pPr>
            <w:r>
              <w:rPr>
                <w:rFonts w:ascii="Arial" w:cs="Arial" w:eastAsia="Arial" w:hAnsi="Arial"/>
                <w:sz w:val="18"/>
                <w:szCs w:val="18"/>
                <w:color w:val="auto"/>
              </w:rPr>
              <w:t>2015</w:t>
            </w:r>
          </w:p>
        </w:tc>
        <w:tc>
          <w:tcPr>
            <w:tcW w:w="20" w:type="dxa"/>
            <w:vAlign w:val="bottom"/>
            <w:shd w:val="clear" w:color="auto" w:fill="CCEECC"/>
          </w:tcPr>
          <w:p>
            <w:pPr>
              <w:spacing w:after="0"/>
              <w:rPr>
                <w:sz w:val="19"/>
                <w:szCs w:val="19"/>
                <w:color w:val="auto"/>
              </w:rPr>
            </w:pPr>
          </w:p>
        </w:tc>
        <w:tc>
          <w:tcPr>
            <w:tcW w:w="1000" w:type="dxa"/>
            <w:vAlign w:val="bottom"/>
            <w:tcBorders>
              <w:bottom w:val="single" w:sz="8" w:color="auto"/>
            </w:tcBorders>
            <w:shd w:val="clear" w:color="auto" w:fill="CCEECC"/>
          </w:tcPr>
          <w:p>
            <w:pPr>
              <w:spacing w:after="0"/>
              <w:rPr>
                <w:sz w:val="19"/>
                <w:szCs w:val="19"/>
                <w:color w:val="auto"/>
              </w:rPr>
            </w:pPr>
          </w:p>
        </w:tc>
        <w:tc>
          <w:tcPr>
            <w:tcW w:w="15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9"/>
                <w:szCs w:val="19"/>
                <w:color w:val="auto"/>
              </w:rPr>
            </w:pPr>
          </w:p>
        </w:tc>
      </w:tr>
      <w:tr>
        <w:trPr>
          <w:trHeight w:val="223"/>
        </w:trPr>
        <w:tc>
          <w:tcPr>
            <w:tcW w:w="3100" w:type="dxa"/>
            <w:vAlign w:val="bottom"/>
          </w:tcPr>
          <w:p>
            <w:pPr>
              <w:jc w:val="right"/>
              <w:ind w:right="550"/>
              <w:spacing w:after="0"/>
              <w:rPr>
                <w:sz w:val="20"/>
                <w:szCs w:val="20"/>
                <w:color w:val="auto"/>
              </w:rPr>
            </w:pPr>
            <w:r>
              <w:rPr>
                <w:rFonts w:ascii="Arial" w:cs="Arial" w:eastAsia="Arial" w:hAnsi="Arial"/>
                <w:sz w:val="18"/>
                <w:szCs w:val="18"/>
                <w:color w:val="auto"/>
              </w:rPr>
              <w:t>Total lease commitment</w:t>
            </w: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90"/>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116,133</w:t>
            </w:r>
          </w:p>
        </w:tc>
        <w:tc>
          <w:tcPr>
            <w:tcW w:w="60" w:type="dxa"/>
            <w:vAlign w:val="bottom"/>
          </w:tcPr>
          <w:p>
            <w:pPr>
              <w:spacing w:after="0"/>
              <w:rPr>
                <w:sz w:val="19"/>
                <w:szCs w:val="19"/>
                <w:color w:val="auto"/>
              </w:rPr>
            </w:pPr>
          </w:p>
        </w:tc>
      </w:tr>
      <w:tr>
        <w:trPr>
          <w:trHeight w:val="20"/>
        </w:trPr>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14 – MAJOR CUSTOMERS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had three major customers that accounted for 68% and two major customers that accounted for 50% of the Company’s revenues for the nine months ended September 30, 2013 and 2012, respectively. The Company expects to continue to maintain these relationships with the customers.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15 – INCOME TAXES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nine months ended September 30, 2013, the Company incurred net income of approximately $260,000 but has no tax liability. The Company began operations in 2007 and has previous net operating loss carry-forwards of approximately $13,843,000 through December 31, 2012. The cumulative loss of approximately $13,583,000 will be carried forward and can be used through the year 2033 to offset future taxable income. In the future, the cumulative net operating loss carry-forward for income tax purposes may differ from the cumulative financial statement loss due to timing differences between book and tax reporting.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15 – INCOME TAXES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Federal income tax consists of the following for the nine months ended September 30, 2013 and 2012:</w:t>
      </w:r>
    </w:p>
    <w:p>
      <w:pPr>
        <w:spacing w:after="0" w:line="239" w:lineRule="exact"/>
        <w:rPr>
          <w:sz w:val="20"/>
          <w:szCs w:val="20"/>
          <w:color w:val="auto"/>
        </w:rPr>
      </w:pPr>
    </w:p>
    <w:tbl>
      <w:tblPr>
        <w:tblLayout w:type="fixed"/>
        <w:tblInd w:w="28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940" w:type="dxa"/>
            <w:vAlign w:val="bottom"/>
            <w:tcBorders>
              <w:bottom w:val="single" w:sz="8" w:color="CCEECC"/>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80" w:type="dxa"/>
            <w:vAlign w:val="bottom"/>
            <w:tcBorders>
              <w:bottom w:val="single" w:sz="8" w:color="auto"/>
            </w:tcBorders>
          </w:tcPr>
          <w:p>
            <w:pPr>
              <w:spacing w:after="0"/>
              <w:rPr>
                <w:sz w:val="20"/>
                <w:szCs w:val="20"/>
                <w:color w:val="auto"/>
              </w:rPr>
            </w:pPr>
          </w:p>
        </w:tc>
      </w:tr>
      <w:tr>
        <w:trPr>
          <w:trHeight w:val="182"/>
        </w:trPr>
        <w:tc>
          <w:tcPr>
            <w:tcW w:w="20" w:type="dxa"/>
            <w:vAlign w:val="bottom"/>
          </w:tcPr>
          <w:p>
            <w:pPr>
              <w:spacing w:after="0"/>
              <w:rPr>
                <w:sz w:val="15"/>
                <w:szCs w:val="15"/>
                <w:color w:val="auto"/>
              </w:rPr>
            </w:pPr>
          </w:p>
        </w:tc>
        <w:tc>
          <w:tcPr>
            <w:tcW w:w="2940" w:type="dxa"/>
            <w:vAlign w:val="bottom"/>
            <w:shd w:val="clear" w:color="auto" w:fill="CCEECC"/>
          </w:tcPr>
          <w:p>
            <w:pPr>
              <w:spacing w:after="0" w:line="182" w:lineRule="exact"/>
              <w:rPr>
                <w:sz w:val="20"/>
                <w:szCs w:val="20"/>
                <w:color w:val="auto"/>
              </w:rPr>
            </w:pPr>
            <w:r>
              <w:rPr>
                <w:rFonts w:ascii="Arial" w:cs="Arial" w:eastAsia="Arial" w:hAnsi="Arial"/>
                <w:sz w:val="18"/>
                <w:szCs w:val="18"/>
                <w:color w:val="auto"/>
                <w:w w:val="98"/>
              </w:rPr>
              <w:t>Federal income tax (expense) benefit</w:t>
            </w:r>
          </w:p>
        </w:tc>
        <w:tc>
          <w:tcPr>
            <w:tcW w:w="60" w:type="dxa"/>
            <w:vAlign w:val="bottom"/>
            <w:shd w:val="clear" w:color="auto" w:fill="CCEECC"/>
          </w:tcPr>
          <w:p>
            <w:pPr>
              <w:spacing w:after="0"/>
              <w:rPr>
                <w:sz w:val="15"/>
                <w:szCs w:val="15"/>
                <w:color w:val="auto"/>
              </w:rPr>
            </w:pPr>
          </w:p>
        </w:tc>
        <w:tc>
          <w:tcPr>
            <w:tcW w:w="280" w:type="dxa"/>
            <w:vAlign w:val="bottom"/>
            <w:shd w:val="clear" w:color="auto" w:fill="CCEECC"/>
          </w:tcPr>
          <w:p>
            <w:pPr>
              <w:spacing w:after="0"/>
              <w:rPr>
                <w:sz w:val="15"/>
                <w:szCs w:val="15"/>
                <w:color w:val="auto"/>
              </w:rPr>
            </w:pPr>
          </w:p>
        </w:tc>
        <w:tc>
          <w:tcPr>
            <w:tcW w:w="94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100" w:type="dxa"/>
            <w:vAlign w:val="bottom"/>
            <w:shd w:val="clear" w:color="auto" w:fill="CCEECC"/>
          </w:tcPr>
          <w:p>
            <w:pPr>
              <w:spacing w:after="0"/>
              <w:rPr>
                <w:sz w:val="15"/>
                <w:szCs w:val="15"/>
                <w:color w:val="auto"/>
              </w:rPr>
            </w:pPr>
          </w:p>
        </w:tc>
        <w:tc>
          <w:tcPr>
            <w:tcW w:w="20" w:type="dxa"/>
            <w:vAlign w:val="bottom"/>
            <w:shd w:val="clear" w:color="auto" w:fill="CCEECC"/>
          </w:tcPr>
          <w:p>
            <w:pPr>
              <w:spacing w:after="0"/>
              <w:rPr>
                <w:sz w:val="15"/>
                <w:szCs w:val="15"/>
                <w:color w:val="auto"/>
              </w:rPr>
            </w:pPr>
          </w:p>
        </w:tc>
        <w:tc>
          <w:tcPr>
            <w:tcW w:w="260" w:type="dxa"/>
            <w:vAlign w:val="bottom"/>
            <w:shd w:val="clear" w:color="auto" w:fill="CCEECC"/>
          </w:tcPr>
          <w:p>
            <w:pPr>
              <w:spacing w:after="0"/>
              <w:rPr>
                <w:sz w:val="15"/>
                <w:szCs w:val="15"/>
                <w:color w:val="auto"/>
              </w:rPr>
            </w:pPr>
          </w:p>
        </w:tc>
        <w:tc>
          <w:tcPr>
            <w:tcW w:w="96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2940" w:type="dxa"/>
            <w:vAlign w:val="bottom"/>
            <w:shd w:val="clear" w:color="auto" w:fill="CCEECC"/>
          </w:tcPr>
          <w:p>
            <w:pPr>
              <w:spacing w:after="0"/>
              <w:rPr>
                <w:sz w:val="20"/>
                <w:szCs w:val="20"/>
                <w:color w:val="auto"/>
              </w:rPr>
            </w:pPr>
            <w:r>
              <w:rPr>
                <w:rFonts w:ascii="Arial" w:cs="Arial" w:eastAsia="Arial" w:hAnsi="Arial"/>
                <w:sz w:val="18"/>
                <w:szCs w:val="18"/>
                <w:color w:val="auto"/>
              </w:rPr>
              <w:t>attributable to:</w:t>
            </w:r>
          </w:p>
        </w:tc>
        <w:tc>
          <w:tcPr>
            <w:tcW w:w="60" w:type="dxa"/>
            <w:vAlign w:val="bottom"/>
            <w:shd w:val="clear" w:color="auto" w:fill="CCEECC"/>
          </w:tcPr>
          <w:p>
            <w:pPr>
              <w:spacing w:after="0"/>
              <w:rPr>
                <w:sz w:val="20"/>
                <w:szCs w:val="20"/>
                <w:color w:val="auto"/>
              </w:rPr>
            </w:pPr>
          </w:p>
        </w:tc>
        <w:tc>
          <w:tcPr>
            <w:tcW w:w="280" w:type="dxa"/>
            <w:vAlign w:val="bottom"/>
            <w:shd w:val="clear" w:color="auto" w:fill="CCEECC"/>
          </w:tcPr>
          <w:p>
            <w:pPr>
              <w:spacing w:after="0"/>
              <w:rPr>
                <w:sz w:val="20"/>
                <w:szCs w:val="20"/>
                <w:color w:val="auto"/>
              </w:rPr>
            </w:pPr>
          </w:p>
        </w:tc>
        <w:tc>
          <w:tcPr>
            <w:tcW w:w="9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260" w:type="dxa"/>
            <w:vAlign w:val="bottom"/>
            <w:shd w:val="clear" w:color="auto" w:fill="CCEECC"/>
          </w:tcPr>
          <w:p>
            <w:pPr>
              <w:spacing w:after="0"/>
              <w:rPr>
                <w:sz w:val="20"/>
                <w:szCs w:val="20"/>
                <w:color w:val="auto"/>
              </w:rPr>
            </w:pPr>
          </w:p>
        </w:tc>
        <w:tc>
          <w:tcPr>
            <w:tcW w:w="9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80"/>
              <w:spacing w:after="0"/>
              <w:rPr>
                <w:sz w:val="20"/>
                <w:szCs w:val="20"/>
                <w:color w:val="auto"/>
              </w:rPr>
            </w:pPr>
            <w:r>
              <w:rPr>
                <w:rFonts w:ascii="Arial" w:cs="Arial" w:eastAsia="Arial" w:hAnsi="Arial"/>
                <w:sz w:val="18"/>
                <w:szCs w:val="18"/>
                <w:color w:val="auto"/>
              </w:rPr>
              <w:t>Current operations</w:t>
            </w:r>
          </w:p>
        </w:tc>
        <w:tc>
          <w:tcPr>
            <w:tcW w:w="3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(88,000)</w:t>
            </w:r>
          </w:p>
        </w:tc>
        <w:tc>
          <w:tcPr>
            <w:tcW w:w="100" w:type="dxa"/>
            <w:vAlign w:val="bottom"/>
          </w:tcPr>
          <w:p>
            <w:pPr>
              <w:spacing w:after="0"/>
              <w:rPr>
                <w:sz w:val="18"/>
                <w:szCs w:val="18"/>
                <w:color w:val="auto"/>
              </w:rPr>
            </w:pP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102,000</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CEECC"/>
          </w:tcPr>
          <w:p>
            <w:pPr>
              <w:ind w:left="80"/>
              <w:spacing w:after="0"/>
              <w:rPr>
                <w:sz w:val="20"/>
                <w:szCs w:val="20"/>
                <w:color w:val="auto"/>
              </w:rPr>
            </w:pPr>
            <w:r>
              <w:rPr>
                <w:rFonts w:ascii="Arial" w:cs="Arial" w:eastAsia="Arial" w:hAnsi="Arial"/>
                <w:sz w:val="18"/>
                <w:szCs w:val="18"/>
                <w:color w:val="auto"/>
              </w:rPr>
              <w:t>Valuation allowance</w:t>
            </w:r>
          </w:p>
        </w:tc>
        <w:tc>
          <w:tcPr>
            <w:tcW w:w="60" w:type="dxa"/>
            <w:vAlign w:val="bottom"/>
            <w:shd w:val="clear" w:color="auto" w:fill="CCEECC"/>
          </w:tcPr>
          <w:p>
            <w:pPr>
              <w:spacing w:after="0"/>
              <w:rPr>
                <w:sz w:val="19"/>
                <w:szCs w:val="19"/>
                <w:color w:val="auto"/>
              </w:rPr>
            </w:pPr>
          </w:p>
        </w:tc>
        <w:tc>
          <w:tcPr>
            <w:tcW w:w="280" w:type="dxa"/>
            <w:vAlign w:val="bottom"/>
            <w:shd w:val="clear" w:color="auto" w:fill="CCEECC"/>
          </w:tcPr>
          <w:p>
            <w:pPr>
              <w:spacing w:after="0"/>
              <w:rPr>
                <w:sz w:val="19"/>
                <w:szCs w:val="19"/>
                <w:color w:val="auto"/>
              </w:rPr>
            </w:pPr>
          </w:p>
        </w:tc>
        <w:tc>
          <w:tcPr>
            <w:tcW w:w="9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88,000</w:t>
            </w:r>
          </w:p>
        </w:tc>
        <w:tc>
          <w:tcPr>
            <w:tcW w:w="6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260" w:type="dxa"/>
            <w:vAlign w:val="bottom"/>
            <w:shd w:val="clear" w:color="auto" w:fill="CCEECC"/>
          </w:tcPr>
          <w:p>
            <w:pPr>
              <w:spacing w:after="0"/>
              <w:rPr>
                <w:sz w:val="19"/>
                <w:szCs w:val="19"/>
                <w:color w:val="auto"/>
              </w:rPr>
            </w:pPr>
          </w:p>
        </w:tc>
        <w:tc>
          <w:tcPr>
            <w:tcW w:w="10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(102,000)</w:t>
            </w:r>
          </w:p>
        </w:tc>
      </w:tr>
      <w:tr>
        <w:trPr>
          <w:trHeight w:val="223"/>
        </w:trPr>
        <w:tc>
          <w:tcPr>
            <w:tcW w:w="20" w:type="dxa"/>
            <w:vAlign w:val="bottom"/>
          </w:tcPr>
          <w:p>
            <w:pPr>
              <w:spacing w:after="0"/>
              <w:rPr>
                <w:sz w:val="19"/>
                <w:szCs w:val="19"/>
                <w:color w:val="auto"/>
              </w:rPr>
            </w:pPr>
          </w:p>
        </w:tc>
        <w:tc>
          <w:tcPr>
            <w:tcW w:w="2940" w:type="dxa"/>
            <w:vAlign w:val="bottom"/>
          </w:tcPr>
          <w:p>
            <w:pPr>
              <w:ind w:left="260"/>
              <w:spacing w:after="0"/>
              <w:rPr>
                <w:sz w:val="20"/>
                <w:szCs w:val="20"/>
                <w:color w:val="auto"/>
              </w:rPr>
            </w:pPr>
            <w:r>
              <w:rPr>
                <w:rFonts w:ascii="Arial" w:cs="Arial" w:eastAsia="Arial" w:hAnsi="Arial"/>
                <w:sz w:val="18"/>
                <w:szCs w:val="18"/>
                <w:color w:val="auto"/>
                <w:w w:val="93"/>
              </w:rPr>
              <w:t>Net provision for federal income tax</w:t>
            </w:r>
          </w:p>
        </w:tc>
        <w:tc>
          <w:tcPr>
            <w:tcW w:w="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cumulative tax effect at the expected rate of 34% of significant items comprising our net deferred tax amount is as follows as of September 30, 2013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w:t>
      </w:r>
    </w:p>
    <w:p>
      <w:pPr>
        <w:spacing w:after="0" w:line="224" w:lineRule="exact"/>
        <w:rPr>
          <w:sz w:val="20"/>
          <w:szCs w:val="20"/>
          <w:color w:val="auto"/>
        </w:rPr>
      </w:pPr>
    </w:p>
    <w:tbl>
      <w:tblPr>
        <w:tblLayout w:type="fixed"/>
        <w:tblInd w:w="28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680" w:type="dxa"/>
            <w:vAlign w:val="bottom"/>
            <w:tcBorders>
              <w:bottom w:val="single" w:sz="8" w:color="CCEECC"/>
            </w:tcBorders>
          </w:tcPr>
          <w:p>
            <w:pPr>
              <w:spacing w:after="0"/>
              <w:rPr>
                <w:sz w:val="20"/>
                <w:szCs w:val="20"/>
                <w:color w:val="auto"/>
              </w:rPr>
            </w:pPr>
          </w:p>
        </w:tc>
        <w:tc>
          <w:tcPr>
            <w:tcW w:w="300" w:type="dxa"/>
            <w:vAlign w:val="bottom"/>
            <w:tcBorders>
              <w:bottom w:val="single" w:sz="8" w:color="CCEE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80" w:type="dxa"/>
            <w:vAlign w:val="bottom"/>
            <w:tcBorders>
              <w:bottom w:val="single" w:sz="8" w:color="auto"/>
            </w:tcBorders>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2680" w:type="dxa"/>
            <w:vAlign w:val="bottom"/>
            <w:shd w:val="clear" w:color="auto" w:fill="CCEECC"/>
          </w:tcPr>
          <w:p>
            <w:pPr>
              <w:spacing w:after="0" w:line="196" w:lineRule="exact"/>
              <w:rPr>
                <w:sz w:val="20"/>
                <w:szCs w:val="20"/>
                <w:color w:val="auto"/>
              </w:rPr>
            </w:pPr>
            <w:r>
              <w:rPr>
                <w:rFonts w:ascii="Arial" w:cs="Arial" w:eastAsia="Arial" w:hAnsi="Arial"/>
                <w:sz w:val="18"/>
                <w:szCs w:val="18"/>
                <w:color w:val="auto"/>
                <w:w w:val="99"/>
              </w:rPr>
              <w:t>Deferred tax asset attributable to:</w:t>
            </w:r>
          </w:p>
        </w:tc>
        <w:tc>
          <w:tcPr>
            <w:tcW w:w="30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9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260" w:type="dxa"/>
            <w:vAlign w:val="bottom"/>
            <w:shd w:val="clear" w:color="auto" w:fill="CCEECC"/>
          </w:tcPr>
          <w:p>
            <w:pPr>
              <w:spacing w:after="0"/>
              <w:rPr>
                <w:sz w:val="17"/>
                <w:szCs w:val="17"/>
                <w:color w:val="auto"/>
              </w:rPr>
            </w:pPr>
          </w:p>
        </w:tc>
        <w:tc>
          <w:tcPr>
            <w:tcW w:w="9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80"/>
              <w:spacing w:after="0"/>
              <w:rPr>
                <w:sz w:val="20"/>
                <w:szCs w:val="20"/>
                <w:color w:val="auto"/>
              </w:rPr>
            </w:pPr>
            <w:r>
              <w:rPr>
                <w:rFonts w:ascii="Arial" w:cs="Arial" w:eastAsia="Arial" w:hAnsi="Arial"/>
                <w:sz w:val="18"/>
                <w:szCs w:val="18"/>
                <w:color w:val="auto"/>
              </w:rPr>
              <w:t>Net operating loss carryover</w:t>
            </w:r>
          </w:p>
        </w:tc>
        <w:tc>
          <w:tcPr>
            <w:tcW w:w="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4,618,000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4,706,000</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680" w:type="dxa"/>
            <w:vAlign w:val="bottom"/>
            <w:shd w:val="clear" w:color="auto" w:fill="CCEECC"/>
          </w:tcPr>
          <w:p>
            <w:pPr>
              <w:ind w:left="80"/>
              <w:spacing w:after="0"/>
              <w:rPr>
                <w:sz w:val="20"/>
                <w:szCs w:val="20"/>
                <w:color w:val="auto"/>
              </w:rPr>
            </w:pPr>
            <w:r>
              <w:rPr>
                <w:rFonts w:ascii="Arial" w:cs="Arial" w:eastAsia="Arial" w:hAnsi="Arial"/>
                <w:sz w:val="18"/>
                <w:szCs w:val="18"/>
                <w:color w:val="auto"/>
              </w:rPr>
              <w:t>Valuation allowance</w:t>
            </w:r>
          </w:p>
        </w:tc>
        <w:tc>
          <w:tcPr>
            <w:tcW w:w="300" w:type="dxa"/>
            <w:vAlign w:val="bottom"/>
            <w:shd w:val="clear" w:color="auto" w:fill="CCEECC"/>
          </w:tcPr>
          <w:p>
            <w:pPr>
              <w:spacing w:after="0"/>
              <w:rPr>
                <w:sz w:val="19"/>
                <w:szCs w:val="19"/>
                <w:color w:val="auto"/>
              </w:rPr>
            </w:pPr>
          </w:p>
        </w:tc>
        <w:tc>
          <w:tcPr>
            <w:tcW w:w="280" w:type="dxa"/>
            <w:vAlign w:val="bottom"/>
            <w:shd w:val="clear" w:color="auto" w:fill="CCEECC"/>
          </w:tcPr>
          <w:p>
            <w:pPr>
              <w:spacing w:after="0"/>
              <w:rPr>
                <w:sz w:val="19"/>
                <w:szCs w:val="19"/>
                <w:color w:val="auto"/>
              </w:rPr>
            </w:pPr>
          </w:p>
        </w:tc>
        <w:tc>
          <w:tcPr>
            <w:tcW w:w="10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(4,618,000)</w:t>
            </w:r>
          </w:p>
        </w:tc>
        <w:tc>
          <w:tcPr>
            <w:tcW w:w="10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260" w:type="dxa"/>
            <w:vAlign w:val="bottom"/>
            <w:shd w:val="clear" w:color="auto" w:fill="CCEECC"/>
          </w:tcPr>
          <w:p>
            <w:pPr>
              <w:spacing w:after="0"/>
              <w:rPr>
                <w:sz w:val="19"/>
                <w:szCs w:val="19"/>
                <w:color w:val="auto"/>
              </w:rPr>
            </w:pPr>
          </w:p>
        </w:tc>
        <w:tc>
          <w:tcPr>
            <w:tcW w:w="10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(4,706,000)</w:t>
            </w:r>
          </w:p>
        </w:tc>
      </w:tr>
      <w:tr>
        <w:trPr>
          <w:trHeight w:val="223"/>
        </w:trPr>
        <w:tc>
          <w:tcPr>
            <w:tcW w:w="20" w:type="dxa"/>
            <w:vAlign w:val="bottom"/>
          </w:tcPr>
          <w:p>
            <w:pPr>
              <w:spacing w:after="0"/>
              <w:rPr>
                <w:sz w:val="19"/>
                <w:szCs w:val="19"/>
                <w:color w:val="auto"/>
              </w:rPr>
            </w:pPr>
          </w:p>
        </w:tc>
        <w:tc>
          <w:tcPr>
            <w:tcW w:w="2680" w:type="dxa"/>
            <w:vAlign w:val="bottom"/>
          </w:tcPr>
          <w:p>
            <w:pPr>
              <w:ind w:left="260"/>
              <w:spacing w:after="0"/>
              <w:rPr>
                <w:sz w:val="20"/>
                <w:szCs w:val="20"/>
                <w:color w:val="auto"/>
              </w:rPr>
            </w:pPr>
            <w:r>
              <w:rPr>
                <w:rFonts w:ascii="Arial" w:cs="Arial" w:eastAsia="Arial" w:hAnsi="Arial"/>
                <w:sz w:val="18"/>
                <w:szCs w:val="18"/>
                <w:color w:val="auto"/>
              </w:rPr>
              <w:t>Net deferred tax asset</w:t>
            </w:r>
          </w:p>
        </w:tc>
        <w:tc>
          <w:tcPr>
            <w:tcW w:w="3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change in ownership provisions of the Tax Reform Act of 1986, net operating loss carry forwards of approximately $13,583,000 for Federal income tax reporting purposes are subject to annual limitations. Should a change in ownership occur, net operating loss carry forwards may be limited as to use in future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16 – CONTINGENT LIABILITY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14, 2013, the Company hired a new CEO. The employment agreement required annual compensation of $175,000 that was to be accrued and deferred until at least January 1, 2014. Additionally, the agreement required the issuance of 2,000,000 options with an exercise price of $1.00 for a term of five years. The options were not exercisable until at least January 1, 2014, and were only exercisable after reaching certain financial terms and conditions. Due to these restrictions, no accrual was made for the issuance of these options.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20, 2013, the Company entered into a separation agreement with the CEO. As part of the terms of the separation agreement, the accrued compensation up to the date of separation was paid and the options were terminated. Also as part of the agreement, the Company will be involved with the former CEO in a limited role as a consultant for one year to assist in various initiatives and in transition of various ongoing projects for 500,000 shares of company stock. Half of the value of the shares will be expensed immediately, with the other half expensed over the one year life of the agreement. 7.69% of the second half of the stock value has been expensed at September 30, 2013, with the remainder to be expensed as services are rendered over the remaining life of the agreement. The unamortized balance has been recorded as Deferred Stock Compensation in the equity section of the balance sheet.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17 – 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consisted of the following for the three and nine months ended September 30, 2013 and 2012, respectively:</w:t>
      </w:r>
    </w:p>
    <w:p>
      <w:pPr>
        <w:spacing w:after="0" w:line="225"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6"/>
          </w:tcPr>
          <w:p>
            <w:pPr>
              <w:jc w:val="center"/>
              <w:ind w:right="100"/>
              <w:spacing w:after="0"/>
              <w:rPr>
                <w:sz w:val="20"/>
                <w:szCs w:val="20"/>
                <w:color w:val="auto"/>
              </w:rPr>
            </w:pPr>
            <w:r>
              <w:rPr>
                <w:rFonts w:ascii="Arial" w:cs="Arial" w:eastAsia="Arial" w:hAnsi="Arial"/>
                <w:sz w:val="18"/>
                <w:szCs w:val="18"/>
                <w:color w:val="auto"/>
                <w:w w:val="87"/>
              </w:rPr>
              <w:t>Three months ended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7"/>
          </w:tcPr>
          <w:p>
            <w:pPr>
              <w:ind w:left="160"/>
              <w:spacing w:after="0"/>
              <w:rPr>
                <w:sz w:val="20"/>
                <w:szCs w:val="20"/>
                <w:color w:val="auto"/>
              </w:rPr>
            </w:pPr>
            <w:r>
              <w:rPr>
                <w:rFonts w:ascii="Arial" w:cs="Arial" w:eastAsia="Arial" w:hAnsi="Arial"/>
                <w:sz w:val="18"/>
                <w:szCs w:val="18"/>
                <w:color w:val="auto"/>
              </w:rPr>
              <w:t>Nine months ended</w:t>
            </w:r>
          </w:p>
        </w:tc>
      </w:tr>
      <w:tr>
        <w:trPr>
          <w:trHeight w:val="230"/>
        </w:trPr>
        <w:tc>
          <w:tcPr>
            <w:tcW w:w="2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8"/>
                <w:szCs w:val="18"/>
                <w:color w:val="auto"/>
                <w:w w:val="88"/>
              </w:rPr>
              <w:t>September 30,</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7"/>
          </w:tcPr>
          <w:p>
            <w:pPr>
              <w:ind w:left="340"/>
              <w:spacing w:after="0"/>
              <w:rPr>
                <w:sz w:val="20"/>
                <w:szCs w:val="20"/>
                <w:color w:val="auto"/>
              </w:rPr>
            </w:pPr>
            <w:r>
              <w:rPr>
                <w:rFonts w:ascii="Arial" w:cs="Arial" w:eastAsia="Arial" w:hAnsi="Arial"/>
                <w:sz w:val="18"/>
                <w:szCs w:val="18"/>
                <w:color w:val="auto"/>
              </w:rPr>
              <w:t>September 30,</w:t>
            </w:r>
          </w:p>
        </w:tc>
      </w:tr>
      <w:tr>
        <w:trPr>
          <w:trHeight w:val="223"/>
        </w:trPr>
        <w:tc>
          <w:tcPr>
            <w:tcW w:w="2920" w:type="dxa"/>
            <w:vAlign w:val="bottom"/>
            <w:tcBorders>
              <w:bottom w:val="single" w:sz="8" w:color="CCEEC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2013</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CEEC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C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2013</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CEECC"/>
            </w:tcBorders>
          </w:tcPr>
          <w:p>
            <w:pPr>
              <w:spacing w:after="0"/>
              <w:rPr>
                <w:sz w:val="19"/>
                <w:szCs w:val="19"/>
                <w:color w:val="auto"/>
              </w:rPr>
            </w:pPr>
          </w:p>
        </w:tc>
        <w:tc>
          <w:tcPr>
            <w:tcW w:w="20" w:type="dxa"/>
            <w:vAlign w:val="bottom"/>
            <w:tcBorders>
              <w:bottom w:val="single" w:sz="8" w:color="CCEEC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19"/>
                <w:szCs w:val="19"/>
                <w:color w:val="auto"/>
              </w:rPr>
            </w:pPr>
          </w:p>
        </w:tc>
      </w:tr>
      <w:tr>
        <w:trPr>
          <w:trHeight w:val="210"/>
        </w:trPr>
        <w:tc>
          <w:tcPr>
            <w:tcW w:w="2920" w:type="dxa"/>
            <w:vAlign w:val="bottom"/>
            <w:shd w:val="clear" w:color="auto" w:fill="CCEECC"/>
          </w:tcPr>
          <w:p>
            <w:pPr>
              <w:ind w:left="80"/>
              <w:spacing w:after="0"/>
              <w:rPr>
                <w:sz w:val="20"/>
                <w:szCs w:val="20"/>
                <w:color w:val="auto"/>
              </w:rPr>
            </w:pPr>
            <w:r>
              <w:rPr>
                <w:rFonts w:ascii="Arial" w:cs="Arial" w:eastAsia="Arial" w:hAnsi="Arial"/>
                <w:sz w:val="18"/>
                <w:szCs w:val="18"/>
                <w:color w:val="auto"/>
              </w:rPr>
              <w:t>Advertising</w:t>
            </w:r>
          </w:p>
        </w:tc>
        <w:tc>
          <w:tcPr>
            <w:tcW w:w="10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23,207</w:t>
            </w:r>
          </w:p>
        </w:tc>
        <w:tc>
          <w:tcPr>
            <w:tcW w:w="120" w:type="dxa"/>
            <w:vAlign w:val="bottom"/>
            <w:shd w:val="clear" w:color="auto" w:fill="CCEECC"/>
          </w:tcPr>
          <w:p>
            <w:pPr>
              <w:spacing w:after="0"/>
              <w:rPr>
                <w:sz w:val="18"/>
                <w:szCs w:val="18"/>
                <w:color w:val="auto"/>
              </w:rPr>
            </w:pPr>
          </w:p>
        </w:tc>
        <w:tc>
          <w:tcPr>
            <w:tcW w:w="14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1,167</w:t>
            </w:r>
          </w:p>
        </w:tc>
        <w:tc>
          <w:tcPr>
            <w:tcW w:w="140" w:type="dxa"/>
            <w:vAlign w:val="bottom"/>
            <w:shd w:val="clear" w:color="auto" w:fill="CCEECC"/>
          </w:tcPr>
          <w:p>
            <w:pPr>
              <w:spacing w:after="0"/>
              <w:rPr>
                <w:sz w:val="18"/>
                <w:szCs w:val="18"/>
                <w:color w:val="auto"/>
              </w:rPr>
            </w:pPr>
          </w:p>
        </w:tc>
        <w:tc>
          <w:tcPr>
            <w:tcW w:w="10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30,372</w:t>
            </w:r>
          </w:p>
        </w:tc>
        <w:tc>
          <w:tcPr>
            <w:tcW w:w="1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45,088</w:t>
            </w:r>
          </w:p>
        </w:tc>
      </w:tr>
      <w:tr>
        <w:trPr>
          <w:trHeight w:val="216"/>
        </w:trPr>
        <w:tc>
          <w:tcPr>
            <w:tcW w:w="2920" w:type="dxa"/>
            <w:vAlign w:val="bottom"/>
          </w:tcPr>
          <w:p>
            <w:pPr>
              <w:ind w:left="80"/>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151,610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83,235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275,004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186,188</w:t>
            </w:r>
          </w:p>
        </w:tc>
      </w:tr>
      <w:tr>
        <w:trPr>
          <w:trHeight w:val="216"/>
        </w:trPr>
        <w:tc>
          <w:tcPr>
            <w:tcW w:w="2920" w:type="dxa"/>
            <w:vAlign w:val="bottom"/>
            <w:shd w:val="clear" w:color="auto" w:fill="CCEECC"/>
          </w:tcPr>
          <w:p>
            <w:pPr>
              <w:ind w:left="80"/>
              <w:spacing w:after="0"/>
              <w:rPr>
                <w:sz w:val="20"/>
                <w:szCs w:val="20"/>
                <w:color w:val="auto"/>
              </w:rPr>
            </w:pPr>
            <w:r>
              <w:rPr>
                <w:rFonts w:ascii="Arial" w:cs="Arial" w:eastAsia="Arial" w:hAnsi="Arial"/>
                <w:sz w:val="18"/>
                <w:szCs w:val="18"/>
                <w:color w:val="auto"/>
              </w:rPr>
              <w:t>Consulting</w:t>
            </w:r>
          </w:p>
        </w:tc>
        <w:tc>
          <w:tcPr>
            <w:tcW w:w="100" w:type="dxa"/>
            <w:vAlign w:val="bottom"/>
            <w:shd w:val="clear" w:color="auto" w:fill="CCEECC"/>
          </w:tcPr>
          <w:p>
            <w:pPr>
              <w:spacing w:after="0"/>
              <w:rPr>
                <w:sz w:val="18"/>
                <w:szCs w:val="18"/>
                <w:color w:val="auto"/>
              </w:rPr>
            </w:pPr>
          </w:p>
        </w:tc>
        <w:tc>
          <w:tcPr>
            <w:tcW w:w="80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25,657</w:t>
            </w:r>
          </w:p>
        </w:tc>
        <w:tc>
          <w:tcPr>
            <w:tcW w:w="1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7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80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65,786</w:t>
            </w:r>
          </w:p>
        </w:tc>
        <w:tc>
          <w:tcPr>
            <w:tcW w:w="1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7,835</w:t>
            </w:r>
          </w:p>
        </w:tc>
      </w:tr>
      <w:tr>
        <w:trPr>
          <w:trHeight w:val="216"/>
        </w:trPr>
        <w:tc>
          <w:tcPr>
            <w:tcW w:w="2920" w:type="dxa"/>
            <w:vAlign w:val="bottom"/>
          </w:tcPr>
          <w:p>
            <w:pPr>
              <w:ind w:left="80"/>
              <w:spacing w:after="0"/>
              <w:rPr>
                <w:sz w:val="20"/>
                <w:szCs w:val="20"/>
                <w:color w:val="auto"/>
              </w:rPr>
            </w:pPr>
            <w:r>
              <w:rPr>
                <w:rFonts w:ascii="Arial" w:cs="Arial" w:eastAsia="Arial" w:hAnsi="Arial"/>
                <w:sz w:val="18"/>
                <w:szCs w:val="18"/>
                <w:color w:val="auto"/>
              </w:rPr>
              <w:t>Salaries, wages and benefits</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344,979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299,286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1,040,238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900,751</w:t>
            </w:r>
          </w:p>
        </w:tc>
      </w:tr>
      <w:tr>
        <w:trPr>
          <w:trHeight w:val="216"/>
        </w:trPr>
        <w:tc>
          <w:tcPr>
            <w:tcW w:w="2920" w:type="dxa"/>
            <w:vAlign w:val="bottom"/>
            <w:shd w:val="clear" w:color="auto" w:fill="CCEECC"/>
          </w:tcPr>
          <w:p>
            <w:pPr>
              <w:ind w:left="80"/>
              <w:spacing w:after="0"/>
              <w:rPr>
                <w:sz w:val="20"/>
                <w:szCs w:val="20"/>
                <w:color w:val="auto"/>
              </w:rPr>
            </w:pPr>
            <w:r>
              <w:rPr>
                <w:rFonts w:ascii="Arial" w:cs="Arial" w:eastAsia="Arial" w:hAnsi="Arial"/>
                <w:sz w:val="18"/>
                <w:szCs w:val="18"/>
                <w:color w:val="auto"/>
              </w:rPr>
              <w:t>Rent</w:t>
            </w:r>
          </w:p>
        </w:tc>
        <w:tc>
          <w:tcPr>
            <w:tcW w:w="100" w:type="dxa"/>
            <w:vAlign w:val="bottom"/>
            <w:shd w:val="clear" w:color="auto" w:fill="CCEECC"/>
          </w:tcPr>
          <w:p>
            <w:pPr>
              <w:spacing w:after="0"/>
              <w:rPr>
                <w:sz w:val="18"/>
                <w:szCs w:val="18"/>
                <w:color w:val="auto"/>
              </w:rPr>
            </w:pPr>
          </w:p>
        </w:tc>
        <w:tc>
          <w:tcPr>
            <w:tcW w:w="80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15,148</w:t>
            </w:r>
          </w:p>
        </w:tc>
        <w:tc>
          <w:tcPr>
            <w:tcW w:w="1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7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15,148</w:t>
            </w:r>
          </w:p>
        </w:tc>
        <w:tc>
          <w:tcPr>
            <w:tcW w:w="1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80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45,444</w:t>
            </w:r>
          </w:p>
        </w:tc>
        <w:tc>
          <w:tcPr>
            <w:tcW w:w="1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47,214</w:t>
            </w:r>
          </w:p>
        </w:tc>
      </w:tr>
      <w:tr>
        <w:trPr>
          <w:trHeight w:val="216"/>
        </w:trPr>
        <w:tc>
          <w:tcPr>
            <w:tcW w:w="292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48,225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46,735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144,562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140,087</w:t>
            </w:r>
          </w:p>
        </w:tc>
      </w:tr>
      <w:tr>
        <w:trPr>
          <w:trHeight w:val="216"/>
        </w:trPr>
        <w:tc>
          <w:tcPr>
            <w:tcW w:w="2920" w:type="dxa"/>
            <w:vAlign w:val="bottom"/>
            <w:shd w:val="clear" w:color="auto" w:fill="CCEECC"/>
          </w:tcPr>
          <w:p>
            <w:pPr>
              <w:ind w:left="8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CC"/>
          </w:tcPr>
          <w:p>
            <w:pPr>
              <w:spacing w:after="0"/>
              <w:rPr>
                <w:sz w:val="18"/>
                <w:szCs w:val="18"/>
                <w:color w:val="auto"/>
              </w:rPr>
            </w:pPr>
          </w:p>
        </w:tc>
        <w:tc>
          <w:tcPr>
            <w:tcW w:w="80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281,925</w:t>
            </w:r>
          </w:p>
        </w:tc>
        <w:tc>
          <w:tcPr>
            <w:tcW w:w="1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7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29,857</w:t>
            </w:r>
          </w:p>
        </w:tc>
        <w:tc>
          <w:tcPr>
            <w:tcW w:w="1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80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310,823</w:t>
            </w:r>
          </w:p>
        </w:tc>
        <w:tc>
          <w:tcPr>
            <w:tcW w:w="1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227,922</w:t>
            </w:r>
          </w:p>
        </w:tc>
      </w:tr>
      <w:tr>
        <w:trPr>
          <w:trHeight w:val="216"/>
        </w:trPr>
        <w:tc>
          <w:tcPr>
            <w:tcW w:w="2920" w:type="dxa"/>
            <w:vAlign w:val="bottom"/>
          </w:tcPr>
          <w:p>
            <w:pPr>
              <w:ind w:left="80"/>
              <w:spacing w:after="0"/>
              <w:rPr>
                <w:sz w:val="20"/>
                <w:szCs w:val="20"/>
                <w:color w:val="auto"/>
              </w:rPr>
            </w:pPr>
            <w:r>
              <w:rPr>
                <w:rFonts w:ascii="Arial" w:cs="Arial" w:eastAsia="Arial" w:hAnsi="Arial"/>
                <w:sz w:val="18"/>
                <w:szCs w:val="18"/>
                <w:color w:val="auto"/>
              </w:rPr>
              <w:t>Revenue share expense</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376,831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20,669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614,234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28,804</w:t>
            </w:r>
          </w:p>
        </w:tc>
      </w:tr>
      <w:tr>
        <w:trPr>
          <w:trHeight w:val="230"/>
        </w:trPr>
        <w:tc>
          <w:tcPr>
            <w:tcW w:w="2920" w:type="dxa"/>
            <w:vAlign w:val="bottom"/>
            <w:shd w:val="clear" w:color="auto" w:fill="CCEECC"/>
          </w:tcPr>
          <w:p>
            <w:pPr>
              <w:ind w:left="8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CC"/>
          </w:tcPr>
          <w:p>
            <w:pPr>
              <w:spacing w:after="0"/>
              <w:rPr>
                <w:sz w:val="19"/>
                <w:szCs w:val="19"/>
                <w:color w:val="auto"/>
              </w:rPr>
            </w:pPr>
          </w:p>
        </w:tc>
        <w:tc>
          <w:tcPr>
            <w:tcW w:w="80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94,753</w:t>
            </w:r>
          </w:p>
        </w:tc>
        <w:tc>
          <w:tcPr>
            <w:tcW w:w="12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7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63,208</w:t>
            </w:r>
          </w:p>
        </w:tc>
        <w:tc>
          <w:tcPr>
            <w:tcW w:w="14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80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360,010</w:t>
            </w:r>
          </w:p>
        </w:tc>
        <w:tc>
          <w:tcPr>
            <w:tcW w:w="12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8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197,368</w:t>
            </w:r>
          </w:p>
        </w:tc>
      </w:tr>
      <w:tr>
        <w:trPr>
          <w:trHeight w:val="223"/>
        </w:trPr>
        <w:tc>
          <w:tcPr>
            <w:tcW w:w="2920" w:type="dxa"/>
            <w:vAlign w:val="bottom"/>
          </w:tcPr>
          <w:p>
            <w:pPr>
              <w:ind w:left="8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1,362,335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559,305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2,886,473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1,781,257</w:t>
            </w:r>
          </w:p>
        </w:tc>
        <w:tc>
          <w:tcPr>
            <w:tcW w:w="60" w:type="dxa"/>
            <w:vAlign w:val="bottom"/>
          </w:tcPr>
          <w:p>
            <w:pPr>
              <w:spacing w:after="0"/>
              <w:rPr>
                <w:sz w:val="19"/>
                <w:szCs w:val="19"/>
                <w:color w:val="auto"/>
              </w:rPr>
            </w:pPr>
          </w:p>
        </w:tc>
      </w:tr>
      <w:tr>
        <w:trPr>
          <w:trHeight w:val="20"/>
        </w:trPr>
        <w:tc>
          <w:tcPr>
            <w:tcW w:w="2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18 – SUBSEQUENT EVENTS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accordance with ASC 855-10, the Company has analyzed its operations subsequent to September 30, 2013 through the date these financial statements were issued and has determined that it does not have any material subsequent events to disclose in these financial statements other than the events described above.</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affect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finished the third quarter of 2013 with revenue of $1,373,029, bringing revenue for the first nine months of 2013 to $3,146,406. We achieved net income during the third quarter of $10,776 and net income of $260,109 for the first nine months of 2013. By comparison, we had a net loss of $106,174 and $482,969, respectively, for the three and nine months ended September 30, 2012.</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record revenues were driven primarily by our SampleMD solution, which generated approximately 327,115 new ePrescriptions with co-pay coupons or free sample vouchers during the third quarter of 2013, helping patients more affordably start and stay on their prescribed medications. That is a substantial increase from the 90,135 distributions during the third quarter of 2012.</w:t>
      </w:r>
    </w:p>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We continue to be very enthusiastic about our growth and the state of our core business. Although the 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quarter presented us with some challenging hurdles, we continue to experience growth in our revenues, gain cooperation from our partners, are engaging in new industry changing partnership discussions, and have seen increasing inquiries from the pharmaceutical manufacturers to assist in helping them build their EHR marketing strategies.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Initial market reaction to the OPTIMIZERx announcement of its emerging OPTIMIZEHR consulting practice has been very positive as we have engaged in our first two (2) major pharmaceutical manufacture EHR strategy initiatives (pilot projects). Coordinating efforts with our strategic partners, we have collaborated to deliver sound strategy for each of these manufacturers. These efforts have resulted in ongoing and growing commitments by these clients with new and expanded contracts. OPTIMIZERx will continue to work with its partners in building out this practice as more clients are interested in Drug File Integration, Sales Force Training and Strategy.</w:t>
      </w:r>
    </w:p>
    <w:p>
      <w:pPr>
        <w:spacing w:after="0" w:line="19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results of our efforts are reflected in the growth and record revenues experienced during the 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quarter despite overcoming challenges presented in the quarter. For personal reasons, Shad Stastney, who served as Chairman and CEO of the company since January 1, 2013, left his position on September 20, 2013. As the vacancy left by Mr. Stastney’s departure left the investor community concerned, as reflected in the unfortunate downturn of our stock price, we remain very optimistic as these events did not affect our core operations, did not affect our capacity to deliver campaigns for our clients, did not affect our sales pipeline, and did not affect the revenue we reported in the 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quarter. It did affect the overall net income during the 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quarter as we have posted a</w:t>
      </w:r>
    </w:p>
    <w:p>
      <w:pPr>
        <w:spacing w:after="0" w:line="4"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onetime expense relative to the settlement agreement reached with Mr. Stastney. With these challenges, the company remained profitable in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quarter and continues to generate cash from operations.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Going forward into the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quarter and into the New Year, we continue to drive our two primary messages to the pharmaceutical industry:</w:t>
      </w:r>
    </w:p>
    <w:p>
      <w:pPr>
        <w:spacing w:after="0" w:line="124" w:lineRule="exact"/>
        <w:rPr>
          <w:sz w:val="20"/>
          <w:szCs w:val="20"/>
          <w:color w:val="auto"/>
        </w:rPr>
      </w:pPr>
    </w:p>
    <w:p>
      <w:pPr>
        <w:ind w:firstLine="8"/>
        <w:spacing w:after="0" w:line="277" w:lineRule="auto"/>
        <w:tabs>
          <w:tab w:leader="none" w:pos="202" w:val="left"/>
        </w:tabs>
        <w:numPr>
          <w:ilvl w:val="0"/>
          <w:numId w:val="1"/>
        </w:numPr>
        <w:rPr>
          <w:rFonts w:ascii="Arial" w:cs="Arial" w:eastAsia="Arial" w:hAnsi="Arial"/>
          <w:sz w:val="18"/>
          <w:szCs w:val="18"/>
          <w:color w:val="auto"/>
        </w:rPr>
      </w:pPr>
      <w:r>
        <w:rPr>
          <w:rFonts w:ascii="Arial" w:cs="Arial" w:eastAsia="Arial" w:hAnsi="Arial"/>
          <w:sz w:val="18"/>
          <w:szCs w:val="18"/>
          <w:color w:val="auto"/>
        </w:rPr>
        <w:t>SampleMD has the largest capacity to deliver targeted promotional and incentive messaging to physicians at point of prescription through interoperability with multiple disparate electronic health platforms; and</w:t>
      </w:r>
    </w:p>
    <w:p>
      <w:pPr>
        <w:spacing w:after="0" w:line="170" w:lineRule="exact"/>
        <w:rPr>
          <w:rFonts w:ascii="Arial" w:cs="Arial" w:eastAsia="Arial" w:hAnsi="Arial"/>
          <w:sz w:val="18"/>
          <w:szCs w:val="18"/>
          <w:color w:val="auto"/>
        </w:rPr>
      </w:pPr>
    </w:p>
    <w:p>
      <w:pPr>
        <w:ind w:firstLine="8"/>
        <w:spacing w:after="0" w:line="342" w:lineRule="auto"/>
        <w:tabs>
          <w:tab w:leader="none" w:pos="199" w:val="left"/>
        </w:tabs>
        <w:numPr>
          <w:ilvl w:val="0"/>
          <w:numId w:val="1"/>
        </w:numPr>
        <w:rPr>
          <w:rFonts w:ascii="Arial" w:cs="Arial" w:eastAsia="Arial" w:hAnsi="Arial"/>
          <w:sz w:val="16"/>
          <w:szCs w:val="16"/>
          <w:color w:val="auto"/>
        </w:rPr>
      </w:pPr>
      <w:r>
        <w:rPr>
          <w:rFonts w:ascii="Arial" w:cs="Arial" w:eastAsia="Arial" w:hAnsi="Arial"/>
          <w:sz w:val="16"/>
          <w:szCs w:val="16"/>
          <w:color w:val="auto"/>
        </w:rPr>
        <w:t>Electronic health platforms (EMRs, eRx, Patient Portals) are the most cost-effective way to reach physicians and patients, as opposed to external web sites that have been traditionally the focus of their non-rep marketing, and should therefore be an increasing focus for all pharmaceutical marketing dollars.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summary, we remain committed to working with top organizations to provided better affordability and access to healthcare for the patients we serve. To achieve this, we will continue to work with leading providers in partnering to provide simple to use solutions. As compliance and regulatory requirements (i.e. meaningful use) continue to surround healthcare providers, OptimizeRx continues through its partnerships and internal R&amp;D to become the “HUB” for providing access to these ease-of-use solutions.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these continued efforts, we believe that SampleMD continues to be regarded as the innovative industry leader, setting the standards within this new frontier of digital EMR solution marketing for patient care.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Nine Months Ended September 30, 2013 and 2012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total revenue reported for the three months ended September 30, 2013 was $1,373,029, an increase of $919,875 from the three months ended September 30, 2012. Our total revenue reported for the nine months ended September 30, 2013 was $3,146,406, an increase of $1,848,426 from the nine months ended September 30, 2012.</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increased revenue for the three and nine months ended September 30, 2013 as compared with the same periods ended 2012 is a result of the continued viability of our SampleMD solution and the setup and integration fees for pharmaceutical manufacturers whom are participating within this offering.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Operating expenses increased to $1,362,335 for the three months ended September 30, 2013 from $559,305 for the three months ended September 30, 2012. Our major expenses for the three months ended June 20, 2013 were salaries, wages and benefits of $344,979, revenue share expenses of $376,831, stock-based compensation of $281,925, professional fees of $151,610, depreciation and amortization of $48,225 and general and administrative expenses of $94,753. In comparison, our major expenses for the three months ended September 30, 2012 were salaries, wages and benefits of $299,286, professional fees of $83,235, general and administrative expenses of $63,208, and depreciation and amortization of $46,735.</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Operating expenses increased to $2,886,473 for the nine months ended September 30, 2013 from $1,781,257 for the nine months ended September 30, 2012. Our major expenses for the nine months ended June 20, 2013 were salaries, wages and benefits of $1,040,238, revenue share expenses of $614,234, stock-based compensation of $310,823, professional fees of $275,004, depreciation and amortization of $144,562 and general and administrative expenses of $360,010. In comparison, our major expenses for the nine months ended September 30, 2012 were salaries, wages and benefits of $900,751, stock-based compensation of $227,922, professional fees of $186,188, depreciation and amortization of $140,087 and general and administrative expenses of $197,368..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expect our operating expenses to continue to increase as we further implement our business plan and expand our operations.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Net income for the three months ended September 30, 2013 was $10,776, compared to a net loss of $106,174 for the three months ended September 30, 2012.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income for the nine months ended September 30, 2013 was $260,109, compared to net loss of $482,969 for the nine months ended September 30, 2012.</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2013, we had total current assets of $1,661,935 and total assets in the amount of $2,824,116. Our total current liabilities as of September 30, 2013 were $757,725. We had working capital of $904,210 as of September 30, 2013.</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activities provided $302,987 in cash for the nine months ended September 30, 2013. Our positive operating cash flow was largely a result of $260,109 in net income, $144,562 in depreciation and amortization, $310,823 in stock based compensation and $119,760 in changes in accounts payable, offset mainly by accounts receivable of $532,109 and deferred revenue of $35,980.</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Investing activities used $100,558 during the nine months ended September 30, 2013 as a result of patent rights and website development costs.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We had no financing activities during the nine months ended September 30, 2013.</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2013, with the current level of financing and cash on hand, we have sufficient cash to operate our business at the current level for the next twelve months but insufficient cash to achieve our business goals unless we: a) realize cash revenues on sales generated; and/or b) receive financing. We are uncertain what type of financing, if any, we will need as we continue to ramp up our revenue stream.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2013, there were no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are set forth in Note 2 to the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operations, financial position or cash flow.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carried out an evaluation of the effectiveness of the design and operation of our disclosure controls and procedures (as defined in Exchange Act Rules 13a-15(e) and 15d-15(e)) as of September 30, 2013. This evaluation was carried out under the supervision and with the participation of our Interim Chief Executive Officer, Mr. David Harrell, and our Chief Financial Officer, Mr. David Lester. Based upon that evaluation, our Chief Executive Officer and Chief Financial Officer concluded that, as of September 30, 2013, our disclosure controls and procedures are effective. There have been no significant changes in our internal controls over financial reporting during the quarter ended September 30, 2013 that have materially affected or are reasonably likely to materially affect such controls.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Limitations on the Effectiveness of Internal Controls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does not expect that our disclosure controls and procedures or our internal control over financial reporting will necessarily prevent all fraud and material error. An internal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internal control.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the policies or procedures may deteriorate.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Aside from the following, we are not a party to any pending legal proceeding. We are not aware of any pending legal proceeding to which any of our officers, directors, or any beneficial holders of 5% or more of our voting securities are adverse to us or have a material interest adverse to us.</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November 2, 2012, LDM Group, LLC commenced an action against us in the United States District Court for the Eastern District of Missouri, Eastern Division. The complaint alleges that we infringed on a patent issued on February 21, 2012 in favor of LDM. LDM alleges that its patent is an invention of a method for making available targeted content to a prescription medication patient while the patient is still in the physician’s office. According to LDM, our Integrated SampleMD uses systems and methods that perform the elements of the LDM patent and, therefore, infringes on its patent.</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February 26, 2013, a settlement was reached with LDM, and LDM subsequently dismissed the lawsuit with prejudice. Shortly after executing the settlement agreement, we learned that LDM had materially breached the terms of the settlement agreement. Despite our repeated demands, LDM refused to abide by the terms of the settlement agreement. As a result, on April 1, 2013, we provided LDM with official notice of default.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23, 2013, LDM responded by reinstituted the patent infringement action in the United States District Court for the Eastern District of Missouri, Eastern Division claiming that we breached the settlement agreement. We answered the complaint, filed a counterclaim for, among other things, breach of the settlement agreement and filed a preliminary injunction motion to require LDM to abide by the terms of the settlement agreement. The court has not yet decided the outcome of our preliminary injunction motion.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19, 2013, LDM filed an amended complaint alleging an additional patent infringement claim against us. On September 25, 2013, we filed an amended answer denying the substantive allegations in LDM's amended complaint and realleging our counterclaim against LDM.</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6, 2013, we filed a Complaint for Patent Infringement against Physicians Interactive Inc., Physicians Interactive Holdings,Inc. and Skyscape.com, in which we allege that one or more of those entities has infringed on United States Patent No. 8,341,015. As of September 30, 2013, the defendants responded denying the assertions made in our Complaint, but no further action has occurred in the case.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3" w:name="page24"/>
    <w:bookmarkEnd w:id="23"/>
    <w:p>
      <w:pPr>
        <w:spacing w:after="0" w:line="196" w:lineRule="auto"/>
        <w:framePr w:w="180" w:h="160" w:wrap="auto" w:vAnchor="page" w:hAnchor="page" w:x="5860" w:y="9703"/>
        <w:rPr>
          <w:rFonts w:ascii="Arial" w:cs="Arial" w:eastAsia="Arial" w:hAnsi="Arial"/>
          <w:sz w:val="17"/>
          <w:szCs w:val="17"/>
          <w:color w:val="auto"/>
        </w:rPr>
      </w:pPr>
      <w:r>
        <w:rPr>
          <w:rFonts w:ascii="Arial" w:cs="Arial" w:eastAsia="Arial" w:hAnsi="Arial"/>
          <w:sz w:val="17"/>
          <w:szCs w:val="17"/>
          <w:color w:val="auto"/>
        </w:rPr>
        <w:t>9</w:t>
      </w:r>
    </w:p>
    <w:p>
      <w:pPr>
        <w:spacing w:after="0" w:line="185" w:lineRule="auto"/>
        <w:framePr w:w="540" w:h="160" w:wrap="auto" w:vAnchor="page" w:hAnchor="page" w:x="300" w:y="8853"/>
        <w:rPr>
          <w:rFonts w:ascii="Arial" w:cs="Arial" w:eastAsia="Arial" w:hAnsi="Arial"/>
          <w:sz w:val="18"/>
          <w:szCs w:val="18"/>
          <w:color w:val="auto"/>
        </w:rPr>
      </w:pPr>
      <w:r>
        <w:rPr>
          <w:rFonts w:ascii="Arial" w:cs="Arial" w:eastAsia="Arial" w:hAnsi="Arial"/>
          <w:sz w:val="18"/>
          <w:szCs w:val="18"/>
          <w:color w:val="auto"/>
        </w:rPr>
        <w:t>101**</w:t>
      </w:r>
    </w:p>
    <w:p>
      <w:pPr>
        <w:spacing w:after="0" w:line="209" w:lineRule="auto"/>
        <w:framePr w:w="400" w:h="160" w:wrap="auto" w:vAnchor="page" w:hAnchor="page" w:x="300" w:y="8420"/>
        <w:rPr>
          <w:rFonts w:ascii="Arial" w:cs="Arial" w:eastAsia="Arial" w:hAnsi="Arial"/>
          <w:sz w:val="16"/>
          <w:szCs w:val="16"/>
          <w:color w:val="auto"/>
        </w:rPr>
      </w:pPr>
      <w:r>
        <w:rPr>
          <w:rFonts w:ascii="Arial" w:cs="Arial" w:eastAsia="Arial" w:hAnsi="Arial"/>
          <w:sz w:val="16"/>
          <w:szCs w:val="16"/>
          <w:color w:val="auto"/>
        </w:rPr>
        <w:t>32.1</w:t>
      </w:r>
    </w:p>
    <w:p>
      <w:pPr>
        <w:spacing w:after="0" w:line="209" w:lineRule="auto"/>
        <w:framePr w:w="400" w:h="160" w:wrap="auto" w:vAnchor="page" w:hAnchor="page" w:x="300" w:y="7988"/>
        <w:rPr>
          <w:rFonts w:ascii="Arial" w:cs="Arial" w:eastAsia="Arial" w:hAnsi="Arial"/>
          <w:sz w:val="16"/>
          <w:szCs w:val="16"/>
          <w:color w:val="auto"/>
        </w:rPr>
      </w:pPr>
      <w:r>
        <w:rPr>
          <w:rFonts w:ascii="Arial" w:cs="Arial" w:eastAsia="Arial" w:hAnsi="Arial"/>
          <w:sz w:val="16"/>
          <w:szCs w:val="16"/>
          <w:color w:val="auto"/>
        </w:rPr>
        <w:t>31.2</w:t>
      </w:r>
    </w:p>
    <w:p>
      <w:pPr>
        <w:spacing w:after="0" w:line="218" w:lineRule="auto"/>
        <w:framePr w:w="9920" w:h="376" w:wrap="auto" w:vAnchor="page" w:hAnchor="page" w:x="1680" w:y="7556"/>
        <w:rPr>
          <w:rFonts w:ascii="Arial" w:cs="Arial" w:eastAsia="Arial" w:hAnsi="Arial"/>
          <w:sz w:val="18"/>
          <w:szCs w:val="18"/>
          <w:u w:val="single" w:color="auto"/>
          <w:color w:val="0000EE"/>
        </w:rPr>
      </w:pPr>
      <w:r>
        <w:rPr>
          <w:rFonts w:ascii="Arial" w:cs="Arial" w:eastAsia="Arial" w:hAnsi="Arial"/>
          <w:sz w:val="18"/>
          <w:szCs w:val="18"/>
          <w:u w:val="single" w:color="auto"/>
          <w:color w:val="0000EE"/>
        </w:rPr>
        <w:t>Certification of Chief Executive Officer pursuant to 18 U.S.C. Section 1350, as adopted pursuant to Section 302 of the Sarbanes-Oxley Act of 2002</w:t>
      </w:r>
    </w:p>
    <w:p>
      <w:pPr>
        <w:spacing w:after="0" w:line="218" w:lineRule="auto"/>
        <w:framePr w:w="9920" w:h="376" w:wrap="auto" w:vAnchor="page" w:hAnchor="page" w:x="1680" w:y="7988"/>
        <w:rPr>
          <w:rFonts w:ascii="Arial" w:cs="Arial" w:eastAsia="Arial" w:hAnsi="Arial"/>
          <w:sz w:val="18"/>
          <w:szCs w:val="18"/>
          <w:u w:val="single" w:color="auto"/>
          <w:color w:val="0000EE"/>
        </w:rPr>
      </w:pPr>
      <w:r>
        <w:rPr>
          <w:rFonts w:ascii="Arial" w:cs="Arial" w:eastAsia="Arial" w:hAnsi="Arial"/>
          <w:sz w:val="18"/>
          <w:szCs w:val="18"/>
          <w:u w:val="single" w:color="auto"/>
          <w:color w:val="0000EE"/>
        </w:rPr>
        <w:t>Certification of Chief Financial Officer pursuant to 18 U.S.C. Section 1350, as adopted pursuant to Section 302 of the Sarbanes-Oxley Act of 2002</w:t>
      </w:r>
    </w:p>
    <w:p>
      <w:pPr>
        <w:spacing w:after="0" w:line="218" w:lineRule="auto"/>
        <w:framePr w:w="9920" w:h="376" w:wrap="auto" w:vAnchor="page" w:hAnchor="page" w:x="1680" w:y="8420"/>
        <w:rPr>
          <w:rFonts w:ascii="Arial" w:cs="Arial" w:eastAsia="Arial" w:hAnsi="Arial"/>
          <w:sz w:val="18"/>
          <w:szCs w:val="18"/>
          <w:u w:val="single" w:color="auto"/>
          <w:color w:val="0000EE"/>
        </w:rPr>
      </w:pPr>
      <w:r>
        <w:rPr>
          <w:rFonts w:ascii="Arial" w:cs="Arial" w:eastAsia="Arial" w:hAnsi="Arial"/>
          <w:sz w:val="18"/>
          <w:szCs w:val="18"/>
          <w:u w:val="single" w:color="auto"/>
          <w:color w:val="0000EE"/>
        </w:rPr>
        <w:t>Certification of Chief Executive Officer and Chief Financial Officer pursuant to 18 U.S.C. Section 1350, as adopted pursuant to Section 906 of the Sarbanes-Oxley Act of 2002</w:t>
      </w:r>
    </w:p>
    <w:p>
      <w:pPr>
        <w:spacing w:after="0" w:line="218" w:lineRule="auto"/>
        <w:framePr w:w="9920" w:h="376" w:wrap="auto" w:vAnchor="page" w:hAnchor="page" w:x="1680" w:y="8853"/>
        <w:rPr>
          <w:rFonts w:ascii="Arial" w:cs="Arial" w:eastAsia="Arial" w:hAnsi="Arial"/>
          <w:sz w:val="18"/>
          <w:szCs w:val="18"/>
          <w:u w:val="single" w:color="auto"/>
          <w:color w:val="0000EE"/>
        </w:rPr>
      </w:pPr>
      <w:r>
        <w:rPr>
          <w:rFonts w:ascii="Arial" w:cs="Arial" w:eastAsia="Arial" w:hAnsi="Arial"/>
          <w:sz w:val="18"/>
          <w:szCs w:val="18"/>
          <w:u w:val="single" w:color="auto"/>
          <w:color w:val="0000EE"/>
        </w:rPr>
        <w:t>The following materials from the Company’s Quarterly Report on Form 10-Q for the quarter ended September 30, 2013 formatted in Extensible Business Reporting Language (XBRL).</w:t>
      </w:r>
    </w:p>
    <w:p>
      <w:pPr>
        <w:spacing w:after="0" w:line="196" w:lineRule="auto"/>
        <w:framePr w:w="1600" w:h="160" w:wrap="auto" w:vAnchor="page" w:hAnchor="page" w:x="200" w:y="9285"/>
        <w:rPr>
          <w:rFonts w:ascii="Arial" w:cs="Arial" w:eastAsia="Arial" w:hAnsi="Arial"/>
          <w:sz w:val="17"/>
          <w:szCs w:val="17"/>
          <w:u w:val="single" w:color="auto"/>
          <w:color w:val="0000EE"/>
        </w:rPr>
      </w:pPr>
      <w:r>
        <w:rPr>
          <w:rFonts w:ascii="Arial" w:cs="Arial" w:eastAsia="Arial" w:hAnsi="Arial"/>
          <w:sz w:val="17"/>
          <w:szCs w:val="17"/>
          <w:u w:val="single" w:color="auto"/>
          <w:color w:val="0000EE"/>
        </w:rPr>
        <w:t>**Provided herewith</w:t>
      </w:r>
    </w:p>
    <w:p>
      <w:pPr>
        <w:spacing w:after="0" w:line="209" w:lineRule="auto"/>
        <w:framePr w:w="1780" w:h="160" w:wrap="auto" w:vAnchor="page" w:hAnchor="page" w:x="1680" w:y="7124"/>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t>Description of Exhibit</w:t>
      </w:r>
    </w:p>
    <w:p>
      <w:pPr>
        <w:spacing w:after="0" w:line="209" w:lineRule="auto"/>
        <w:framePr w:w="1320" w:h="160" w:wrap="auto" w:vAnchor="page" w:hAnchor="page" w:x="200" w:y="6692"/>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t>Item 6. Exhibits</w:t>
      </w:r>
    </w:p>
    <w:p>
      <w:pPr>
        <w:spacing w:after="0" w:line="196" w:lineRule="auto"/>
        <w:framePr w:w="660" w:h="160" w:wrap="auto" w:vAnchor="page" w:hAnchor="page" w:x="300" w:y="7124"/>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t>Exhibit</w:t>
      </w:r>
    </w:p>
    <w:p>
      <w:pPr>
        <w:spacing w:after="0" w:line="245" w:lineRule="auto"/>
        <w:framePr w:w="720" w:h="376" w:wrap="auto" w:vAnchor="page" w:hAnchor="page" w:x="300" w:y="7340"/>
        <w:rPr>
          <w:rFonts w:ascii="Arial" w:cs="Arial" w:eastAsia="Arial" w:hAnsi="Arial"/>
          <w:sz w:val="16"/>
          <w:szCs w:val="16"/>
          <w:color w:val="0000EE"/>
        </w:rPr>
      </w:pPr>
      <w:r>
        <w:rPr>
          <w:rFonts w:ascii="Arial" w:cs="Arial" w:eastAsia="Arial" w:hAnsi="Arial"/>
          <w:sz w:val="16"/>
          <w:szCs w:val="16"/>
          <w:b w:val="1"/>
          <w:bCs w:val="1"/>
          <w:u w:val="single" w:color="auto"/>
          <w:color w:val="0000EE"/>
        </w:rPr>
        <w:t xml:space="preserve">Number </w:t>
      </w:r>
      <w:r>
        <w:rPr>
          <w:rFonts w:ascii="Arial" w:cs="Arial" w:eastAsia="Arial" w:hAnsi="Arial"/>
          <w:sz w:val="16"/>
          <w:szCs w:val="16"/>
          <w:color w:val="0000EE"/>
        </w:rPr>
        <w:t>31.1</w:t>
      </w:r>
    </w:p>
    <w:p>
      <w:pPr>
        <w:spacing w:after="0" w:line="209" w:lineRule="auto"/>
        <w:framePr w:w="1360" w:h="160" w:wrap="auto" w:vAnchor="page" w:hAnchor="page" w:x="200" w:y="25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auto"/>
        <w:framePr w:w="5240" w:h="160" w:wrap="auto" w:vAnchor="page" w:hAnchor="page" w:x="200" w:y="857"/>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t>Item 2. Unregistered Sales of Equity Securities and Use of Proceeds</w:t>
      </w:r>
    </w:p>
    <w:p>
      <w:pPr>
        <w:jc w:val="both"/>
        <w:spacing w:after="0" w:line="229" w:lineRule="auto"/>
        <w:framePr w:w="11500" w:h="593" w:wrap="auto" w:vAnchor="page" w:hAnchor="page" w:x="200" w:y="129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t>On August 14, 2013, we granted restricted stock awards under our 2013 Incentive Plan. Mr. David Harrell was awarded 121,875 shares of our common stock and Mr. Terry Hamilton was awarded 215,625 shares of our common stock. The restricted stock awards will vest 50% on the date six months and one day after the date of grant, and the remaining 50% one year after the first vesting date.</w:t>
      </w:r>
    </w:p>
    <w:p>
      <w:pPr>
        <w:jc w:val="both"/>
        <w:spacing w:after="0" w:line="229" w:lineRule="auto"/>
        <w:framePr w:w="11500" w:h="593" w:wrap="auto" w:vAnchor="page" w:hAnchor="page" w:x="200" w:y="2154"/>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t>On September 20, 2013, we entered into a Separation Agreement with Mr. Shad Stastney regarding the terms and conditions of his departure from our company (the “Agreement”). Under the Agreement, among other things, we agreed to issue to Mr. Stastney 500,000 shares of our common stock, half now and the rest by January 1, 2014.</w:t>
      </w:r>
    </w:p>
    <w:p>
      <w:pPr>
        <w:jc w:val="both"/>
        <w:spacing w:after="0" w:line="234" w:lineRule="auto"/>
        <w:framePr w:w="11500" w:h="809" w:wrap="auto" w:vAnchor="page" w:hAnchor="page" w:x="200" w:y="3018"/>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343" w:lineRule="auto"/>
        <w:framePr w:w="3080" w:h="593" w:wrap="auto" w:vAnchor="page" w:hAnchor="page" w:x="200" w:y="4099"/>
        <w:rPr>
          <w:rFonts w:ascii="Arial" w:cs="Arial" w:eastAsia="Arial" w:hAnsi="Arial"/>
          <w:sz w:val="18"/>
          <w:szCs w:val="18"/>
          <w:u w:val="single" w:color="auto"/>
          <w:color w:val="0000EE"/>
        </w:rPr>
      </w:pPr>
      <w:r>
        <w:rPr>
          <w:rFonts w:ascii="Arial" w:cs="Arial" w:eastAsia="Arial" w:hAnsi="Arial"/>
          <w:sz w:val="18"/>
          <w:szCs w:val="18"/>
          <w:b w:val="1"/>
          <w:bCs w:val="1"/>
          <w:u w:val="single" w:color="auto"/>
          <w:color w:val="0000EE"/>
        </w:rPr>
        <w:t xml:space="preserve">Item 3. Defaults upon Senior Securities </w:t>
      </w:r>
      <w:r>
        <w:rPr>
          <w:rFonts w:ascii="Arial" w:cs="Arial" w:eastAsia="Arial" w:hAnsi="Arial"/>
          <w:sz w:val="18"/>
          <w:szCs w:val="18"/>
          <w:u w:val="single" w:color="auto"/>
          <w:color w:val="0000EE"/>
        </w:rPr>
        <w:t>None</w:t>
      </w:r>
    </w:p>
    <w:p>
      <w:pPr>
        <w:spacing w:after="0" w:line="343" w:lineRule="auto"/>
        <w:framePr w:w="2440" w:h="593" w:wrap="auto" w:vAnchor="page" w:hAnchor="page" w:x="200" w:y="4963"/>
        <w:rPr>
          <w:rFonts w:ascii="Arial" w:cs="Arial" w:eastAsia="Arial" w:hAnsi="Arial"/>
          <w:sz w:val="18"/>
          <w:szCs w:val="18"/>
          <w:u w:val="single" w:color="auto"/>
          <w:color w:val="0000EE"/>
        </w:rPr>
      </w:pPr>
      <w:r>
        <w:rPr>
          <w:rFonts w:ascii="Arial" w:cs="Arial" w:eastAsia="Arial" w:hAnsi="Arial"/>
          <w:sz w:val="18"/>
          <w:szCs w:val="18"/>
          <w:b w:val="1"/>
          <w:bCs w:val="1"/>
          <w:u w:val="single" w:color="auto"/>
          <w:color w:val="0000EE"/>
        </w:rPr>
        <w:t xml:space="preserve">Item 4. Mine Safety Disclosure </w:t>
      </w:r>
      <w:r>
        <w:rPr>
          <w:rFonts w:ascii="Arial" w:cs="Arial" w:eastAsia="Arial" w:hAnsi="Arial"/>
          <w:sz w:val="18"/>
          <w:szCs w:val="18"/>
          <w:u w:val="single" w:color="auto"/>
          <w:color w:val="0000EE"/>
        </w:rPr>
        <w:t>N/A</w:t>
      </w:r>
    </w:p>
    <w:p>
      <w:pPr>
        <w:spacing w:after="0" w:line="343" w:lineRule="auto"/>
        <w:framePr w:w="2120" w:h="593" w:wrap="auto" w:vAnchor="page" w:hAnchor="page" w:x="200" w:y="5827"/>
        <w:rPr>
          <w:rFonts w:ascii="Arial" w:cs="Arial" w:eastAsia="Arial" w:hAnsi="Arial"/>
          <w:sz w:val="18"/>
          <w:szCs w:val="18"/>
          <w:u w:val="single" w:color="auto"/>
          <w:color w:val="0000EE"/>
        </w:rPr>
      </w:pPr>
      <w:r>
        <w:rPr>
          <w:rFonts w:ascii="Arial" w:cs="Arial" w:eastAsia="Arial" w:hAnsi="Arial"/>
          <w:sz w:val="18"/>
          <w:szCs w:val="18"/>
          <w:b w:val="1"/>
          <w:bCs w:val="1"/>
          <w:u w:val="single" w:color="auto"/>
          <w:color w:val="0000EE"/>
        </w:rPr>
        <w:t xml:space="preserve">Item 5. Other Information </w:t>
      </w:r>
      <w:r>
        <w:rPr>
          <w:rFonts w:ascii="Arial" w:cs="Arial" w:eastAsia="Arial" w:hAnsi="Arial"/>
          <w:sz w:val="18"/>
          <w:szCs w:val="18"/>
          <w:u w:val="single" w:color="auto"/>
          <w:color w:val="0000EE"/>
        </w:rPr>
        <w:t>None</w:t>
      </w:r>
    </w:p>
    <w:p>
      <w:pPr>
        <w:spacing w:after="0" w:line="343" w:lineRule="auto"/>
        <w:rPr>
          <w:rFonts w:ascii="Arial" w:cs="Arial" w:eastAsia="Arial" w:hAnsi="Arial"/>
          <w:sz w:val="18"/>
          <w:szCs w:val="18"/>
          <w:u w:val="single" w:color="auto"/>
          <w:color w:val="0000EE"/>
        </w:rPr>
        <w:sectPr>
          <w:pgSz w:w="11900" w:h="16838" w:orient="portrait"/>
          <w:cols w:equalWidth="1" w:num="1" w:space="0"/>
          <w:pgMar w:left="1440" w:top="1440" w:right="1440" w:bottom="875" w:gutter="0" w:footer="0" w:header="0"/>
        </w:sect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157480</wp:posOffset>
            </wp:positionH>
            <wp:positionV relativeFrom="page">
              <wp:posOffset>6151880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14, 2013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Lester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David Lester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b w:val="1"/>
          <w:bCs w:val="1"/>
          <w:color w:val="auto"/>
        </w:rPr>
        <w:t>Chief Operating Officer</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5" w:name="page26"/>
    <w:bookmarkEnd w:id="2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Harrell, certify that;</w:t>
      </w:r>
    </w:p>
    <w:p>
      <w:pPr>
        <w:spacing w:after="0" w:line="225"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2013 of OptimizeRx Corp (the “registrant”);</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hanging="372"/>
        <w:spacing w:after="0" w:line="264"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00" w:right="180" w:hanging="482"/>
        <w:spacing w:after="0" w:line="264" w:lineRule="auto"/>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00" w:right="500" w:hanging="492"/>
        <w:spacing w:after="0" w:line="264" w:lineRule="auto"/>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00" w:right="660" w:hanging="482"/>
        <w:spacing w:after="0" w:line="342" w:lineRule="auto"/>
        <w:tabs>
          <w:tab w:leader="none" w:pos="1000" w:val="left"/>
        </w:tabs>
        <w:numPr>
          <w:ilvl w:val="1"/>
          <w:numId w:val="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180" w:hanging="492"/>
        <w:spacing w:after="0" w:line="264" w:lineRule="auto"/>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440" w:hanging="372"/>
        <w:spacing w:after="0" w:line="308" w:lineRule="auto"/>
        <w:tabs>
          <w:tab w:leader="none" w:pos="3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80" w:hanging="482"/>
        <w:spacing w:after="0" w:line="277" w:lineRule="auto"/>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right="40" w:hanging="492"/>
        <w:spacing w:after="0" w:line="277" w:lineRule="auto"/>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Harrell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David Harrell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Interim Chief Executive Officer</w:t>
      </w:r>
    </w:p>
    <w:p>
      <w:pPr>
        <w:sectPr>
          <w:pgSz w:w="11900" w:h="16838" w:orient="portrait"/>
          <w:cols w:equalWidth="0" w:num="1">
            <w:col w:w="11400"/>
          </w:cols>
          <w:pgMar w:left="240" w:top="121" w:right="25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 David Lester, certify that;</w:t>
      </w:r>
    </w:p>
    <w:p>
      <w:pPr>
        <w:spacing w:after="0" w:line="225"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2013 of OptimizeRx Corp (the “registrant”);</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hanging="372"/>
        <w:spacing w:after="0" w:line="264"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00" w:right="180" w:hanging="482"/>
        <w:spacing w:after="0" w:line="264"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00" w:right="500" w:hanging="492"/>
        <w:spacing w:after="0" w:line="264"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00" w:right="660" w:hanging="482"/>
        <w:spacing w:after="0" w:line="342" w:lineRule="auto"/>
        <w:tabs>
          <w:tab w:leader="none" w:pos="1000" w:val="left"/>
        </w:tabs>
        <w:numPr>
          <w:ilvl w:val="1"/>
          <w:numId w:val="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180" w:hanging="492"/>
        <w:spacing w:after="0" w:line="264"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440" w:hanging="372"/>
        <w:spacing w:after="0" w:line="308"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80" w:hanging="482"/>
        <w:spacing w:after="0" w:line="277"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right="40" w:hanging="492"/>
        <w:spacing w:after="0" w:line="277"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H.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H. 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00"/>
          </w:cols>
          <w:pgMar w:left="240" w:top="121" w:right="25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OptimizeRx Corp (the “Company”) on Form 10-Q for the quarter ended September 30, 2013 filed with the Securities and Exchange Commission (the “Report”), We, David Harrell and David Lester, Interim Chief Executive Officer and Chief Financial Officer, respectively, of the Company, certify, pursuant to 18 U.S.C. Section 1350, as adopted pursuant to Section 906 of the Sarbanes-Oxley Act of 2002, that:</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2920" w:type="dxa"/>
            <w:vAlign w:val="bottom"/>
          </w:tcPr>
          <w:p>
            <w:pPr>
              <w:ind w:left="860"/>
              <w:spacing w:after="0"/>
              <w:rPr>
                <w:sz w:val="20"/>
                <w:szCs w:val="20"/>
                <w:color w:val="auto"/>
              </w:rPr>
            </w:pPr>
            <w:r>
              <w:rPr>
                <w:rFonts w:ascii="Arial" w:cs="Arial" w:eastAsia="Arial" w:hAnsi="Arial"/>
                <w:sz w:val="18"/>
                <w:szCs w:val="18"/>
                <w:color w:val="auto"/>
              </w:rPr>
              <w:t>By:</w:t>
            </w:r>
          </w:p>
        </w:tc>
        <w:tc>
          <w:tcPr>
            <w:tcW w:w="2920" w:type="dxa"/>
            <w:vAlign w:val="bottom"/>
            <w:gridSpan w:val="3"/>
          </w:tcPr>
          <w:p>
            <w:pPr>
              <w:spacing w:after="0"/>
              <w:rPr>
                <w:sz w:val="20"/>
                <w:szCs w:val="20"/>
                <w:color w:val="auto"/>
              </w:rPr>
            </w:pPr>
            <w:r>
              <w:rPr>
                <w:rFonts w:ascii="Arial" w:cs="Arial" w:eastAsia="Arial" w:hAnsi="Arial"/>
                <w:sz w:val="18"/>
                <w:szCs w:val="18"/>
                <w:color w:val="auto"/>
              </w:rPr>
              <w:t>/s/ David Harrell</w:t>
            </w:r>
          </w:p>
        </w:tc>
      </w:tr>
      <w:tr>
        <w:trPr>
          <w:trHeight w:val="195"/>
        </w:trPr>
        <w:tc>
          <w:tcPr>
            <w:tcW w:w="3720" w:type="dxa"/>
            <w:vAlign w:val="bottom"/>
          </w:tcPr>
          <w:p>
            <w:pPr>
              <w:spacing w:after="0"/>
              <w:rPr>
                <w:sz w:val="16"/>
                <w:szCs w:val="16"/>
                <w:color w:val="auto"/>
              </w:rPr>
            </w:pPr>
          </w:p>
        </w:tc>
        <w:tc>
          <w:tcPr>
            <w:tcW w:w="2920" w:type="dxa"/>
            <w:vAlign w:val="bottom"/>
          </w:tcPr>
          <w:p>
            <w:pPr>
              <w:ind w:left="860"/>
              <w:spacing w:after="0" w:line="195" w:lineRule="exact"/>
              <w:rPr>
                <w:sz w:val="20"/>
                <w:szCs w:val="20"/>
                <w:color w:val="auto"/>
              </w:rPr>
            </w:pPr>
            <w:r>
              <w:rPr>
                <w:rFonts w:ascii="Arial" w:cs="Arial" w:eastAsia="Arial" w:hAnsi="Arial"/>
                <w:sz w:val="18"/>
                <w:szCs w:val="18"/>
                <w:color w:val="auto"/>
              </w:rPr>
              <w:t>Name:</w:t>
            </w:r>
          </w:p>
        </w:tc>
        <w:tc>
          <w:tcPr>
            <w:tcW w:w="1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Harrell</w:t>
            </w:r>
          </w:p>
        </w:tc>
        <w:tc>
          <w:tcPr>
            <w:tcW w:w="1720" w:type="dxa"/>
            <w:vAlign w:val="bottom"/>
            <w:gridSpan w:val="2"/>
          </w:tcPr>
          <w:p>
            <w:pPr>
              <w:spacing w:after="0"/>
              <w:rPr>
                <w:sz w:val="16"/>
                <w:szCs w:val="16"/>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This certification has been furnished solely pursuant to Section Title:</w:t>
            </w:r>
          </w:p>
        </w:tc>
        <w:tc>
          <w:tcPr>
            <w:tcW w:w="2920" w:type="dxa"/>
            <w:vAlign w:val="bottom"/>
            <w:gridSpan w:val="3"/>
          </w:tcPr>
          <w:p>
            <w:pPr>
              <w:spacing w:after="0"/>
              <w:rPr>
                <w:sz w:val="20"/>
                <w:szCs w:val="20"/>
                <w:color w:val="auto"/>
              </w:rPr>
            </w:pPr>
            <w:r>
              <w:rPr>
                <w:rFonts w:ascii="Arial" w:cs="Arial" w:eastAsia="Arial" w:hAnsi="Arial"/>
                <w:sz w:val="18"/>
                <w:szCs w:val="18"/>
                <w:color w:val="auto"/>
                <w:w w:val="92"/>
              </w:rPr>
              <w:t>Principal Executive Officer and Director</w:t>
            </w:r>
          </w:p>
        </w:tc>
      </w:tr>
      <w:tr>
        <w:trPr>
          <w:trHeight w:val="243"/>
        </w:trPr>
        <w:tc>
          <w:tcPr>
            <w:tcW w:w="3720" w:type="dxa"/>
            <w:vAlign w:val="bottom"/>
          </w:tcPr>
          <w:p>
            <w:pPr>
              <w:spacing w:after="0"/>
              <w:rPr>
                <w:sz w:val="20"/>
                <w:szCs w:val="20"/>
                <w:color w:val="auto"/>
              </w:rPr>
            </w:pPr>
            <w:r>
              <w:rPr>
                <w:rFonts w:ascii="Arial" w:cs="Arial" w:eastAsia="Arial" w:hAnsi="Arial"/>
                <w:sz w:val="18"/>
                <w:szCs w:val="18"/>
                <w:color w:val="auto"/>
              </w:rPr>
              <w:t>906 of the Sarbanes-Oxley Act of 2002.</w:t>
            </w:r>
          </w:p>
        </w:tc>
        <w:tc>
          <w:tcPr>
            <w:tcW w:w="2920" w:type="dxa"/>
            <w:vAlign w:val="bottom"/>
          </w:tcPr>
          <w:p>
            <w:pPr>
              <w:ind w:left="860"/>
              <w:spacing w:after="0"/>
              <w:rPr>
                <w:sz w:val="20"/>
                <w:szCs w:val="20"/>
                <w:color w:val="auto"/>
              </w:rPr>
            </w:pPr>
            <w:r>
              <w:rPr>
                <w:rFonts w:ascii="Arial" w:cs="Arial" w:eastAsia="Arial" w:hAnsi="Arial"/>
                <w:sz w:val="18"/>
                <w:szCs w:val="18"/>
                <w:color w:val="auto"/>
              </w:rPr>
              <w:t>Date:</w:t>
            </w:r>
          </w:p>
        </w:tc>
        <w:tc>
          <w:tcPr>
            <w:tcW w:w="2920" w:type="dxa"/>
            <w:vAlign w:val="bottom"/>
            <w:gridSpan w:val="3"/>
          </w:tcPr>
          <w:p>
            <w:pPr>
              <w:spacing w:after="0"/>
              <w:rPr>
                <w:sz w:val="20"/>
                <w:szCs w:val="20"/>
                <w:color w:val="auto"/>
              </w:rPr>
            </w:pPr>
            <w:r>
              <w:rPr>
                <w:rFonts w:ascii="Arial" w:cs="Arial" w:eastAsia="Arial" w:hAnsi="Arial"/>
                <w:sz w:val="18"/>
                <w:szCs w:val="18"/>
                <w:color w:val="auto"/>
              </w:rPr>
              <w:t>November 14, 2013</w:t>
            </w:r>
          </w:p>
        </w:tc>
      </w:tr>
      <w:tr>
        <w:trPr>
          <w:trHeight w:val="190"/>
        </w:trPr>
        <w:tc>
          <w:tcPr>
            <w:tcW w:w="3720" w:type="dxa"/>
            <w:vAlign w:val="bottom"/>
          </w:tcPr>
          <w:p>
            <w:pPr>
              <w:spacing w:after="0"/>
              <w:rPr>
                <w:sz w:val="16"/>
                <w:szCs w:val="16"/>
                <w:color w:val="auto"/>
              </w:rPr>
            </w:pPr>
          </w:p>
        </w:tc>
        <w:tc>
          <w:tcPr>
            <w:tcW w:w="2920" w:type="dxa"/>
            <w:vAlign w:val="bottom"/>
          </w:tcPr>
          <w:p>
            <w:pPr>
              <w:ind w:left="860"/>
              <w:spacing w:after="0" w:line="190" w:lineRule="exact"/>
              <w:rPr>
                <w:sz w:val="20"/>
                <w:szCs w:val="20"/>
                <w:color w:val="auto"/>
              </w:rPr>
            </w:pPr>
            <w:r>
              <w:rPr>
                <w:rFonts w:ascii="Arial" w:cs="Arial" w:eastAsia="Arial" w:hAnsi="Arial"/>
                <w:sz w:val="18"/>
                <w:szCs w:val="18"/>
                <w:color w:val="auto"/>
              </w:rPr>
              <w:t>By:</w:t>
            </w:r>
          </w:p>
        </w:tc>
        <w:tc>
          <w:tcPr>
            <w:tcW w:w="2920" w:type="dxa"/>
            <w:vAlign w:val="bottom"/>
            <w:gridSpan w:val="3"/>
          </w:tcPr>
          <w:p>
            <w:pPr>
              <w:spacing w:after="0" w:line="190" w:lineRule="exact"/>
              <w:rPr>
                <w:sz w:val="20"/>
                <w:szCs w:val="20"/>
                <w:color w:val="auto"/>
              </w:rPr>
            </w:pPr>
            <w:r>
              <w:rPr>
                <w:rFonts w:ascii="Arial" w:cs="Arial" w:eastAsia="Arial" w:hAnsi="Arial"/>
                <w:sz w:val="18"/>
                <w:szCs w:val="18"/>
                <w:color w:val="auto"/>
              </w:rPr>
              <w:t>/s/ H. David Lester</w:t>
            </w:r>
          </w:p>
        </w:tc>
      </w:tr>
      <w:tr>
        <w:trPr>
          <w:trHeight w:val="222"/>
        </w:trPr>
        <w:tc>
          <w:tcPr>
            <w:tcW w:w="3720" w:type="dxa"/>
            <w:vAlign w:val="bottom"/>
          </w:tcPr>
          <w:p>
            <w:pPr>
              <w:spacing w:after="0"/>
              <w:rPr>
                <w:sz w:val="19"/>
                <w:szCs w:val="19"/>
                <w:color w:val="auto"/>
              </w:rPr>
            </w:pPr>
          </w:p>
        </w:tc>
        <w:tc>
          <w:tcPr>
            <w:tcW w:w="2920" w:type="dxa"/>
            <w:vAlign w:val="bottom"/>
          </w:tcPr>
          <w:p>
            <w:pPr>
              <w:ind w:left="860"/>
              <w:spacing w:after="0"/>
              <w:rPr>
                <w:sz w:val="20"/>
                <w:szCs w:val="20"/>
                <w:color w:val="auto"/>
              </w:rPr>
            </w:pPr>
            <w:r>
              <w:rPr>
                <w:rFonts w:ascii="Arial" w:cs="Arial" w:eastAsia="Arial" w:hAnsi="Arial"/>
                <w:sz w:val="18"/>
                <w:szCs w:val="18"/>
                <w:color w:val="auto"/>
              </w:rPr>
              <w:t>Name:</w:t>
            </w:r>
          </w:p>
        </w:tc>
        <w:tc>
          <w:tcPr>
            <w:tcW w:w="1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H. David Lester</w:t>
            </w:r>
          </w:p>
        </w:tc>
        <w:tc>
          <w:tcPr>
            <w:tcW w:w="1560" w:type="dxa"/>
            <w:vAlign w:val="bottom"/>
          </w:tcPr>
          <w:p>
            <w:pPr>
              <w:spacing w:after="0"/>
              <w:rPr>
                <w:sz w:val="19"/>
                <w:szCs w:val="19"/>
                <w:color w:val="auto"/>
              </w:rPr>
            </w:pPr>
          </w:p>
        </w:tc>
      </w:tr>
      <w:tr>
        <w:trPr>
          <w:trHeight w:val="216"/>
        </w:trPr>
        <w:tc>
          <w:tcPr>
            <w:tcW w:w="3720" w:type="dxa"/>
            <w:vAlign w:val="bottom"/>
          </w:tcPr>
          <w:p>
            <w:pPr>
              <w:spacing w:after="0"/>
              <w:rPr>
                <w:sz w:val="18"/>
                <w:szCs w:val="18"/>
                <w:color w:val="auto"/>
              </w:rPr>
            </w:pPr>
          </w:p>
        </w:tc>
        <w:tc>
          <w:tcPr>
            <w:tcW w:w="2920" w:type="dxa"/>
            <w:vAlign w:val="bottom"/>
          </w:tcPr>
          <w:p>
            <w:pPr>
              <w:ind w:left="860"/>
              <w:spacing w:after="0"/>
              <w:rPr>
                <w:sz w:val="20"/>
                <w:szCs w:val="20"/>
                <w:color w:val="auto"/>
              </w:rPr>
            </w:pPr>
            <w:r>
              <w:rPr>
                <w:rFonts w:ascii="Arial" w:cs="Arial" w:eastAsia="Arial" w:hAnsi="Arial"/>
                <w:sz w:val="18"/>
                <w:szCs w:val="18"/>
                <w:color w:val="auto"/>
              </w:rPr>
              <w:t>Title:</w:t>
            </w:r>
          </w:p>
        </w:tc>
        <w:tc>
          <w:tcPr>
            <w:tcW w:w="2920" w:type="dxa"/>
            <w:vAlign w:val="bottom"/>
            <w:gridSpan w:val="3"/>
          </w:tcPr>
          <w:p>
            <w:pPr>
              <w:spacing w:after="0"/>
              <w:rPr>
                <w:sz w:val="20"/>
                <w:szCs w:val="20"/>
                <w:color w:val="auto"/>
              </w:rPr>
            </w:pPr>
            <w:r>
              <w:rPr>
                <w:rFonts w:ascii="Arial" w:cs="Arial" w:eastAsia="Arial" w:hAnsi="Arial"/>
                <w:sz w:val="18"/>
                <w:szCs w:val="18"/>
                <w:color w:val="auto"/>
                <w:w w:val="94"/>
              </w:rPr>
              <w:t>Principal Financial Officer and Director</w:t>
            </w:r>
          </w:p>
        </w:tc>
      </w:tr>
      <w:tr>
        <w:trPr>
          <w:trHeight w:val="230"/>
        </w:trPr>
        <w:tc>
          <w:tcPr>
            <w:tcW w:w="3720" w:type="dxa"/>
            <w:vAlign w:val="bottom"/>
          </w:tcPr>
          <w:p>
            <w:pPr>
              <w:spacing w:after="0"/>
              <w:rPr>
                <w:sz w:val="20"/>
                <w:szCs w:val="20"/>
                <w:color w:val="auto"/>
              </w:rPr>
            </w:pPr>
          </w:p>
        </w:tc>
        <w:tc>
          <w:tcPr>
            <w:tcW w:w="2920" w:type="dxa"/>
            <w:vAlign w:val="bottom"/>
          </w:tcPr>
          <w:p>
            <w:pPr>
              <w:ind w:left="860"/>
              <w:spacing w:after="0"/>
              <w:rPr>
                <w:sz w:val="20"/>
                <w:szCs w:val="20"/>
                <w:color w:val="auto"/>
              </w:rPr>
            </w:pPr>
            <w:r>
              <w:rPr>
                <w:rFonts w:ascii="Arial" w:cs="Arial" w:eastAsia="Arial" w:hAnsi="Arial"/>
                <w:sz w:val="18"/>
                <w:szCs w:val="18"/>
                <w:color w:val="auto"/>
              </w:rPr>
              <w:t>Date:</w:t>
            </w:r>
          </w:p>
        </w:tc>
        <w:tc>
          <w:tcPr>
            <w:tcW w:w="2920" w:type="dxa"/>
            <w:vAlign w:val="bottom"/>
            <w:gridSpan w:val="3"/>
          </w:tcPr>
          <w:p>
            <w:pPr>
              <w:spacing w:after="0"/>
              <w:rPr>
                <w:sz w:val="20"/>
                <w:szCs w:val="20"/>
                <w:color w:val="auto"/>
              </w:rPr>
            </w:pPr>
            <w:r>
              <w:rPr>
                <w:rFonts w:ascii="Arial" w:cs="Arial" w:eastAsia="Arial" w:hAnsi="Arial"/>
                <w:sz w:val="18"/>
                <w:szCs w:val="18"/>
                <w:color w:val="auto"/>
              </w:rPr>
              <w:t>November 14, 2013</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
    </w:lvl>
    <w:lvl w:ilvl="1">
      <w:lvlJc w:val="left"/>
      <w:lvlText w:val="%2."/>
      <w:numFmt w:val="lowerLetter"/>
      <w:start w:val="1"/>
    </w:lvl>
  </w:abstractNum>
  <w:abstractNum w:abstractNumId="2">
    <w:nsid w:val="19495CF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2019-12-07T19:44:43Z</dcterms:created>
  <dcterms:modified xsi:type="dcterms:W3CDTF">2019-12-07T19:44:43Z</dcterms:modified>
</cp:coreProperties>
</file>