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Greco Theresa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40"/>
        <w:spacing w:after="0" w:line="320" w:lineRule="auto"/>
        <w:rPr>
          <w:sz w:val="20"/>
          <w:szCs w:val="20"/>
          <w:color w:val="auto"/>
        </w:rPr>
      </w:pPr>
      <w:r>
        <w:rPr>
          <w:rFonts w:ascii="Times New Roman" w:cs="Times New Roman" w:eastAsia="Times New Roman" w:hAnsi="Times New Roman"/>
          <w:sz w:val="17"/>
          <w:szCs w:val="17"/>
          <w:color w:val="0000FF"/>
        </w:rPr>
        <w:t>C/O OPTIMIZERX CORPORATION 260 CHARLES STREET, SUITE 302</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OptimizeRx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OPRX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12/23/2025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60"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0"/>
                <w:szCs w:val="10"/>
                <w:color w:val="auto"/>
              </w:rPr>
            </w:pPr>
          </w:p>
        </w:tc>
        <w:tc>
          <w:tcPr>
            <w:tcW w:w="3540" w:type="dxa"/>
            <w:vAlign w:val="bottom"/>
            <w:gridSpan w:val="9"/>
          </w:tcPr>
          <w:p>
            <w:pPr>
              <w:ind w:left="20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02453</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12/23/2025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1,420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12.74</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72,868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withheld by the Issuer upon the vesting of restricted stock units to satisfy the Reporting Person's tax withholding obligations. Such withholding is treated as a disposition of securities under Section 16 of the Securities Exchange Act of 1934, as amended.</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12/23/2025</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98771"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2025-12-23T17:21:53Z</dcterms:created>
  <dcterms:modified xsi:type="dcterms:W3CDTF">2025-12-23T17:21:53Z</dcterms:modified>
</cp:coreProperties>
</file>