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FORM 8-K</w:t>
            </w:r>
          </w:p>
        </w:tc>
        <w:tc>
          <w:tcPr>
            <w:tcW w:w="324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4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14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February 20, 2018</w:t>
            </w:r>
          </w:p>
        </w:tc>
        <w:tc>
          <w:tcPr>
            <w:tcW w:w="324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3"/>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53"/>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0"/>
              </w:rPr>
              <w:t>Nevada</w:t>
            </w:r>
          </w:p>
        </w:tc>
        <w:tc>
          <w:tcPr>
            <w:tcW w:w="3580" w:type="dxa"/>
            <w:vAlign w:val="bottom"/>
            <w:gridSpan w:val="6"/>
          </w:tcPr>
          <w:p>
            <w:pPr>
              <w:jc w:val="center"/>
              <w:ind w:left="171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center"/>
              <w:ind w:right="310"/>
              <w:spacing w:after="0"/>
              <w:rPr>
                <w:sz w:val="20"/>
                <w:szCs w:val="20"/>
                <w:color w:val="auto"/>
              </w:rPr>
            </w:pPr>
            <w:r>
              <w:rPr>
                <w:rFonts w:ascii="Arial" w:cs="Arial" w:eastAsia="Arial" w:hAnsi="Arial"/>
                <w:sz w:val="18"/>
                <w:szCs w:val="18"/>
                <w:color w:val="auto"/>
                <w:w w:val="91"/>
              </w:rPr>
              <w:t>26-1265381</w:t>
            </w:r>
          </w:p>
        </w:tc>
      </w:tr>
      <w:tr>
        <w:trPr>
          <w:trHeight w:val="202"/>
        </w:trPr>
        <w:tc>
          <w:tcPr>
            <w:tcW w:w="304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2"/>
              </w:rPr>
              <w:t>(State or other jurisdiction</w:t>
            </w: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3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5"/>
              </w:rPr>
              <w:t>of incorporation)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80" w:type="dxa"/>
            <w:vAlign w:val="bottom"/>
            <w:gridSpan w:val="10"/>
          </w:tcPr>
          <w:p>
            <w:pPr>
              <w:jc w:val="center"/>
              <w:ind w:right="256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spacing w:after="0"/>
              <w:rPr>
                <w:sz w:val="20"/>
                <w:szCs w:val="20"/>
                <w:color w:val="auto"/>
              </w:rPr>
            </w:pPr>
          </w:p>
        </w:tc>
        <w:tc>
          <w:tcPr>
            <w:tcW w:w="3240" w:type="dxa"/>
            <w:vAlign w:val="bottom"/>
            <w:tcBorders>
              <w:top w:val="single" w:sz="8" w:color="auto"/>
            </w:tcBorders>
          </w:tcPr>
          <w:p>
            <w:pPr>
              <w:jc w:val="center"/>
              <w:ind w:right="22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February 20, 2018, we issued a press release about gaining access to the electronic health record (EHR) system of NextGen Healthcare, a top five EHR and a unit of Quality Systems. A copy of the press release is attached as Exhibit 99.1 to this Current Report on Form 8-K.</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20,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2018</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3" w:name="page4"/>
    <w:bookmarkEnd w:id="3"/>
    <w:p>
      <w:pPr>
        <w:ind w:left="104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161925</wp:posOffset>
            </wp:positionV>
            <wp:extent cx="269303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OptimizeRx and Top 5 EHR, NextGen Healthcare, to Help Thousands of Patients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Nationwide via Prescription Cost Savings at Point-of-Care</w:t>
      </w:r>
    </w:p>
    <w:p>
      <w:pPr>
        <w:spacing w:after="0" w:line="207"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Rochester, MI, February 20, 2018 — </w:t>
      </w:r>
      <w:r>
        <w:rPr>
          <w:rFonts w:ascii="Arial" w:cs="Arial" w:eastAsia="Arial" w:hAnsi="Arial"/>
          <w:sz w:val="16"/>
          <w:szCs w:val="16"/>
          <w:u w:val="single" w:color="auto"/>
          <w:color w:val="auto"/>
        </w:rPr>
        <w:t>OptimizeRx Corp.</w:t>
      </w:r>
      <w:r>
        <w:rPr>
          <w:rFonts w:ascii="Arial" w:cs="Arial" w:eastAsia="Arial" w:hAnsi="Arial"/>
          <w:sz w:val="16"/>
          <w:szCs w:val="16"/>
          <w:b w:val="1"/>
          <w:bCs w:val="1"/>
          <w:color w:val="auto"/>
        </w:rPr>
        <w:t xml:space="preserve"> </w:t>
      </w:r>
      <w:r>
        <w:rPr>
          <w:rFonts w:ascii="Arial" w:cs="Arial" w:eastAsia="Arial" w:hAnsi="Arial"/>
          <w:sz w:val="16"/>
          <w:szCs w:val="16"/>
          <w:color w:val="auto"/>
        </w:rPr>
        <w:t>(OTCQB: OPRX), the nation’s leading provider of digital health messaging for the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industry, has gained access to the electronic health record (EHR) system of </w:t>
      </w:r>
      <w:r>
        <w:rPr>
          <w:rFonts w:ascii="Arial" w:cs="Arial" w:eastAsia="Arial" w:hAnsi="Arial"/>
          <w:sz w:val="16"/>
          <w:szCs w:val="16"/>
          <w:u w:val="single" w:color="auto"/>
          <w:color w:val="auto"/>
        </w:rPr>
        <w:t>NextGen Healthcare</w:t>
      </w:r>
      <w:r>
        <w:rPr>
          <w:rFonts w:ascii="Arial" w:cs="Arial" w:eastAsia="Arial" w:hAnsi="Arial"/>
          <w:sz w:val="16"/>
          <w:szCs w:val="16"/>
          <w:color w:val="auto"/>
        </w:rPr>
        <w:t xml:space="preserve">, a top five EHR and a unit of </w:t>
      </w:r>
      <w:r>
        <w:rPr>
          <w:rFonts w:ascii="Arial" w:cs="Arial" w:eastAsia="Arial" w:hAnsi="Arial"/>
          <w:sz w:val="16"/>
          <w:szCs w:val="16"/>
          <w:u w:val="single" w:color="auto"/>
          <w:color w:val="auto"/>
        </w:rPr>
        <w:t>Quality Systems</w:t>
      </w:r>
      <w:r>
        <w:rPr>
          <w:rFonts w:ascii="Arial" w:cs="Arial" w:eastAsia="Arial" w:hAnsi="Arial"/>
          <w:sz w:val="16"/>
          <w:szCs w:val="16"/>
          <w:color w:val="auto"/>
        </w:rPr>
        <w:t>.</w:t>
      </w:r>
    </w:p>
    <w:p>
      <w:pPr>
        <w:spacing w:after="0" w:line="12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OptimizeRx expects to help thousands of patients across the U.S. save money and be better educated about their prescriptions. OptimizeRx services will operate within the NextGen EHR workflow and notify healthcare providers (HCPs) in real-time of potential prescription savings and support information for their patients. Initial rollout of the integrated messaging service is planned for March 2018.</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OptimizeRx’s growing EHR and eRx network now reaches more than 500,000 HCPs in the U.S., making it the healthcare industry’s largest point-of-prescribe network. It delivers real-time access to financial assistance, education, and critical clinical information from pharma companies to HCPs.</w:t>
      </w:r>
    </w:p>
    <w:p>
      <w:pPr>
        <w:spacing w:after="0" w:line="147"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“As a leading EHR in the space, NextGen will dramatically increase our presence at point-of-care to reach thousands of new HCPs and their patients,” commented Miriam Paramore, president of OptimizeRx. “Our proven, highly-effective financial messaging will also significantly enhance the value proposition of the NextGen EHR system, helping their HCP customers deliver measurably better clinical outcomes.”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OptimizeRx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(OTCQB: OPRX) is the nation’s leading provider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a million healthcare providers access to these benefits within their workflow at the point of 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 for OptimizeRx: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2019-12-29T00:39:23Z</dcterms:created>
  <dcterms:modified xsi:type="dcterms:W3CDTF">2019-12-29T00:39:23Z</dcterms:modified>
</cp:coreProperties>
</file>