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6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rPr>
              <w:t>FORM 8-K</w:t>
            </w:r>
          </w:p>
        </w:tc>
        <w:tc>
          <w:tcPr>
            <w:tcW w:w="3240" w:type="dxa"/>
            <w:vAlign w:val="bottom"/>
          </w:tcPr>
          <w:p>
            <w:pPr>
              <w:spacing w:after="0"/>
              <w:rPr>
                <w:sz w:val="20"/>
                <w:szCs w:val="20"/>
                <w:color w:val="auto"/>
              </w:rPr>
            </w:pPr>
          </w:p>
        </w:tc>
      </w:tr>
      <w:tr>
        <w:trPr>
          <w:trHeight w:val="414"/>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6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w w:val="99"/>
              </w:rPr>
              <w:t>CURRENT REPORT</w:t>
            </w:r>
          </w:p>
        </w:tc>
        <w:tc>
          <w:tcPr>
            <w:tcW w:w="324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97"/>
              </w:rPr>
              <w:t>PURSUANT TO SECTION 13 OR 15(d) OF</w:t>
            </w:r>
          </w:p>
        </w:tc>
        <w:tc>
          <w:tcPr>
            <w:tcW w:w="324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45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40" w:type="dxa"/>
            <w:vAlign w:val="bottom"/>
          </w:tcPr>
          <w:p>
            <w:pPr>
              <w:spacing w:after="0"/>
              <w:rPr>
                <w:sz w:val="20"/>
                <w:szCs w:val="20"/>
                <w:color w:val="auto"/>
              </w:rPr>
            </w:pPr>
          </w:p>
        </w:tc>
      </w:tr>
      <w:tr>
        <w:trPr>
          <w:trHeight w:val="432"/>
        </w:trPr>
        <w:tc>
          <w:tcPr>
            <w:tcW w:w="8180" w:type="dxa"/>
            <w:vAlign w:val="bottom"/>
            <w:gridSpan w:val="9"/>
          </w:tcPr>
          <w:p>
            <w:pPr>
              <w:jc w:val="center"/>
              <w:ind w:left="3170"/>
              <w:spacing w:after="0"/>
              <w:rPr>
                <w:sz w:val="20"/>
                <w:szCs w:val="20"/>
                <w:color w:val="auto"/>
              </w:rPr>
            </w:pPr>
            <w:r>
              <w:rPr>
                <w:rFonts w:ascii="Arial" w:cs="Arial" w:eastAsia="Arial" w:hAnsi="Arial"/>
                <w:sz w:val="18"/>
                <w:szCs w:val="18"/>
                <w:color w:val="auto"/>
                <w:w w:val="90"/>
              </w:rPr>
              <w:t>Date of Report (Date of earliest event reported): February 27, 2020</w:t>
            </w:r>
          </w:p>
        </w:tc>
        <w:tc>
          <w:tcPr>
            <w:tcW w:w="3240" w:type="dxa"/>
            <w:vAlign w:val="bottom"/>
          </w:tcPr>
          <w:p>
            <w:pPr>
              <w:spacing w:after="0"/>
              <w:rPr>
                <w:sz w:val="24"/>
                <w:szCs w:val="24"/>
                <w:color w:val="auto"/>
              </w:rPr>
            </w:pPr>
          </w:p>
        </w:tc>
      </w:tr>
      <w:tr>
        <w:trPr>
          <w:trHeight w:val="392"/>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60" w:type="dxa"/>
            <w:vAlign w:val="bottom"/>
            <w:gridSpan w:val="3"/>
          </w:tcPr>
          <w:p>
            <w:pPr>
              <w:spacing w:after="0"/>
              <w:rPr>
                <w:sz w:val="24"/>
                <w:szCs w:val="24"/>
                <w:color w:val="auto"/>
              </w:rPr>
            </w:pPr>
          </w:p>
        </w:tc>
        <w:tc>
          <w:tcPr>
            <w:tcW w:w="3240" w:type="dxa"/>
            <w:vAlign w:val="bottom"/>
          </w:tcPr>
          <w:p>
            <w:pPr>
              <w:spacing w:after="0"/>
              <w:rPr>
                <w:sz w:val="24"/>
                <w:szCs w:val="24"/>
                <w:color w:val="auto"/>
              </w:rPr>
            </w:pPr>
          </w:p>
        </w:tc>
      </w:tr>
      <w:tr>
        <w:trPr>
          <w:trHeight w:val="237"/>
        </w:trPr>
        <w:tc>
          <w:tcPr>
            <w:tcW w:w="3660" w:type="dxa"/>
            <w:vAlign w:val="bottom"/>
          </w:tcPr>
          <w:p>
            <w:pPr>
              <w:spacing w:after="0"/>
              <w:rPr>
                <w:sz w:val="20"/>
                <w:szCs w:val="20"/>
                <w:color w:val="auto"/>
              </w:rPr>
            </w:pPr>
          </w:p>
        </w:tc>
        <w:tc>
          <w:tcPr>
            <w:tcW w:w="4520" w:type="dxa"/>
            <w:vAlign w:val="bottom"/>
            <w:gridSpan w:val="8"/>
          </w:tcPr>
          <w:p>
            <w:pPr>
              <w:jc w:val="center"/>
              <w:ind w:righ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3240" w:type="dxa"/>
            <w:vAlign w:val="bottom"/>
          </w:tcPr>
          <w:p>
            <w:pPr>
              <w:spacing w:after="0"/>
              <w:rPr>
                <w:sz w:val="20"/>
                <w:szCs w:val="20"/>
                <w:color w:val="auto"/>
              </w:rPr>
            </w:pPr>
          </w:p>
        </w:tc>
      </w:tr>
      <w:tr>
        <w:trPr>
          <w:trHeight w:val="453"/>
        </w:trPr>
        <w:tc>
          <w:tcPr>
            <w:tcW w:w="36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60" w:type="dxa"/>
            <w:vAlign w:val="bottom"/>
            <w:gridSpan w:val="5"/>
          </w:tcPr>
          <w:p>
            <w:pPr>
              <w:jc w:val="center"/>
              <w:ind w:left="109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3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20"/>
                <w:szCs w:val="20"/>
                <w:color w:val="auto"/>
              </w:rPr>
            </w:pPr>
          </w:p>
        </w:tc>
        <w:tc>
          <w:tcPr>
            <w:tcW w:w="36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tcPr>
          <w:p>
            <w:pPr>
              <w:jc w:val="center"/>
              <w:ind w:right="330"/>
              <w:spacing w:after="0"/>
              <w:rPr>
                <w:sz w:val="20"/>
                <w:szCs w:val="20"/>
                <w:color w:val="auto"/>
              </w:rPr>
            </w:pPr>
            <w:r>
              <w:rPr>
                <w:rFonts w:ascii="Arial" w:cs="Arial" w:eastAsia="Arial" w:hAnsi="Arial"/>
                <w:sz w:val="18"/>
                <w:szCs w:val="18"/>
                <w:color w:val="auto"/>
                <w:w w:val="94"/>
              </w:rPr>
              <w:t>(I.R.S. Employer Identification No.)</w:t>
            </w:r>
          </w:p>
        </w:tc>
      </w:tr>
      <w:tr>
        <w:trPr>
          <w:trHeight w:val="438"/>
        </w:trPr>
        <w:tc>
          <w:tcPr>
            <w:tcW w:w="8180" w:type="dxa"/>
            <w:vAlign w:val="bottom"/>
            <w:gridSpan w:val="9"/>
          </w:tcPr>
          <w:p>
            <w:pPr>
              <w:jc w:val="center"/>
              <w:ind w:right="2560"/>
              <w:spacing w:after="0"/>
              <w:rPr>
                <w:sz w:val="20"/>
                <w:szCs w:val="20"/>
                <w:color w:val="auto"/>
              </w:rPr>
            </w:pPr>
            <w:r>
              <w:rPr>
                <w:rFonts w:ascii="Arial" w:cs="Arial" w:eastAsia="Arial" w:hAnsi="Arial"/>
                <w:sz w:val="18"/>
                <w:szCs w:val="18"/>
                <w:color w:val="auto"/>
                <w:w w:val="90"/>
              </w:rPr>
              <w:t>400 Water Street, Suite 200, Rochester, MI</w:t>
            </w:r>
          </w:p>
        </w:tc>
        <w:tc>
          <w:tcPr>
            <w:tcW w:w="324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3"/>
          </w:tcPr>
          <w:p>
            <w:pPr>
              <w:spacing w:after="0"/>
              <w:rPr>
                <w:sz w:val="20"/>
                <w:szCs w:val="20"/>
                <w:color w:val="auto"/>
              </w:rPr>
            </w:pPr>
          </w:p>
        </w:tc>
        <w:tc>
          <w:tcPr>
            <w:tcW w:w="3240" w:type="dxa"/>
            <w:vAlign w:val="bottom"/>
            <w:tcBorders>
              <w:top w:val="single" w:sz="8" w:color="auto"/>
            </w:tcBorders>
          </w:tcPr>
          <w:p>
            <w:pPr>
              <w:jc w:val="center"/>
              <w:ind w:right="22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289560</wp:posOffset>
            </wp:positionV>
            <wp:extent cx="36188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39"/>
        </w:trPr>
        <w:tc>
          <w:tcPr>
            <w:tcW w:w="440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0"/>
              </w:rPr>
              <w:t>Trading symbol</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0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Markets</w:t>
            </w:r>
          </w:p>
        </w:tc>
      </w:tr>
      <w:tr>
        <w:trPr>
          <w:trHeight w:val="216"/>
        </w:trPr>
        <w:tc>
          <w:tcPr>
            <w:tcW w:w="3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r>
        <w:trPr>
          <w:trHeight w:val="28"/>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682"/>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27, 2020, we issued a press release announcing the results of operations for the quarter ended December 31, 2019. The press release is furnished with this Current Report on Form 8-K as Exhibit 99.1.</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February 27, 2020</w:t>
        </w:r>
      </w:hyperlink>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154940</wp:posOffset>
            </wp:positionV>
            <wp:extent cx="189547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54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Reports Fourth Quarter and Full Year 2019 Results; Full Year Revenue up 16% to a Record $24.6 Million</w:t>
      </w:r>
    </w:p>
    <w:p>
      <w:pPr>
        <w:spacing w:after="0" w:line="22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ROCHESTER, Mich. – February 27, 2020 – </w:t>
      </w:r>
      <w:r>
        <w:rPr>
          <w:rFonts w:ascii="Arial" w:cs="Arial" w:eastAsia="Arial" w:hAnsi="Arial"/>
          <w:sz w:val="18"/>
          <w:szCs w:val="18"/>
          <w:color w:val="auto"/>
        </w:rPr>
        <w:t>OptimizeRx Corp. (Nasdaq: OPRX), a leading provider of digital health solutions for life science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and payers, reported results for the fourth quarter and year ended December 31, 2019, with all comparisons to the same year-ago period unless otherwise noted.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Operational Highlights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in Q4 2019 increased 12% to a record $7.4 million.</w:t>
      </w:r>
    </w:p>
    <w:p>
      <w:pPr>
        <w:spacing w:after="0" w:line="252"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for the full year 2019 was up 16% to a record $24.6 million, with gross margin improving 520 basis points from 57.6% to 62.8% due to a more favorable product mix.</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totaled $18.9 million at December 31, 2019.</w:t>
      </w:r>
    </w:p>
    <w:p>
      <w:pPr>
        <w:spacing w:after="0" w:line="252"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Acquired digital therapeutics SaaS platform provider, RMDY Health, adding three new client segments to OptimizeRx’s existing patient engagement platform: payers, medtech and medical associations.</w:t>
      </w:r>
    </w:p>
    <w:p>
      <w:pPr>
        <w:spacing w:after="0" w:line="197"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Launched newly integrated platform and secured several enterprise deals to more effectively address the need for greater patient-provider-pharma-payer collaboration and improvement in medication affordability and adherence.</w:t>
      </w:r>
    </w:p>
    <w:p>
      <w:pPr>
        <w:spacing w:after="0" w:line="197"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Signed an exclusive three year agreement with NewCrop, a provider of integrated electronic prescribing software, to deliver real-time digital health messages to NewCrop’s e-prescribing network of more than 65,000 healthcare professionals.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Q4 2019 Financial Summary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revenue in the fourth quarter of 2019 increased 12% to a record $7.4 million from $6.6 million in the same year-ago quarter. The quarterly increase was primarily due to increased sales of messaging and patient engagement solutions.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Over the last year the company has introduced and acquired products and services that have diversified its customer base and revenue streams.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Gross margin in the fourth quarter of 2019 was 60.6% versus 62.2% in the year-ago quarter. The decrease in gross margin was due to a shift in product mix.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maintain gross margins of at least 60% on a quarterly basis.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expenses in the fourth quarter of 2019 totaled $6.8 million, increasing from $4.2 million in the same year-ago quarter. The increase was due to additional expenses related to the company’s growth initiatives, including its introduced and acquired products and services such as patient engagement solutions, as well as new hires over the last year. Expenses related to the company’s recent acquisition of RMDY Health totaled approximately $0.8 million in the fourth quarter of 2019.</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200"/>
        <w:spacing w:after="0" w:line="277" w:lineRule="auto"/>
        <w:rPr>
          <w:sz w:val="20"/>
          <w:szCs w:val="20"/>
          <w:color w:val="auto"/>
        </w:rPr>
      </w:pPr>
      <w:r>
        <w:rPr>
          <w:rFonts w:ascii="Arial" w:cs="Arial" w:eastAsia="Arial" w:hAnsi="Arial"/>
          <w:sz w:val="18"/>
          <w:szCs w:val="18"/>
          <w:color w:val="auto"/>
        </w:rPr>
        <w:t>Net loss on a GAAP basis in the fourth quarter of 2019 totaled $2.0 million or $(0.14) per share, as compared to net loss of $110,000 or $(0.01) per share in the year-ago quarter.</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Non-GAAP net loss for the fourth quarter of 2019 was $399,000 or $(0.03) per basic and diluted share, compared to non-GAAP net income of $1.4 million or $0.11 per diluted share in the same year-ago period (see definition of these non-GAAP measures and reconciliation to GAAP, below).</w:t>
      </w:r>
    </w:p>
    <w:p>
      <w:pPr>
        <w:spacing w:after="0" w:line="14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While the company expects to return to profitability as its revenue grows, one-time expenses related to investments in growth initiatives or non-cash charges could result in a loss in any given quarter.</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Cash and cash equivalents totaled $18.9 million at December 31, 2019, as compared to $29.8 million at September 30, 2019 with the majority of the decrease related to the acquisition of RMDY Health. The company has continued to operate debt-free and expects to remain cash-flow positive on a quarterly basis for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2019 Financial Summary</w:t>
      </w:r>
    </w:p>
    <w:p>
      <w:pPr>
        <w:spacing w:after="0" w:line="22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Net revenue in 2019 increased 16% to a record $24.6 million compared to $21.2 million in 2018. The increase was primarily due to increased pharmaceutical brands, an increased distribution network, strong growth in the company’s messaging and patient engagement solutions.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Gross margin in 2019 improved to 62.8% versus 57.6% in 2018. The improvement was due to a favorable shift in product mix, including an increase in patient engagement revenues that have a much lower cost of sales.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Operating expenses increased to $19.1 million in 2019 as compared to $12.0 million in 2018. The increase was due to additional expenses related to the company’s growth initiatives, including its introduced and acquired products and services such as patient engagement solutions, as well as new hires within the last year to drive growth for 2020.</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loss on a GAAP basis totaled $3.1 million or $(0.23) per basic and diluted share in 2019, as compared to a net income of $0.2 million or $0.02 per basic and diluted share in 2018.</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full year, non-GAAP net income totaled $937,000 or $0.07 per basic and diluted share, which compares non-GAAP net income of $3.7 million or $0.31 per diluted share in the year-ago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topline growth in Q4 and the full year was driven largely by our newer messaging solutions, such as patient engagement,” said OptimizeRx CEO, William Febbo. “During the year, we invested heavily to position the company for strong topline growth. We expanded our commercial team and scaled our client base beyond pharma to include payer, medical device and care management companies. We introduced and acquired new products and services, diversified our revenue streams, and expanded the exclusive partners within our point of care network by adding more than 65,000 healthcare professionals.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right="660"/>
        <w:spacing w:after="0" w:line="277" w:lineRule="auto"/>
        <w:rPr>
          <w:sz w:val="20"/>
          <w:szCs w:val="20"/>
          <w:color w:val="auto"/>
        </w:rPr>
      </w:pPr>
      <w:r>
        <w:rPr>
          <w:rFonts w:ascii="Arial" w:cs="Arial" w:eastAsia="Arial" w:hAnsi="Arial"/>
          <w:sz w:val="18"/>
          <w:szCs w:val="18"/>
          <w:color w:val="auto"/>
        </w:rPr>
        <w:t>“Today, we have the nation’s largest point of care network for our clients along with a complete set of solutions designed to assure greater adherence, affordability and patient engagement—all of which represent enormous market opportunities.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“Armed with this comprehensive solution set, we are not only better able to address our existing HCP messaging market, but we can now address the patient engagement, digital therapeutics and care management markets. This takes our total addressable market into the billions of dollars. We sit squarely at the intersection of these large and growing markets with a uniquely powerful digital health platform that can scale along the support of fantastic partners and leading pharma clients.</w:t>
      </w:r>
    </w:p>
    <w:p>
      <w:pPr>
        <w:spacing w:after="0" w:line="18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power of our platform lies in how we close the communication gap between pharma, payers, physicians and patients like no other solution on the market. Closing this gap with digital solutions has become increasingly important, especially with the wave of new specialty medications coming onto the market and the increasing value being placed on the patient journey when it comes to medication adherence. Better communication translates into better outcomes for patients, lower costs to payers, and for pharma a more engaged field of doctors and patients.</w:t>
      </w:r>
    </w:p>
    <w:p>
      <w:pPr>
        <w:spacing w:after="0" w:line="17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“For OptimizeRx, our integrated platform approach allows us to expand within existing clients and address the needs of a much larger group of potential enterprise clients. This has become evident in the growth of our average deal size, which has increased from around $130,000 in 2018 to more than $300,000 coming into 2020. These deals also involve an increasing portion of recurring SaaS revenue and even stickier enterprise engagements.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“Looking ahead, we remain focused on driving revenue growth from our core solutions, expanding our network, and seeking solid M&amp;A and partnership opportunities. We expect the results from these initiatives along with our expanded commercial team to drive continued adoption of our health platform across our entire client base in 2020, with this resulting in another year of record growth and market expansion.”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OptimizeRx management will host a conference call later today to discuss these fourth quarter 2019 results, followed by a question and answer period.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Thursday, February 27,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1-888-220-8451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1-323-794-2588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2951536</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right="28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March 19, 2020, as well as available for replay via the Investors section of the OptimizeRx website at optimizerx.com/investors.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2951536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Use of Non-GAAP Financial Measures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This earnings release includes a presentation of non-GAAP net income (loss) and non-GAAP earnings (loss) per share or non-GAAP EPS, both of which are non-GAAP financial measures. Starting this quarter, the company changed its definition of non-GAAP net income (loss) and non-GAAP earnings per share or non-GAAP EPS to include acquisition expenses, income or loss related to the fair value of contingent consideration, and deferred income taxes.</w:t>
      </w:r>
    </w:p>
    <w:p>
      <w:pPr>
        <w:spacing w:after="0" w:line="147" w:lineRule="exact"/>
        <w:rPr>
          <w:sz w:val="20"/>
          <w:szCs w:val="20"/>
          <w:color w:val="auto"/>
        </w:rPr>
      </w:pPr>
    </w:p>
    <w:p>
      <w:pPr>
        <w:jc w:val="both"/>
        <w:ind w:right="520"/>
        <w:spacing w:after="0" w:line="276" w:lineRule="auto"/>
        <w:rPr>
          <w:sz w:val="20"/>
          <w:szCs w:val="20"/>
          <w:color w:val="auto"/>
        </w:rPr>
      </w:pPr>
      <w:r>
        <w:rPr>
          <w:rFonts w:ascii="Arial" w:cs="Arial" w:eastAsia="Arial" w:hAnsi="Arial"/>
          <w:sz w:val="17"/>
          <w:szCs w:val="17"/>
          <w:color w:val="auto"/>
        </w:rPr>
        <w:t>The company defines non-GAAP net income (loss) as GAAP net income (loss) with an adjustment to add back depreciation, amortization, stock-based compensation, acquisition expenses, income or loss related to the fair value of contingent consideration, and deferred income taxes. Non-GAAP EPS is defined as non-GAAP net income (loss) divided by the number of weighted average shares outstanding on a basic and diluted basis. The company has provided non-GAAP financial measures to aid investors in better understanding its performance. Management believes that these non-GAAP financial measures provide additional insight into the operations and cashflow of the company.</w:t>
      </w:r>
    </w:p>
    <w:p>
      <w:pPr>
        <w:spacing w:after="0" w:line="17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non-GAAP net income (loss) and non-GAAP EPS measures may not provide information that is directly comparable to that provided by other companies in the company’s industry, as other companies in the industry may calculate such non-GAAP financial results differently. The company’s non-GAAP net income (loss) and non-GAAP EPS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“Reconciliation of non-GAAP to GAAP Financial Measures,” included below, provides a reconciliation of non-GAAP net income (loss) and non-GAAP EPS for the three and 12-month periods ended December 31, 2019 and 2018.</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OptimizeRx</w:t>
      </w:r>
    </w:p>
    <w:p>
      <w:pPr>
        <w:spacing w:after="0" w:line="233"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OptimizeRx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and medical associations to communicate with healthcare providers right within their workflow and directly to patients.</w:t>
      </w:r>
    </w:p>
    <w:p>
      <w:pPr>
        <w:spacing w:after="0" w:line="20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digital care management platform.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37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69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30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vMerge w:val="restart"/>
          </w:tcPr>
          <w:p>
            <w:pPr>
              <w:spacing w:after="0"/>
              <w:rPr>
                <w:sz w:val="20"/>
                <w:szCs w:val="20"/>
                <w:color w:val="auto"/>
              </w:rPr>
            </w:pPr>
            <w:r>
              <w:rPr>
                <w:rFonts w:ascii="Arial" w:cs="Arial" w:eastAsia="Arial" w:hAnsi="Arial"/>
                <w:sz w:val="18"/>
                <w:szCs w:val="18"/>
                <w:color w:val="auto"/>
              </w:rPr>
              <w:t>Current Assets</w:t>
            </w:r>
          </w:p>
        </w:tc>
        <w:tc>
          <w:tcPr>
            <w:tcW w:w="5780" w:type="dxa"/>
            <w:vAlign w:val="bottom"/>
          </w:tcPr>
          <w:p>
            <w:pPr>
              <w:ind w:left="980"/>
              <w:spacing w:after="0"/>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040" w:type="dxa"/>
            <w:vAlign w:val="bottom"/>
            <w:vMerge w:val="continue"/>
          </w:tcPr>
          <w:p>
            <w:pPr>
              <w:spacing w:after="0"/>
              <w:rPr>
                <w:sz w:val="24"/>
                <w:szCs w:val="24"/>
                <w:color w:val="auto"/>
              </w:rPr>
            </w:pPr>
          </w:p>
        </w:tc>
        <w:tc>
          <w:tcPr>
            <w:tcW w:w="5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7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18,852,680</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8,914,034</w:t>
            </w: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7020" w:type="dxa"/>
            <w:vAlign w:val="bottom"/>
            <w:gridSpan w:val="3"/>
          </w:tcPr>
          <w:p>
            <w:pPr>
              <w:jc w:val="right"/>
              <w:ind w:right="100"/>
              <w:spacing w:after="0"/>
              <w:rPr>
                <w:sz w:val="20"/>
                <w:szCs w:val="20"/>
                <w:color w:val="auto"/>
              </w:rPr>
            </w:pPr>
            <w:r>
              <w:rPr>
                <w:rFonts w:ascii="Arial" w:cs="Arial" w:eastAsia="Arial" w:hAnsi="Arial"/>
                <w:sz w:val="18"/>
                <w:szCs w:val="18"/>
                <w:color w:val="auto"/>
              </w:rPr>
              <w:t>7,418,025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6,457,841</w:t>
            </w:r>
          </w:p>
        </w:tc>
        <w:tc>
          <w:tcPr>
            <w:tcW w:w="0" w:type="dxa"/>
            <w:vAlign w:val="bottom"/>
          </w:tcPr>
          <w:p>
            <w:pPr>
              <w:spacing w:after="0"/>
              <w:rPr>
                <w:sz w:val="1"/>
                <w:szCs w:val="1"/>
                <w:color w:val="auto"/>
              </w:rPr>
            </w:pPr>
          </w:p>
        </w:tc>
      </w:tr>
      <w:tr>
        <w:trPr>
          <w:trHeight w:val="25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7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871,043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360,146</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578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27,141,748</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15,732,021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7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176,014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Technology Assets,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Patent rights,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Right of use assets,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intangible assets,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Security deposits and other assets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Total Other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both"/>
        <w:ind w:left="340"/>
        <w:spacing w:after="0"/>
        <w:tabs>
          <w:tab w:leader="none" w:pos="1760" w:val="left"/>
        </w:tabs>
        <w:rPr>
          <w:sz w:val="20"/>
          <w:szCs w:val="20"/>
          <w:color w:val="auto"/>
        </w:rPr>
      </w:pPr>
      <w:r>
        <w:rPr>
          <w:rFonts w:ascii="Arial" w:cs="Arial" w:eastAsia="Arial" w:hAnsi="Arial"/>
          <w:sz w:val="18"/>
          <w:szCs w:val="18"/>
          <w:color w:val="auto"/>
        </w:rPr>
        <w:t>14,740,031</w:t>
      </w:r>
      <w:r>
        <w:rPr>
          <w:sz w:val="20"/>
          <w:szCs w:val="20"/>
          <w:color w:val="auto"/>
        </w:rPr>
        <w:tab/>
      </w:r>
      <w:r>
        <w:rPr>
          <w:rFonts w:ascii="Arial" w:cs="Arial" w:eastAsia="Arial" w:hAnsi="Arial"/>
          <w:sz w:val="18"/>
          <w:szCs w:val="18"/>
          <w:color w:val="auto"/>
        </w:rPr>
        <w:t>3,678,513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-121920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jc w:val="both"/>
        <w:ind w:left="420"/>
        <w:spacing w:after="0"/>
        <w:tabs>
          <w:tab w:leader="none" w:pos="1880" w:val="left"/>
        </w:tabs>
        <w:rPr>
          <w:sz w:val="20"/>
          <w:szCs w:val="20"/>
          <w:color w:val="auto"/>
        </w:rPr>
      </w:pPr>
      <w:r>
        <w:rPr>
          <w:rFonts w:ascii="Arial" w:cs="Arial" w:eastAsia="Arial" w:hAnsi="Arial"/>
          <w:sz w:val="18"/>
          <w:szCs w:val="18"/>
          <w:color w:val="auto"/>
        </w:rPr>
        <w:t>6,238,453</w:t>
      </w:r>
      <w:r>
        <w:rPr>
          <w:sz w:val="20"/>
          <w:szCs w:val="20"/>
          <w:color w:val="auto"/>
        </w:rPr>
        <w:tab/>
      </w:r>
      <w:r>
        <w:rPr>
          <w:rFonts w:ascii="Arial" w:cs="Arial" w:eastAsia="Arial" w:hAnsi="Arial"/>
          <w:sz w:val="18"/>
          <w:szCs w:val="18"/>
          <w:color w:val="auto"/>
        </w:rPr>
        <w:t>104,820</w:t>
      </w:r>
    </w:p>
    <w:p>
      <w:pPr>
        <w:spacing w:after="0" w:line="9" w:lineRule="exact"/>
        <w:rPr>
          <w:sz w:val="20"/>
          <w:szCs w:val="20"/>
          <w:color w:val="auto"/>
        </w:rPr>
      </w:pPr>
    </w:p>
    <w:p>
      <w:pPr>
        <w:jc w:val="both"/>
        <w:ind w:left="420"/>
        <w:spacing w:after="0"/>
        <w:tabs>
          <w:tab w:leader="none" w:pos="1760" w:val="left"/>
        </w:tabs>
        <w:rPr>
          <w:sz w:val="20"/>
          <w:szCs w:val="20"/>
          <w:color w:val="auto"/>
        </w:rPr>
      </w:pPr>
      <w:r>
        <w:rPr>
          <w:rFonts w:ascii="Arial" w:cs="Arial" w:eastAsia="Arial" w:hAnsi="Arial"/>
          <w:sz w:val="18"/>
          <w:szCs w:val="18"/>
          <w:color w:val="auto"/>
        </w:rPr>
        <w:t>2,550,587</w:t>
      </w:r>
      <w:r>
        <w:rPr>
          <w:sz w:val="20"/>
          <w:szCs w:val="20"/>
          <w:color w:val="auto"/>
        </w:rPr>
        <w:tab/>
      </w:r>
      <w:r>
        <w:rPr>
          <w:rFonts w:ascii="Arial" w:cs="Arial" w:eastAsia="Arial" w:hAnsi="Arial"/>
          <w:sz w:val="18"/>
          <w:szCs w:val="18"/>
          <w:color w:val="auto"/>
        </w:rPr>
        <w:t>2,766,944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both"/>
        <w:ind w:left="560"/>
        <w:spacing w:after="0"/>
        <w:tabs>
          <w:tab w:leader="none" w:pos="2420" w:val="left"/>
        </w:tabs>
        <w:rPr>
          <w:sz w:val="20"/>
          <w:szCs w:val="20"/>
          <w:color w:val="auto"/>
        </w:rPr>
      </w:pPr>
      <w:r>
        <w:rPr>
          <w:rFonts w:ascii="Arial" w:cs="Arial" w:eastAsia="Arial" w:hAnsi="Arial"/>
          <w:sz w:val="18"/>
          <w:szCs w:val="18"/>
          <w:color w:val="auto"/>
        </w:rPr>
        <w:t>559,863</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jc w:val="both"/>
        <w:ind w:left="420"/>
        <w:spacing w:after="0"/>
        <w:tabs>
          <w:tab w:leader="none" w:pos="1760" w:val="left"/>
        </w:tabs>
        <w:rPr>
          <w:sz w:val="20"/>
          <w:szCs w:val="20"/>
          <w:color w:val="auto"/>
        </w:rPr>
      </w:pPr>
      <w:r>
        <w:rPr>
          <w:rFonts w:ascii="Arial" w:cs="Arial" w:eastAsia="Arial" w:hAnsi="Arial"/>
          <w:sz w:val="18"/>
          <w:szCs w:val="18"/>
          <w:color w:val="auto"/>
        </w:rPr>
        <w:t>5,151,102</w:t>
      </w:r>
      <w:r>
        <w:rPr>
          <w:sz w:val="20"/>
          <w:szCs w:val="20"/>
          <w:color w:val="auto"/>
        </w:rPr>
        <w:tab/>
      </w:r>
      <w:r>
        <w:rPr>
          <w:rFonts w:ascii="Arial" w:cs="Arial" w:eastAsia="Arial" w:hAnsi="Arial"/>
          <w:sz w:val="18"/>
          <w:szCs w:val="18"/>
          <w:color w:val="auto"/>
        </w:rPr>
        <w:t>2,387,303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-130810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both"/>
        <w:ind w:left="640"/>
        <w:spacing w:after="0"/>
        <w:tabs>
          <w:tab w:leader="none" w:pos="1880" w:val="left"/>
        </w:tabs>
        <w:rPr>
          <w:sz w:val="20"/>
          <w:szCs w:val="20"/>
          <w:color w:val="auto"/>
        </w:rPr>
      </w:pPr>
      <w:r>
        <w:rPr>
          <w:rFonts w:ascii="Arial" w:cs="Arial" w:eastAsia="Arial" w:hAnsi="Arial"/>
          <w:sz w:val="18"/>
          <w:szCs w:val="18"/>
          <w:color w:val="auto"/>
        </w:rPr>
        <w:t>80,727</w:t>
      </w:r>
      <w:r>
        <w:rPr>
          <w:sz w:val="20"/>
          <w:szCs w:val="20"/>
          <w:color w:val="auto"/>
        </w:rPr>
        <w:tab/>
      </w:r>
      <w:r>
        <w:rPr>
          <w:rFonts w:ascii="Arial" w:cs="Arial" w:eastAsia="Arial" w:hAnsi="Arial"/>
          <w:sz w:val="18"/>
          <w:szCs w:val="18"/>
          <w:color w:val="auto"/>
        </w:rPr>
        <w:t>235,647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14605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 w:lineRule="exact"/>
        <w:rPr>
          <w:sz w:val="20"/>
          <w:szCs w:val="20"/>
          <w:color w:val="auto"/>
        </w:rPr>
      </w:pPr>
    </w:p>
    <w:p>
      <w:pPr>
        <w:jc w:val="both"/>
        <w:ind w:left="340"/>
        <w:spacing w:after="0"/>
        <w:tabs>
          <w:tab w:leader="none" w:pos="1760" w:val="left"/>
        </w:tabs>
        <w:rPr>
          <w:sz w:val="20"/>
          <w:szCs w:val="20"/>
          <w:color w:val="auto"/>
        </w:rPr>
      </w:pPr>
      <w:r>
        <w:rPr>
          <w:rFonts w:ascii="Arial" w:cs="Arial" w:eastAsia="Arial" w:hAnsi="Arial"/>
          <w:sz w:val="18"/>
          <w:szCs w:val="18"/>
          <w:color w:val="auto"/>
        </w:rPr>
        <w:t>29,320,763</w:t>
      </w:r>
      <w:r>
        <w:rPr>
          <w:sz w:val="20"/>
          <w:szCs w:val="20"/>
          <w:color w:val="auto"/>
        </w:rPr>
        <w:tab/>
      </w:r>
      <w:r>
        <w:rPr>
          <w:rFonts w:ascii="Arial" w:cs="Arial" w:eastAsia="Arial" w:hAnsi="Arial"/>
          <w:sz w:val="18"/>
          <w:szCs w:val="18"/>
          <w:color w:val="auto"/>
        </w:rPr>
        <w:t>9,173,227</w:t>
      </w:r>
    </w:p>
    <w:p>
      <w:pPr>
        <w:spacing w:after="0" w:line="63" w:lineRule="exact"/>
        <w:rPr>
          <w:sz w:val="20"/>
          <w:szCs w:val="20"/>
          <w:color w:val="auto"/>
        </w:rPr>
      </w:pPr>
    </w:p>
    <w:p>
      <w:pPr>
        <w:spacing w:after="0"/>
        <w:tabs>
          <w:tab w:leader="none" w:pos="320" w:val="left"/>
          <w:tab w:leader="none" w:pos="1340" w:val="left"/>
          <w:tab w:leader="none" w:pos="1660" w:val="left"/>
        </w:tabs>
        <w:rPr>
          <w:sz w:val="20"/>
          <w:szCs w:val="20"/>
          <w:color w:val="auto"/>
        </w:rPr>
      </w:pPr>
      <w:r>
        <w:rPr>
          <w:rFonts w:ascii="Arial" w:cs="Arial" w:eastAsia="Arial" w:hAnsi="Arial"/>
          <w:sz w:val="18"/>
          <w:szCs w:val="18"/>
          <w:color w:val="auto"/>
        </w:rPr>
        <w:t>$</w:t>
        <w:tab/>
        <w:t>56,638,525</w:t>
        <w:tab/>
        <w:t>$</w:t>
      </w:r>
      <w:r>
        <w:rPr>
          <w:sz w:val="20"/>
          <w:szCs w:val="20"/>
          <w:color w:val="auto"/>
        </w:rPr>
        <w:tab/>
      </w:r>
      <w:r>
        <w:rPr>
          <w:rFonts w:ascii="Arial" w:cs="Arial" w:eastAsia="Arial" w:hAnsi="Arial"/>
          <w:sz w:val="16"/>
          <w:szCs w:val="16"/>
          <w:color w:val="auto"/>
        </w:rPr>
        <w:t>25,054,578</w:t>
      </w:r>
    </w:p>
    <w:p>
      <w:pPr>
        <w:spacing w:after="0" w:line="23" w:lineRule="exact"/>
        <w:rPr>
          <w:sz w:val="20"/>
          <w:szCs w:val="20"/>
          <w:color w:val="auto"/>
        </w:rPr>
      </w:pPr>
    </w:p>
    <w:p>
      <w:pPr>
        <w:sectPr>
          <w:pgSz w:w="11900" w:h="16838" w:orient="portrait"/>
          <w:cols w:equalWidth="0" w:num="2">
            <w:col w:w="8100" w:space="720"/>
            <w:col w:w="260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87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 trade</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492,995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411,010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1,800,635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1,300,882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share payable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1,618,438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1,908,616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Current portion of lease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115,431</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contingent purchase price payable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580,014</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610,625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6,107,513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4,231,133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spacing w:after="0" w:line="203" w:lineRule="exact"/>
              <w:rPr>
                <w:sz w:val="20"/>
                <w:szCs w:val="20"/>
                <w:color w:val="auto"/>
              </w:rPr>
            </w:pPr>
            <w:r>
              <w:rPr>
                <w:rFonts w:ascii="Arial" w:cs="Arial" w:eastAsia="Arial" w:hAnsi="Arial"/>
                <w:sz w:val="18"/>
                <w:szCs w:val="18"/>
                <w:color w:val="auto"/>
              </w:rPr>
              <w:t>Non-current Liabilities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obligations, net of current portion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448,753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Contingent purchase price payable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5,220,000</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2,365,000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5,668,753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Preferred stock, $0.001 par value, 10,000,000 shares authorized, no issued and outstanding at December 31, 2019 and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tcPr>
          <w:p>
            <w:pPr>
              <w:ind w:left="160"/>
              <w:spacing w:after="0" w:line="201" w:lineRule="exact"/>
              <w:rPr>
                <w:sz w:val="20"/>
                <w:szCs w:val="20"/>
                <w:color w:val="auto"/>
              </w:rPr>
            </w:pPr>
            <w:r>
              <w:rPr>
                <w:rFonts w:ascii="Arial" w:cs="Arial" w:eastAsia="Arial" w:hAnsi="Arial"/>
                <w:sz w:val="18"/>
                <w:szCs w:val="18"/>
                <w:color w:val="auto"/>
                <w:w w:val="94"/>
              </w:rPr>
              <w:t>Common stock, $0.001 par value, 500,000,000 shares authorized, 14,600,579 and 12,038,618 shares issued and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320"/>
              <w:spacing w:after="0"/>
              <w:rPr>
                <w:sz w:val="20"/>
                <w:szCs w:val="20"/>
                <w:color w:val="auto"/>
              </w:rPr>
            </w:pPr>
            <w:r>
              <w:rPr>
                <w:rFonts w:ascii="Arial" w:cs="Arial" w:eastAsia="Arial" w:hAnsi="Arial"/>
                <w:sz w:val="18"/>
                <w:szCs w:val="18"/>
                <w:color w:val="auto"/>
              </w:rPr>
              <w:t>outstanding at December 31, 2019 and 2018, respectively</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14,601</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12,039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paid-in-capital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78,272,268</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48,725,211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(33,424,610)</w:t>
            </w:r>
          </w:p>
        </w:tc>
        <w:tc>
          <w:tcPr>
            <w:tcW w:w="1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(30,278,805)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44,862,259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18,458,445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56,638,525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25,054,578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For the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For the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For the</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year ended</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1040" w:type="dxa"/>
            <w:vAlign w:val="bottom"/>
          </w:tcPr>
          <w:p>
            <w:pPr>
              <w:jc w:val="right"/>
              <w:ind w:right="311"/>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24,598,274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21,206,363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7,379,782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6,579,268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Cost of sales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9,158,699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8,999,666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2,906,933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2,485,855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15,439,575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12,206,697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4,472,849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4,093,413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2,260,298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2,520,852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490,578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798,866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1,282,787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316,502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536,859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153,085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Other general and administrative expenses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15,590,054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9,189,211</w:t>
            </w: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5,763,874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3,266,909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19,133,139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12,026,565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6,791,311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4,218,860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Income (loss) from operations</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(3,693,564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180,132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(2,318,462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(125,447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288,028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46,212</w:t>
            </w: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95,722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15,533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fair value of contingent consideration</w:t>
            </w: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(635,000)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(660,000)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other income</w:t>
            </w:r>
          </w:p>
        </w:tc>
        <w:tc>
          <w:tcPr>
            <w:tcW w:w="9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(346,972</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46,212</w:t>
            </w: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(564,278</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15,533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provision for income taxes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(4,040,536)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(2,882,740)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897,960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897,960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vMerge w:val="continue"/>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(3,142,576</w:t>
            </w:r>
          </w:p>
        </w:tc>
        <w:tc>
          <w:tcPr>
            <w:tcW w:w="140" w:type="dxa"/>
            <w:vAlign w:val="bottom"/>
            <w:vMerge w:val="continue"/>
            <w:shd w:val="clear" w:color="auto" w:fill="CCEEFF"/>
          </w:tcPr>
          <w:p>
            <w:pPr>
              <w:spacing w:after="0"/>
              <w:rPr>
                <w:sz w:val="21"/>
                <w:szCs w:val="21"/>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226,344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(1,984,780</w:t>
            </w:r>
          </w:p>
        </w:tc>
        <w:tc>
          <w:tcPr>
            <w:tcW w:w="140" w:type="dxa"/>
            <w:vAlign w:val="bottom"/>
            <w:vMerge w:val="continue"/>
            <w:shd w:val="clear" w:color="auto" w:fill="CCEEFF"/>
          </w:tcPr>
          <w:p>
            <w:pPr>
              <w:spacing w:after="0"/>
              <w:rPr>
                <w:sz w:val="21"/>
                <w:szCs w:val="21"/>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(109,914</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80" w:type="dxa"/>
            <w:vAlign w:val="bottom"/>
            <w:tcBorders>
              <w:bottom w:val="single" w:sz="8" w:color="CCEEFF"/>
            </w:tcBorders>
            <w:vMerge w:val="continue"/>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13,387,863</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10,832,209</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14,548,910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12,013,771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 diluted</w:t>
            </w: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13,387,863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11,862,991</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14,548,910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12,013,771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 basic</w:t>
            </w:r>
          </w:p>
        </w:tc>
        <w:tc>
          <w:tcPr>
            <w:tcW w:w="10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0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diluted</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(0.23</w:t>
            </w:r>
            <w:r>
              <w:rPr>
                <w:rFonts w:ascii="Arial" w:cs="Arial" w:eastAsia="Arial" w:hAnsi="Arial"/>
                <w:sz w:val="29"/>
                <w:szCs w:val="29"/>
                <w:color w:val="auto"/>
                <w:vertAlign w:val="superscript"/>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(0.14</w:t>
            </w:r>
            <w:r>
              <w:rPr>
                <w:rFonts w:ascii="Arial" w:cs="Arial" w:eastAsia="Arial" w:hAnsi="Arial"/>
                <w:sz w:val="29"/>
                <w:szCs w:val="29"/>
                <w:color w:val="auto"/>
                <w:vertAlign w:val="superscript"/>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2019 and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For the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year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7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for the period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(3,142,576)</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226,344</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1,282,787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316,502</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2,260,298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2,520,845</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(897,960)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Changes in: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(548,830)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(2,789,252)</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(343,838)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(319,754)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(83,319)</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(290,178)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730,810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(538,639)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226,535</w:t>
            </w:r>
          </w:p>
        </w:tc>
        <w:tc>
          <w:tcPr>
            <w:tcW w:w="0" w:type="dxa"/>
            <w:vAlign w:val="bottom"/>
          </w:tcPr>
          <w:p>
            <w:pPr>
              <w:spacing w:after="0"/>
              <w:rPr>
                <w:sz w:val="1"/>
                <w:szCs w:val="1"/>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(30,611)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(38,557)</w:t>
            </w:r>
          </w:p>
        </w:tc>
        <w:tc>
          <w:tcPr>
            <w:tcW w:w="0" w:type="dxa"/>
            <w:vAlign w:val="bottom"/>
          </w:tcPr>
          <w:p>
            <w:pPr>
              <w:spacing w:after="0"/>
              <w:rPr>
                <w:sz w:val="1"/>
                <w:szCs w:val="1"/>
                <w:color w:val="auto"/>
              </w:rPr>
            </w:pPr>
          </w:p>
        </w:tc>
      </w:tr>
      <w:tr>
        <w:trPr>
          <w:trHeight w:val="236"/>
        </w:trPr>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(1,660,796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54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INVESTING ACTIVITIES: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(34,362)</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Acquisition of intangible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(56,651)</w:t>
            </w:r>
          </w:p>
        </w:tc>
        <w:tc>
          <w:tcPr>
            <w:tcW w:w="0" w:type="dxa"/>
            <w:vAlign w:val="bottom"/>
          </w:tcPr>
          <w:p>
            <w:pPr>
              <w:spacing w:after="0"/>
              <w:rPr>
                <w:sz w:val="1"/>
                <w:szCs w:val="1"/>
                <w:color w:val="auto"/>
              </w:rPr>
            </w:pPr>
          </w:p>
        </w:tc>
      </w:tr>
      <w:tr>
        <w:trPr>
          <w:trHeight w:val="25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in acquisition, net of cash acquired</w:t>
            </w: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(8,994,369)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(5,595,820)</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12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(10,582,086</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(5,686,833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21,303,826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8,164,475</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877,702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521,264</w:t>
            </w:r>
          </w:p>
        </w:tc>
        <w:tc>
          <w:tcPr>
            <w:tcW w:w="0" w:type="dxa"/>
            <w:vAlign w:val="bottom"/>
          </w:tcPr>
          <w:p>
            <w:pPr>
              <w:spacing w:after="0"/>
              <w:rPr>
                <w:sz w:val="1"/>
                <w:szCs w:val="1"/>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8"/>
                <w:szCs w:val="18"/>
                <w:color w:val="auto"/>
              </w:rPr>
              <w:t>Redemption of common stock</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22,181,528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8,685,739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540" w:type="dxa"/>
            <w:vAlign w:val="bottom"/>
          </w:tcPr>
          <w:p>
            <w:pPr>
              <w:spacing w:after="0" w:line="203" w:lineRule="exact"/>
              <w:rPr>
                <w:sz w:val="20"/>
                <w:szCs w:val="20"/>
                <w:color w:val="auto"/>
              </w:rPr>
            </w:pPr>
            <w:r>
              <w:rPr>
                <w:rFonts w:ascii="Arial" w:cs="Arial" w:eastAsia="Arial" w:hAnsi="Arial"/>
                <w:sz w:val="18"/>
                <w:szCs w:val="18"/>
                <w:b w:val="1"/>
                <w:bCs w:val="1"/>
                <w:color w:val="auto"/>
              </w:rPr>
              <w:t>NET INCREASE IN CASH AND CASH EQUIVALENTS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9,938,646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3,791,461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8,914,034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5,122,573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540" w:type="dxa"/>
            <w:vAlign w:val="bottom"/>
            <w:vMerge w:val="continue"/>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18,852,680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8,914,034</w:t>
            </w:r>
          </w:p>
        </w:tc>
        <w:tc>
          <w:tcPr>
            <w:tcW w:w="0" w:type="dxa"/>
            <w:vAlign w:val="bottom"/>
          </w:tcPr>
          <w:p>
            <w:pPr>
              <w:spacing w:after="0"/>
              <w:rPr>
                <w:sz w:val="1"/>
                <w:szCs w:val="1"/>
                <w:color w:val="auto"/>
              </w:rPr>
            </w:pPr>
          </w:p>
        </w:tc>
      </w:tr>
      <w:tr>
        <w:trPr>
          <w:trHeight w:val="216"/>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54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income taxes</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54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stock warrants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1,286,424</w:t>
            </w:r>
          </w:p>
        </w:tc>
        <w:tc>
          <w:tcPr>
            <w:tcW w:w="0" w:type="dxa"/>
            <w:vAlign w:val="bottom"/>
          </w:tcPr>
          <w:p>
            <w:pPr>
              <w:spacing w:after="0"/>
              <w:rPr>
                <w:sz w:val="1"/>
                <w:szCs w:val="1"/>
                <w:color w:val="auto"/>
              </w:rPr>
            </w:pPr>
          </w:p>
        </w:tc>
      </w:tr>
      <w:tr>
        <w:trPr>
          <w:trHeight w:val="21"/>
        </w:trPr>
        <w:tc>
          <w:tcPr>
            <w:tcW w:w="75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Lease liabilities arising from right of use assets</w:t>
            </w: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vMerge w:val="continue"/>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672,809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Common stock issued for debt</w:t>
            </w: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540" w:type="dxa"/>
            <w:vAlign w:val="bottom"/>
            <w:vMerge w:val="restart"/>
          </w:tcPr>
          <w:p>
            <w:pPr>
              <w:ind w:left="180"/>
              <w:spacing w:after="0"/>
              <w:rPr>
                <w:sz w:val="20"/>
                <w:szCs w:val="20"/>
                <w:color w:val="auto"/>
              </w:rPr>
            </w:pPr>
            <w:r>
              <w:rPr>
                <w:rFonts w:ascii="Arial" w:cs="Arial" w:eastAsia="Arial" w:hAnsi="Arial"/>
                <w:sz w:val="18"/>
                <w:szCs w:val="18"/>
                <w:color w:val="auto"/>
              </w:rPr>
              <w:t>Shares issued in connection with acquisitions</w:t>
            </w:r>
          </w:p>
        </w:tc>
        <w:tc>
          <w:tcPr>
            <w:tcW w:w="13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vMerge w:val="continue"/>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Non-cash effect of cumulative adjustments to accumulated deficit</w:t>
            </w: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ind w:left="180"/>
              <w:spacing w:after="0"/>
              <w:rPr>
                <w:sz w:val="20"/>
                <w:szCs w:val="20"/>
                <w:color w:val="auto"/>
              </w:rPr>
            </w:pPr>
            <w:r>
              <w:rPr>
                <w:rFonts w:ascii="Arial" w:cs="Arial" w:eastAsia="Arial" w:hAnsi="Arial"/>
                <w:sz w:val="18"/>
                <w:szCs w:val="18"/>
                <w:b w:val="1"/>
                <w:bCs w:val="1"/>
                <w:color w:val="auto"/>
              </w:rPr>
              <w:t>For the Three Months</w:t>
            </w:r>
          </w:p>
        </w:tc>
        <w:tc>
          <w:tcPr>
            <w:tcW w:w="220" w:type="dxa"/>
            <w:vAlign w:val="bottom"/>
          </w:tcPr>
          <w:p>
            <w:pPr>
              <w:spacing w:after="0"/>
              <w:rPr>
                <w:sz w:val="18"/>
                <w:szCs w:val="18"/>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3"/>
              </w:rPr>
              <w:t>For the Year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ind w:left="240"/>
              <w:spacing w:after="0"/>
              <w:rPr>
                <w:sz w:val="20"/>
                <w:szCs w:val="20"/>
                <w:color w:val="auto"/>
              </w:rPr>
            </w:pPr>
            <w:r>
              <w:rPr>
                <w:rFonts w:ascii="Arial" w:cs="Arial" w:eastAsia="Arial" w:hAnsi="Arial"/>
                <w:sz w:val="18"/>
                <w:szCs w:val="18"/>
                <w:b w:val="1"/>
                <w:bCs w:val="1"/>
                <w:color w:val="auto"/>
              </w:rPr>
              <w:t>Ended December 31,</w:t>
            </w:r>
          </w:p>
        </w:tc>
        <w:tc>
          <w:tcPr>
            <w:tcW w:w="220" w:type="dxa"/>
            <w:vAlign w:val="bottom"/>
          </w:tcPr>
          <w:p>
            <w:pPr>
              <w:spacing w:after="0"/>
              <w:rPr>
                <w:sz w:val="20"/>
                <w:szCs w:val="20"/>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(1,987,780)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(3,142,576)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536,859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153,085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1,282,787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316,502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490,578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798,866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2,260,298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2,520,852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Acquisition expenses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799,623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607,670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799,623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607,670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or loss related to the fair value of contingent consideration</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635,000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(897,960)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(897,960)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Non-GAAP net income (loss)</w:t>
            </w:r>
          </w:p>
        </w:tc>
        <w:tc>
          <w:tcPr>
            <w:tcW w:w="6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20" w:type="dxa"/>
            <w:vAlign w:val="bottom"/>
            <w:vMerge w:val="continue"/>
            <w:shd w:val="clear" w:color="auto" w:fill="CCEEFF"/>
          </w:tcPr>
          <w:p>
            <w:pPr>
              <w:spacing w:after="0"/>
              <w:rPr>
                <w:sz w:val="21"/>
                <w:szCs w:val="21"/>
                <w:color w:val="auto"/>
              </w:rPr>
            </w:pPr>
          </w:p>
        </w:tc>
        <w:tc>
          <w:tcPr>
            <w:tcW w:w="8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(398,680</w:t>
            </w:r>
          </w:p>
        </w:tc>
        <w:tc>
          <w:tcPr>
            <w:tcW w:w="140" w:type="dxa"/>
            <w:vAlign w:val="bottom"/>
            <w:vMerge w:val="continue"/>
            <w:shd w:val="clear" w:color="auto" w:fill="CCEEFF"/>
          </w:tcPr>
          <w:p>
            <w:pPr>
              <w:spacing w:after="0"/>
              <w:rPr>
                <w:sz w:val="21"/>
                <w:szCs w:val="21"/>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1,449,707</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937,172</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3,671,368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 per share</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Basic</w:t>
            </w:r>
          </w:p>
        </w:tc>
        <w:tc>
          <w:tcPr>
            <w:tcW w:w="8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(0.03</w:t>
            </w:r>
            <w:r>
              <w:rPr>
                <w:rFonts w:ascii="Arial" w:cs="Arial" w:eastAsia="Arial" w:hAnsi="Arial"/>
                <w:sz w:val="29"/>
                <w:szCs w:val="29"/>
                <w:color w:val="auto"/>
                <w:vertAlign w:val="superscript"/>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44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14,548,910</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12,013,771</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13,387,863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10,832,209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14,548,910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13,217,534</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14,279,087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11,862,991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2020-02-28T07:33:16Z</dcterms:created>
  <dcterms:modified xsi:type="dcterms:W3CDTF">2020-02-28T07:33:16Z</dcterms:modified>
</cp:coreProperties>
</file>