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rPr>
              <w:t>FORM 8-K</w:t>
            </w:r>
          </w:p>
        </w:tc>
        <w:tc>
          <w:tcPr>
            <w:tcW w:w="300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w w:val="99"/>
              </w:rPr>
              <w:t>CURRENT REPORT</w:t>
            </w:r>
          </w:p>
        </w:tc>
        <w:tc>
          <w:tcPr>
            <w:tcW w:w="300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20" w:type="dxa"/>
            <w:vAlign w:val="bottom"/>
            <w:gridSpan w:val="6"/>
          </w:tcPr>
          <w:p>
            <w:pPr>
              <w:jc w:val="center"/>
              <w:ind w:right="900"/>
              <w:spacing w:after="0"/>
              <w:rPr>
                <w:sz w:val="20"/>
                <w:szCs w:val="20"/>
                <w:color w:val="auto"/>
              </w:rPr>
            </w:pPr>
            <w:r>
              <w:rPr>
                <w:rFonts w:ascii="Arial" w:cs="Arial" w:eastAsia="Arial" w:hAnsi="Arial"/>
                <w:sz w:val="18"/>
                <w:szCs w:val="18"/>
                <w:b w:val="1"/>
                <w:bCs w:val="1"/>
                <w:color w:val="auto"/>
                <w:w w:val="97"/>
              </w:rPr>
              <w:t>PURSUANT TO SECTION 13 OR 15(d) OF</w:t>
            </w:r>
          </w:p>
        </w:tc>
        <w:tc>
          <w:tcPr>
            <w:tcW w:w="300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6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00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5280" w:type="dxa"/>
            <w:vAlign w:val="bottom"/>
            <w:gridSpan w:val="8"/>
          </w:tcPr>
          <w:p>
            <w:pPr>
              <w:jc w:val="center"/>
              <w:ind w:right="140"/>
              <w:spacing w:after="0"/>
              <w:rPr>
                <w:sz w:val="20"/>
                <w:szCs w:val="20"/>
                <w:color w:val="auto"/>
              </w:rPr>
            </w:pPr>
            <w:r>
              <w:rPr>
                <w:rFonts w:ascii="Arial" w:cs="Arial" w:eastAsia="Arial" w:hAnsi="Arial"/>
                <w:sz w:val="18"/>
                <w:szCs w:val="18"/>
                <w:color w:val="auto"/>
                <w:w w:val="91"/>
              </w:rPr>
              <w:t>Date of Report (Date of earliest event reported): May 9, 2018</w:t>
            </w:r>
          </w:p>
        </w:tc>
        <w:tc>
          <w:tcPr>
            <w:tcW w:w="3000" w:type="dxa"/>
            <w:vAlign w:val="bottom"/>
          </w:tcPr>
          <w:p>
            <w:pPr>
              <w:spacing w:after="0"/>
              <w:rPr>
                <w:sz w:val="24"/>
                <w:szCs w:val="24"/>
                <w:color w:val="auto"/>
              </w:rPr>
            </w:pPr>
          </w:p>
        </w:tc>
      </w:tr>
      <w:tr>
        <w:trPr>
          <w:trHeight w:val="392"/>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800" w:type="dxa"/>
            <w:vAlign w:val="bottom"/>
            <w:gridSpan w:val="4"/>
          </w:tcPr>
          <w:p>
            <w:pPr>
              <w:spacing w:after="0"/>
              <w:rPr>
                <w:sz w:val="24"/>
                <w:szCs w:val="24"/>
                <w:color w:val="auto"/>
              </w:rPr>
            </w:pPr>
          </w:p>
        </w:tc>
        <w:tc>
          <w:tcPr>
            <w:tcW w:w="3000" w:type="dxa"/>
            <w:vAlign w:val="bottom"/>
          </w:tcPr>
          <w:p>
            <w:pPr>
              <w:spacing w:after="0"/>
              <w:rPr>
                <w:sz w:val="24"/>
                <w:szCs w:val="24"/>
                <w:color w:val="auto"/>
              </w:rPr>
            </w:pPr>
          </w:p>
        </w:tc>
      </w:tr>
      <w:tr>
        <w:trPr>
          <w:trHeight w:val="237"/>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60" w:type="dxa"/>
            <w:vAlign w:val="bottom"/>
            <w:gridSpan w:val="7"/>
          </w:tcPr>
          <w:p>
            <w:pPr>
              <w:jc w:val="center"/>
              <w:ind w:right="640"/>
              <w:spacing w:after="0"/>
              <w:rPr>
                <w:sz w:val="20"/>
                <w:szCs w:val="20"/>
                <w:color w:val="auto"/>
              </w:rPr>
            </w:pPr>
            <w:r>
              <w:rPr>
                <w:rFonts w:ascii="Arial" w:cs="Arial" w:eastAsia="Arial" w:hAnsi="Arial"/>
                <w:sz w:val="18"/>
                <w:szCs w:val="18"/>
                <w:color w:val="auto"/>
                <w:w w:val="90"/>
              </w:rPr>
              <w:t>(Exact name of registrant as specified in its charter)</w:t>
            </w:r>
          </w:p>
        </w:tc>
        <w:tc>
          <w:tcPr>
            <w:tcW w:w="3000" w:type="dxa"/>
            <w:vAlign w:val="bottom"/>
          </w:tcPr>
          <w:p>
            <w:pPr>
              <w:spacing w:after="0"/>
              <w:rPr>
                <w:sz w:val="20"/>
                <w:szCs w:val="20"/>
                <w:color w:val="auto"/>
              </w:rPr>
            </w:pPr>
          </w:p>
        </w:tc>
      </w:tr>
      <w:tr>
        <w:trPr>
          <w:trHeight w:val="453"/>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90"/>
              </w:rPr>
              <w:t>Nevada</w:t>
            </w:r>
          </w:p>
        </w:tc>
        <w:tc>
          <w:tcPr>
            <w:tcW w:w="3480" w:type="dxa"/>
            <w:vAlign w:val="bottom"/>
            <w:gridSpan w:val="4"/>
          </w:tcPr>
          <w:p>
            <w:pPr>
              <w:jc w:val="center"/>
              <w:ind w:left="161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02"/>
        </w:trPr>
        <w:tc>
          <w:tcPr>
            <w:tcW w:w="3140" w:type="dxa"/>
            <w:vAlign w:val="bottom"/>
            <w:tcBorders>
              <w:top w:val="single" w:sz="8" w:color="auto"/>
            </w:tcBorders>
          </w:tcPr>
          <w:p>
            <w:pPr>
              <w:jc w:val="center"/>
              <w:ind w:left="390"/>
              <w:spacing w:after="0" w:line="201" w:lineRule="exact"/>
              <w:rPr>
                <w:sz w:val="20"/>
                <w:szCs w:val="20"/>
                <w:color w:val="auto"/>
              </w:rPr>
            </w:pPr>
            <w:r>
              <w:rPr>
                <w:rFonts w:ascii="Arial" w:cs="Arial" w:eastAsia="Arial" w:hAnsi="Arial"/>
                <w:sz w:val="18"/>
                <w:szCs w:val="18"/>
                <w:color w:val="auto"/>
                <w:w w:val="92"/>
              </w:rPr>
              <w:t>(State or other jurisdiction</w:t>
            </w: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tcPr>
          <w:p>
            <w:pPr>
              <w:jc w:val="center"/>
              <w:ind w:right="6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95"/>
              </w:rPr>
              <w:t>of incorporation)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0" w:type="dxa"/>
            <w:vAlign w:val="bottom"/>
          </w:tcPr>
          <w:p>
            <w:pPr>
              <w:jc w:val="center"/>
              <w:ind w:right="57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420" w:type="dxa"/>
            <w:vAlign w:val="bottom"/>
            <w:gridSpan w:val="9"/>
          </w:tcPr>
          <w:p>
            <w:pPr>
              <w:jc w:val="center"/>
              <w:ind w:right="880"/>
              <w:spacing w:after="0"/>
              <w:rPr>
                <w:sz w:val="20"/>
                <w:szCs w:val="20"/>
                <w:color w:val="auto"/>
              </w:rPr>
            </w:pPr>
            <w:r>
              <w:rPr>
                <w:rFonts w:ascii="Arial" w:cs="Arial" w:eastAsia="Arial" w:hAnsi="Arial"/>
                <w:sz w:val="18"/>
                <w:szCs w:val="18"/>
                <w:color w:val="auto"/>
                <w:w w:val="90"/>
              </w:rPr>
              <w:t>400 Water Street, Suite 200, Rochester, MI</w:t>
            </w:r>
          </w:p>
        </w:tc>
        <w:tc>
          <w:tcPr>
            <w:tcW w:w="300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tcPr>
          <w:p>
            <w:pPr>
              <w:jc w:val="center"/>
              <w:ind w:right="55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289560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9, 2018, we issued a press release about our invitation to participate at B. Riley FBR’s 19th Annual Institutional Investor Conference being held on May 23-24, 2018 at the Loews Santa Monica Beach Hotel in California. A copy of the press release is attached as Exhibit 99.1 to this Current Report on Form 8-K.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6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9, 2018</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148590</wp:posOffset>
            </wp:positionV>
            <wp:extent cx="2263775"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637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Participate at B. Riley FBR’s 19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Annual Institutional Investor Conference on May 23-24, 2018</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Mich., (May 9, 2018)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(OTCQB: OPRX), the nation’s leading provider of digital health messaging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industry, has been invited to participate at B. Riley FBR’s 19th Annual Institutional Investor Conference being held on May 23-24, 2018 at the Loews Santa Monica Beach Hotel in California.</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OptimizeRx CEO William Febbo is scheduled to participate in one-on-one meetings with institutional investors and analysts. He will discuss OptimizeRx’s </w:t>
      </w:r>
      <w:r>
        <w:rPr>
          <w:rFonts w:ascii="Arial" w:cs="Arial" w:eastAsia="Arial" w:hAnsi="Arial"/>
          <w:sz w:val="18"/>
          <w:szCs w:val="18"/>
          <w:u w:val="single" w:color="auto"/>
          <w:color w:val="auto"/>
        </w:rPr>
        <w:t>record Q1 results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expanded exclusive partnership</w:t>
      </w:r>
      <w:r>
        <w:rPr>
          <w:rFonts w:ascii="Arial" w:cs="Arial" w:eastAsia="Arial" w:hAnsi="Arial"/>
          <w:sz w:val="18"/>
          <w:szCs w:val="18"/>
          <w:color w:val="auto"/>
        </w:rPr>
        <w:t xml:space="preserve"> with Allscripts. Febbo will also discuss the company’s growing electronic health record and electronic e-prescription network that reaches more than half of the ambulatory market in the U.S.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 Riley Conference will feature presentations from over 250 publicly traded companies and privately-held firms to showcase their stories in front of over 1,000 institutional investors, corporate clients and high net worth individuals.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For more information about the conference or to schedule a one-on-one meeting with OptimizeRx, please contact your B. Riley representative or e-mail at </w:t>
      </w:r>
      <w:r>
        <w:rPr>
          <w:rFonts w:ascii="Arial" w:cs="Arial" w:eastAsia="Arial" w:hAnsi="Arial"/>
          <w:sz w:val="18"/>
          <w:szCs w:val="18"/>
          <w:u w:val="single" w:color="auto"/>
          <w:color w:val="auto"/>
        </w:rPr>
        <w:t>1on1@brileyfbr.com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 Riley FBR</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B. Riley FBR, Inc. is a leading investment bank which provides corporate finance, research and sales and trading to corporate, institutional and high net worth individual clients. Investment banking services include initial secondary and follow-on offerings, institutional private placements and merger and acquisitions advisory services. The firm is nationally recognized for its highly ranked proprietary equity research. For more information about B. Riley FBR, visit </w:t>
      </w:r>
      <w:r>
        <w:rPr>
          <w:rFonts w:ascii="Arial" w:cs="Arial" w:eastAsia="Arial" w:hAnsi="Arial"/>
          <w:sz w:val="18"/>
          <w:szCs w:val="18"/>
          <w:u w:val="single" w:color="auto"/>
          <w:color w:val="auto"/>
        </w:rPr>
        <w:t>brileyfbr.com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OptimizeRx®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education, and critical clinical information. The company’s network is comprised of leading EHR platforms like Allscripts, Amazing Charts and Quest, and provides more than half of the ambulatory market access to these benefits within their workflow at the point of care. For more information, follow the company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LinkedIn</w:t>
      </w:r>
      <w:r>
        <w:rPr>
          <w:rFonts w:ascii="Arial" w:cs="Arial" w:eastAsia="Arial" w:hAnsi="Arial"/>
          <w:sz w:val="17"/>
          <w:szCs w:val="17"/>
          <w:color w:val="auto"/>
        </w:rPr>
        <w:t xml:space="preserve"> or visit </w:t>
      </w:r>
      <w:r>
        <w:rPr>
          <w:rFonts w:ascii="Arial" w:cs="Arial" w:eastAsia="Arial" w:hAnsi="Arial"/>
          <w:sz w:val="17"/>
          <w:szCs w:val="17"/>
          <w:u w:val="single" w:color="auto"/>
          <w:color w:val="auto"/>
        </w:rPr>
        <w:t>www.optimizerx.com</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2019-12-28T22:30:27Z</dcterms:created>
  <dcterms:modified xsi:type="dcterms:W3CDTF">2019-12-28T22:30:27Z</dcterms:modified>
</cp:coreProperties>
</file>