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200" w:type="dxa"/>
            <w:vAlign w:val="bottom"/>
            <w:gridSpan w:val="9"/>
          </w:tcPr>
          <w:p>
            <w:pPr>
              <w:jc w:val="center"/>
              <w:ind w:left="150"/>
              <w:spacing w:after="0"/>
              <w:rPr>
                <w:sz w:val="20"/>
                <w:szCs w:val="20"/>
                <w:color w:val="auto"/>
              </w:rPr>
            </w:pPr>
            <w:r>
              <w:rPr>
                <w:rFonts w:ascii="Arial" w:cs="Arial" w:eastAsia="Arial" w:hAnsi="Arial"/>
                <w:sz w:val="18"/>
                <w:szCs w:val="18"/>
                <w:color w:val="auto"/>
                <w:w w:val="90"/>
              </w:rPr>
              <w:t>Date of Report (Date of earliest event reported): September 12, 2017</w:t>
            </w:r>
          </w:p>
        </w:tc>
        <w:tc>
          <w:tcPr>
            <w:tcW w:w="3220" w:type="dxa"/>
            <w:vAlign w:val="bottom"/>
          </w:tcPr>
          <w:p>
            <w:pPr>
              <w:spacing w:after="0"/>
              <w:rPr>
                <w:sz w:val="24"/>
                <w:szCs w:val="24"/>
                <w:color w:val="auto"/>
              </w:rPr>
            </w:pPr>
          </w:p>
        </w:tc>
      </w:tr>
      <w:tr>
        <w:trPr>
          <w:trHeight w:val="392"/>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39"/>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0"/>
              </w:rPr>
              <w:t>Nevada</w:t>
            </w:r>
          </w:p>
        </w:tc>
        <w:tc>
          <w:tcPr>
            <w:tcW w:w="3620" w:type="dxa"/>
            <w:vAlign w:val="bottom"/>
            <w:gridSpan w:val="6"/>
          </w:tcPr>
          <w:p>
            <w:pPr>
              <w:jc w:val="center"/>
              <w:ind w:left="17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0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5"/>
              </w:rPr>
              <w:t>of incorporation)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289560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September 12, 2017, we issued a press release concerning our invitation to present at the Dougherty &amp; Company Institutional Investor Conference being held on September 19, 2017 at the Millennium Hotel in Minneapolis.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September 13, 2017</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165735</wp:posOffset>
            </wp:positionV>
            <wp:extent cx="2787015" cy="69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701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111111"/>
        </w:rPr>
        <w:t>OptimizeRx to Present at Dougherty &amp; Company Institutional Investor Conference on September 19, 2017</w:t>
      </w:r>
    </w:p>
    <w:p>
      <w:pPr>
        <w:spacing w:after="0" w:line="22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Rochester, MI (September 12, 2017) </w:t>
      </w:r>
      <w:r>
        <w:rPr>
          <w:rFonts w:ascii="Arial" w:cs="Arial" w:eastAsia="Arial" w:hAnsi="Arial"/>
          <w:sz w:val="18"/>
          <w:szCs w:val="18"/>
          <w:u w:val="single" w:color="auto"/>
          <w:color w:val="auto"/>
        </w:rPr>
        <w:t>OptimizeRx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(OTCQB: OPRX), a leader in the electronic distribution of co-pay discount coupons and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information through electronic healthcare records (EHR) and e-prescriptions (eRx), has been invited to present at the Dougherty &amp; Company Institutional Investor Conference being held on September 19, 2017 at the Millennium Hotel in Minneapolis.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William J. Febbo, CEO of OptimizeRx, is scheduled to present on Tuesday, September 19 at 3:00 p.m. Central time, and participate in one-on-one meetings with institutional analysts and investors the same day.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CEO will present the OptimizeRx digital health platform, the industry's largest point-of-prescribe promotional network, with more than 370 EHR partners reaching over 500,000 health care providers. Working in partnership with some of the world's largest pharmaceutical and health care companies, OptimizeRx been revolutionizing the point-of-care for physicians and their patients. The expansion of the OptimizeRx EHR network in Q2 2017 resulted in a 50% increase in revenue to a record $2.9 million.</w:t>
      </w:r>
    </w:p>
    <w:p>
      <w:pPr>
        <w:spacing w:after="0" w:line="187" w:lineRule="exact"/>
        <w:rPr>
          <w:sz w:val="20"/>
          <w:szCs w:val="20"/>
          <w:color w:val="auto"/>
        </w:rPr>
      </w:pPr>
    </w:p>
    <w:p>
      <w:pPr>
        <w:ind w:right="2120"/>
        <w:spacing w:after="0" w:line="277" w:lineRule="auto"/>
        <w:rPr>
          <w:sz w:val="20"/>
          <w:szCs w:val="20"/>
          <w:color w:val="auto"/>
        </w:rPr>
      </w:pPr>
      <w:r>
        <w:rPr>
          <w:rFonts w:ascii="Arial" w:cs="Arial" w:eastAsia="Arial" w:hAnsi="Arial"/>
          <w:sz w:val="18"/>
          <w:szCs w:val="18"/>
          <w:color w:val="auto"/>
        </w:rPr>
        <w:t xml:space="preserve">For those interested in scheduling a meeting with OptimizeRx, please contact your Dougherty &amp; Company representative or visit </w:t>
      </w:r>
      <w:r>
        <w:rPr>
          <w:rFonts w:ascii="Arial" w:cs="Arial" w:eastAsia="Arial" w:hAnsi="Arial"/>
          <w:sz w:val="18"/>
          <w:szCs w:val="18"/>
          <w:u w:val="single" w:color="auto"/>
          <w:color w:val="auto"/>
        </w:rPr>
        <w:t>www.doughertymarkets.com/ecm-conference-home/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Merck, Lilly, Novartis, AstraZeneca and many others. For more information,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2019-12-29T04:45:31Z</dcterms:created>
  <dcterms:modified xsi:type="dcterms:W3CDTF">2019-12-29T04:45:31Z</dcterms:modified>
</cp:coreProperties>
</file>