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620" w:hanging="51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UNDER SECTION 13 OR 15(d) OF THE SECURITIES EXCHANGE ACT OF 1934</w:t>
      </w:r>
    </w:p>
    <w:p>
      <w:pPr>
        <w:spacing w:after="0" w:line="248" w:lineRule="exact"/>
        <w:rPr>
          <w:sz w:val="24"/>
          <w:szCs w:val="24"/>
          <w:color w:val="auto"/>
        </w:rPr>
      </w:pPr>
    </w:p>
    <w:p>
      <w:pPr>
        <w:ind w:left="690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color w:val="auto"/>
        </w:rPr>
        <w:t>December 31, 2013</w:t>
      </w:r>
    </w:p>
    <w:p>
      <w:pPr>
        <w:spacing w:after="0" w:line="283" w:lineRule="exact"/>
        <w:rPr>
          <w:sz w:val="24"/>
          <w:szCs w:val="24"/>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UNDER SECTION 13 OR 15(d) OF THE SECURITIES EXCHANGE ACT OF 1934</w:t>
      </w:r>
    </w:p>
    <w:p>
      <w:pPr>
        <w:spacing w:after="0" w:line="252" w:lineRule="exact"/>
        <w:rPr>
          <w:sz w:val="24"/>
          <w:szCs w:val="24"/>
          <w:color w:val="auto"/>
        </w:rPr>
      </w:pPr>
    </w:p>
    <w:p>
      <w:pPr>
        <w:ind w:left="6240"/>
        <w:spacing w:after="0"/>
        <w:rPr>
          <w:sz w:val="20"/>
          <w:szCs w:val="20"/>
          <w:color w:val="auto"/>
        </w:rPr>
      </w:pPr>
      <w:r>
        <w:rPr>
          <w:rFonts w:ascii="Arial" w:cs="Arial" w:eastAsia="Arial" w:hAnsi="Arial"/>
          <w:sz w:val="18"/>
          <w:szCs w:val="18"/>
          <w:color w:val="auto"/>
        </w:rPr>
        <w:t>For the transition period from _________ to ________</w:t>
      </w:r>
    </w:p>
    <w:p>
      <w:pPr>
        <w:spacing w:after="0" w:line="275" w:lineRule="exact"/>
        <w:rPr>
          <w:sz w:val="24"/>
          <w:szCs w:val="24"/>
          <w:color w:val="auto"/>
        </w:rPr>
      </w:pPr>
    </w:p>
    <w:p>
      <w:pPr>
        <w:ind w:left="75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000-53605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Nevada</w:t>
            </w:r>
          </w:p>
        </w:tc>
        <w:tc>
          <w:tcPr>
            <w:tcW w:w="2840" w:type="dxa"/>
            <w:vAlign w:val="bottom"/>
            <w:gridSpan w:val="3"/>
          </w:tcPr>
          <w:p>
            <w:pPr>
              <w:spacing w:after="0"/>
              <w:rPr>
                <w:sz w:val="17"/>
                <w:szCs w:val="17"/>
                <w:color w:val="auto"/>
              </w:rPr>
            </w:pPr>
          </w:p>
        </w:tc>
        <w:tc>
          <w:tcPr>
            <w:tcW w:w="31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26-1265381</w:t>
            </w:r>
          </w:p>
        </w:tc>
        <w:tc>
          <w:tcPr>
            <w:tcW w:w="1040" w:type="dxa"/>
            <w:vAlign w:val="bottom"/>
          </w:tcPr>
          <w:p>
            <w:pPr>
              <w:spacing w:after="0"/>
              <w:rPr>
                <w:sz w:val="17"/>
                <w:szCs w:val="17"/>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900" w:type="dxa"/>
            <w:vAlign w:val="bottom"/>
            <w:gridSpan w:val="9"/>
          </w:tcPr>
          <w:p>
            <w:pPr>
              <w:jc w:val="center"/>
              <w:ind w:right="3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60" w:type="dxa"/>
            <w:vAlign w:val="bottom"/>
            <w:gridSpan w:val="7"/>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9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0"/>
              </w:rPr>
              <w:t>400 Water Street, Ste. 200</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4"/>
        </w:trPr>
        <w:tc>
          <w:tcPr>
            <w:tcW w:w="2220" w:type="dxa"/>
            <w:vAlign w:val="bottom"/>
          </w:tcPr>
          <w:p>
            <w:pPr>
              <w:spacing w:after="0"/>
              <w:rPr>
                <w:sz w:val="16"/>
                <w:szCs w:val="16"/>
                <w:color w:val="auto"/>
              </w:rPr>
            </w:pPr>
          </w:p>
        </w:tc>
        <w:tc>
          <w:tcPr>
            <w:tcW w:w="3680" w:type="dxa"/>
            <w:vAlign w:val="bottom"/>
            <w:gridSpan w:val="8"/>
          </w:tcPr>
          <w:p>
            <w:pPr>
              <w:jc w:val="center"/>
              <w:ind w:right="2600"/>
              <w:spacing w:after="0" w:line="194" w:lineRule="exact"/>
              <w:rPr>
                <w:sz w:val="20"/>
                <w:szCs w:val="20"/>
                <w:color w:val="auto"/>
              </w:rPr>
            </w:pPr>
            <w:r>
              <w:rPr>
                <w:rFonts w:ascii="Arial" w:cs="Arial" w:eastAsia="Arial" w:hAnsi="Arial"/>
                <w:sz w:val="18"/>
                <w:szCs w:val="18"/>
                <w:b w:val="1"/>
                <w:bCs w:val="1"/>
                <w:color w:val="auto"/>
                <w:w w:val="91"/>
              </w:rPr>
              <w:t>Rochester, MI</w:t>
            </w:r>
          </w:p>
        </w:tc>
        <w:tc>
          <w:tcPr>
            <w:tcW w:w="3000" w:type="dxa"/>
            <w:vAlign w:val="bottom"/>
            <w:gridSpan w:val="5"/>
          </w:tcPr>
          <w:p>
            <w:pPr>
              <w:jc w:val="right"/>
              <w:ind w:right="200"/>
              <w:spacing w:after="0" w:line="194" w:lineRule="exact"/>
              <w:rPr>
                <w:sz w:val="20"/>
                <w:szCs w:val="20"/>
                <w:color w:val="auto"/>
              </w:rPr>
            </w:pPr>
            <w:r>
              <w:rPr>
                <w:rFonts w:ascii="Arial" w:cs="Arial" w:eastAsia="Arial" w:hAnsi="Arial"/>
                <w:sz w:val="18"/>
                <w:szCs w:val="18"/>
                <w:b w:val="1"/>
                <w:bCs w:val="1"/>
                <w:color w:val="auto"/>
              </w:rPr>
              <w:t>48307</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900" w:type="dxa"/>
            <w:vAlign w:val="bottom"/>
            <w:gridSpan w:val="9"/>
          </w:tcPr>
          <w:p>
            <w:pPr>
              <w:jc w:val="center"/>
              <w:ind w:right="36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5"/>
          </w:tcPr>
          <w:p>
            <w:pPr>
              <w:jc w:val="center"/>
              <w:ind w:right="1160"/>
              <w:spacing w:after="0"/>
              <w:rPr>
                <w:sz w:val="20"/>
                <w:szCs w:val="20"/>
                <w:color w:val="auto"/>
              </w:rPr>
            </w:pPr>
            <w:r>
              <w:rPr>
                <w:rFonts w:ascii="Arial" w:cs="Arial" w:eastAsia="Arial" w:hAnsi="Arial"/>
                <w:sz w:val="18"/>
                <w:szCs w:val="18"/>
                <w:color w:val="auto"/>
                <w:w w:val="91"/>
              </w:rPr>
              <w:t>(Zip Code)</w:t>
            </w:r>
          </w:p>
        </w:tc>
      </w:tr>
      <w:tr>
        <w:trPr>
          <w:trHeight w:val="392"/>
        </w:trPr>
        <w:tc>
          <w:tcPr>
            <w:tcW w:w="5900" w:type="dxa"/>
            <w:vAlign w:val="bottom"/>
            <w:gridSpan w:val="9"/>
          </w:tcPr>
          <w:p>
            <w:pP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color w:val="auto"/>
              </w:rPr>
              <w:t>248-651-6568</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230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5900" w:type="dxa"/>
            <w:vAlign w:val="bottom"/>
            <w:gridSpan w:val="9"/>
          </w:tcPr>
          <w:p>
            <w:pPr>
              <w:spacing w:after="0"/>
              <w:rPr>
                <w:sz w:val="20"/>
                <w:szCs w:val="20"/>
                <w:color w:val="auto"/>
              </w:rPr>
            </w:pPr>
            <w:r>
              <w:rPr>
                <w:rFonts w:ascii="Arial" w:cs="Arial" w:eastAsia="Arial" w:hAnsi="Arial"/>
                <w:sz w:val="18"/>
                <w:szCs w:val="18"/>
                <w:color w:val="auto"/>
              </w:rPr>
              <w:t>Securities registered under Section 12(b) of the Exchange Act:</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1"/>
        </w:trPr>
        <w:tc>
          <w:tcPr>
            <w:tcW w:w="5900" w:type="dxa"/>
            <w:vAlign w:val="bottom"/>
            <w:gridSpan w:val="9"/>
          </w:tcPr>
          <w:p>
            <w:pPr>
              <w:jc w:val="center"/>
              <w:ind w:right="360"/>
              <w:spacing w:after="0"/>
              <w:rPr>
                <w:sz w:val="20"/>
                <w:szCs w:val="20"/>
                <w:color w:val="auto"/>
              </w:rPr>
            </w:pPr>
            <w:r>
              <w:rPr>
                <w:rFonts w:ascii="Arial" w:cs="Arial" w:eastAsia="Arial" w:hAnsi="Arial"/>
                <w:sz w:val="18"/>
                <w:szCs w:val="18"/>
                <w:color w:val="auto"/>
                <w:w w:val="90"/>
              </w:rPr>
              <w:t>Title of each class</w:t>
            </w:r>
          </w:p>
        </w:tc>
        <w:tc>
          <w:tcPr>
            <w:tcW w:w="4160" w:type="dxa"/>
            <w:vAlign w:val="bottom"/>
            <w:gridSpan w:val="7"/>
          </w:tcPr>
          <w:p>
            <w:pPr>
              <w:jc w:val="center"/>
              <w:ind w:left="890"/>
              <w:spacing w:after="0"/>
              <w:rPr>
                <w:sz w:val="20"/>
                <w:szCs w:val="20"/>
                <w:color w:val="auto"/>
              </w:rPr>
            </w:pPr>
            <w:r>
              <w:rPr>
                <w:rFonts w:ascii="Arial" w:cs="Arial" w:eastAsia="Arial" w:hAnsi="Arial"/>
                <w:sz w:val="18"/>
                <w:szCs w:val="18"/>
                <w:color w:val="auto"/>
                <w:w w:val="89"/>
              </w:rPr>
              <w:t>Name of each exchange on which registered</w:t>
            </w:r>
          </w:p>
        </w:tc>
      </w:tr>
      <w:tr>
        <w:trPr>
          <w:trHeight w:val="194"/>
        </w:trPr>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5"/>
          </w:tcPr>
          <w:p>
            <w:pPr>
              <w:jc w:val="center"/>
              <w:ind w:right="2960"/>
              <w:spacing w:after="0" w:line="194" w:lineRule="exact"/>
              <w:rPr>
                <w:sz w:val="20"/>
                <w:szCs w:val="20"/>
                <w:color w:val="auto"/>
              </w:rPr>
            </w:pPr>
            <w:r>
              <w:rPr>
                <w:rFonts w:ascii="Arial" w:cs="Arial" w:eastAsia="Arial" w:hAnsi="Arial"/>
                <w:sz w:val="18"/>
                <w:szCs w:val="18"/>
                <w:b w:val="1"/>
                <w:bCs w:val="1"/>
                <w:color w:val="auto"/>
                <w:w w:val="83"/>
              </w:rPr>
              <w:t>none</w:t>
            </w:r>
          </w:p>
        </w:tc>
        <w:tc>
          <w:tcPr>
            <w:tcW w:w="4160" w:type="dxa"/>
            <w:vAlign w:val="bottom"/>
            <w:gridSpan w:val="7"/>
          </w:tcPr>
          <w:p>
            <w:pPr>
              <w:jc w:val="center"/>
              <w:ind w:left="890"/>
              <w:spacing w:after="0" w:line="194" w:lineRule="exact"/>
              <w:rPr>
                <w:sz w:val="20"/>
                <w:szCs w:val="20"/>
                <w:color w:val="auto"/>
              </w:rPr>
            </w:pPr>
            <w:r>
              <w:rPr>
                <w:rFonts w:ascii="Arial" w:cs="Arial" w:eastAsia="Arial" w:hAnsi="Arial"/>
                <w:sz w:val="18"/>
                <w:szCs w:val="18"/>
                <w:b w:val="1"/>
                <w:bCs w:val="1"/>
                <w:color w:val="auto"/>
                <w:w w:val="90"/>
              </w:rPr>
              <w:t>not applicable</w:t>
            </w:r>
          </w:p>
        </w:tc>
      </w:tr>
      <w:tr>
        <w:trPr>
          <w:trHeight w:val="20"/>
        </w:trPr>
        <w:tc>
          <w:tcPr>
            <w:tcW w:w="258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3"/>
        </w:trPr>
        <w:tc>
          <w:tcPr>
            <w:tcW w:w="5900" w:type="dxa"/>
            <w:vAlign w:val="bottom"/>
            <w:gridSpan w:val="9"/>
          </w:tcPr>
          <w:p>
            <w:pPr>
              <w:spacing w:after="0"/>
              <w:rPr>
                <w:sz w:val="20"/>
                <w:szCs w:val="20"/>
                <w:color w:val="auto"/>
              </w:rPr>
            </w:pPr>
            <w:r>
              <w:rPr>
                <w:rFonts w:ascii="Arial" w:cs="Arial" w:eastAsia="Arial" w:hAnsi="Arial"/>
                <w:sz w:val="18"/>
                <w:szCs w:val="18"/>
                <w:color w:val="auto"/>
              </w:rPr>
              <w:t>Securities registered under Section 12(g) of the Exchange Act:</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Arial" w:cs="Arial" w:eastAsia="Arial" w:hAnsi="Arial"/>
          <w:sz w:val="18"/>
          <w:szCs w:val="18"/>
          <w:b w:val="1"/>
          <w:bCs w:val="1"/>
          <w:color w:val="auto"/>
        </w:rPr>
        <w:t>Yes [ ] No [X]</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 [X] No [ ]</w:t>
      </w:r>
    </w:p>
    <w:p>
      <w:pPr>
        <w:spacing w:after="0" w:line="18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w:t>
      </w:r>
    </w:p>
    <w:p>
      <w:pPr>
        <w:spacing w:after="0"/>
        <w:rPr>
          <w:sz w:val="20"/>
          <w:szCs w:val="20"/>
          <w:color w:val="auto"/>
        </w:rPr>
      </w:pPr>
      <w:r>
        <w:rPr>
          <w:rFonts w:ascii="Arial" w:cs="Arial" w:eastAsia="Arial" w:hAnsi="Arial"/>
          <w:sz w:val="18"/>
          <w:szCs w:val="18"/>
          <w:b w:val="1"/>
          <w:bCs w:val="1"/>
          <w:color w:val="auto"/>
        </w:rPr>
        <w:t>Yes [ ] No [X]</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33" w:right="239" w:bottom="864" w:gutter="0" w:footer="0" w:header="0"/>
        </w:sectPr>
      </w:pPr>
    </w:p>
    <w:p>
      <w:pPr>
        <w:spacing w:after="0" w:line="233"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 ] Large accelerated filer</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7"/>
          <w:szCs w:val="17"/>
          <w:b w:val="1"/>
          <w:bCs w:val="1"/>
          <w:color w:val="auto"/>
        </w:rPr>
        <w:t>[ ] Non-accelerated filer</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Accelerated filer</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[X] Smaller reporting company</w:t>
      </w:r>
    </w:p>
    <w:p>
      <w:pPr>
        <w:spacing w:after="0" w:line="211" w:lineRule="exact"/>
        <w:rPr>
          <w:sz w:val="24"/>
          <w:szCs w:val="24"/>
          <w:color w:val="auto"/>
        </w:rPr>
      </w:pPr>
    </w:p>
    <w:p>
      <w:pPr>
        <w:sectPr>
          <w:pgSz w:w="11900" w:h="16838" w:orient="portrait"/>
          <w:cols w:equalWidth="0" w:num="2">
            <w:col w:w="5100" w:space="720"/>
            <w:col w:w="5600"/>
          </w:cols>
          <w:pgMar w:left="240" w:top="233" w:right="239" w:bottom="864"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 ] No [X]</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$15,276,153</w:t>
      </w:r>
    </w:p>
    <w:p>
      <w:pPr>
        <w:spacing w:after="0" w:line="177"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Indicate the number of shares outstanding of each of the registrant’s classes of common stock, as of the latest practicable date. </w:t>
      </w:r>
      <w:r>
        <w:rPr>
          <w:rFonts w:ascii="Arial" w:cs="Arial" w:eastAsia="Arial" w:hAnsi="Arial"/>
          <w:sz w:val="18"/>
          <w:szCs w:val="18"/>
          <w:b w:val="1"/>
          <w:bCs w:val="1"/>
          <w:color w:val="auto"/>
        </w:rPr>
        <w:t>22,809,586 common shares as</w:t>
      </w:r>
      <w:r>
        <w:rPr>
          <w:rFonts w:ascii="Arial" w:cs="Arial" w:eastAsia="Arial" w:hAnsi="Arial"/>
          <w:sz w:val="18"/>
          <w:szCs w:val="18"/>
          <w:color w:val="auto"/>
        </w:rPr>
        <w:t xml:space="preserve"> </w:t>
      </w:r>
      <w:r>
        <w:rPr>
          <w:rFonts w:ascii="Arial" w:cs="Arial" w:eastAsia="Arial" w:hAnsi="Arial"/>
          <w:sz w:val="18"/>
          <w:szCs w:val="18"/>
          <w:b w:val="1"/>
          <w:bCs w:val="1"/>
          <w:color w:val="auto"/>
        </w:rPr>
        <w:t>of March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864"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40" w:type="dxa"/>
            <w:vAlign w:val="bottom"/>
            <w:gridSpan w:val="18"/>
          </w:tcPr>
          <w:p>
            <w:pPr>
              <w:jc w:val="center"/>
              <w:ind w:right="1980"/>
              <w:spacing w:after="0"/>
              <w:rPr>
                <w:sz w:val="20"/>
                <w:szCs w:val="20"/>
                <w:color w:val="auto"/>
              </w:rPr>
            </w:pPr>
            <w:r>
              <w:rPr>
                <w:rFonts w:ascii="Arial" w:cs="Arial" w:eastAsia="Arial" w:hAnsi="Arial"/>
                <w:sz w:val="18"/>
                <w:szCs w:val="18"/>
                <w:b w:val="1"/>
                <w:bCs w:val="1"/>
                <w:color w:val="auto"/>
                <w:w w:val="98"/>
              </w:rPr>
              <w:t>TABLE OF CONTENTS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7"/>
            <w:vMerge w:val="restart"/>
          </w:tcPr>
          <w:p>
            <w:pPr>
              <w:jc w:val="center"/>
              <w:ind w:right="700"/>
              <w:spacing w:after="0"/>
              <w:rPr>
                <w:sz w:val="20"/>
                <w:szCs w:val="20"/>
                <w:color w:val="auto"/>
              </w:rPr>
            </w:pPr>
            <w:r>
              <w:rPr>
                <w:rFonts w:ascii="Arial" w:cs="Arial" w:eastAsia="Arial" w:hAnsi="Arial"/>
                <w:sz w:val="18"/>
                <w:szCs w:val="18"/>
                <w:color w:val="auto"/>
                <w:w w:val="92"/>
              </w:rPr>
              <w:t>PART I</w:t>
            </w:r>
          </w:p>
        </w:tc>
        <w:tc>
          <w:tcPr>
            <w:tcW w:w="2300" w:type="dxa"/>
            <w:vAlign w:val="bottom"/>
            <w:gridSpan w:val="6"/>
            <w:vMerge w:val="restart"/>
          </w:tcPr>
          <w:p>
            <w:pPr>
              <w:spacing w:after="0"/>
              <w:rPr>
                <w:sz w:val="24"/>
                <w:szCs w:val="24"/>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Page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auto"/>
            </w:tcBorders>
            <w:gridSpan w:val="7"/>
            <w:vMerge w:val="continue"/>
          </w:tcPr>
          <w:p>
            <w:pPr>
              <w:spacing w:after="0"/>
              <w:rPr>
                <w:sz w:val="17"/>
                <w:szCs w:val="17"/>
                <w:color w:val="auto"/>
              </w:rPr>
            </w:pPr>
          </w:p>
        </w:tc>
        <w:tc>
          <w:tcPr>
            <w:tcW w:w="230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2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shd w:val="clear" w:color="auto" w:fill="CCEECC"/>
          </w:tcPr>
          <w:p>
            <w:pPr>
              <w:spacing w:after="0" w:line="17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5700" w:type="dxa"/>
            <w:vAlign w:val="bottom"/>
            <w:tcBorders>
              <w:bottom w:val="single" w:sz="8" w:color="CCEECC"/>
            </w:tcBorders>
            <w:gridSpan w:val="27"/>
            <w:shd w:val="clear" w:color="auto" w:fill="CCEECC"/>
          </w:tcPr>
          <w:p>
            <w:pPr>
              <w:spacing w:after="0"/>
              <w:rPr>
                <w:sz w:val="17"/>
                <w:szCs w:val="17"/>
                <w:color w:val="auto"/>
              </w:rPr>
            </w:pPr>
          </w:p>
        </w:tc>
        <w:tc>
          <w:tcPr>
            <w:tcW w:w="500" w:type="dxa"/>
            <w:vAlign w:val="bottom"/>
            <w:tcBorders>
              <w:bottom w:val="single" w:sz="8" w:color="CCEECC"/>
            </w:tcBorders>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99"/>
              </w:rPr>
              <w:t>3</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Item 2.</w:t>
            </w:r>
          </w:p>
        </w:tc>
        <w:tc>
          <w:tcPr>
            <w:tcW w:w="6340" w:type="dxa"/>
            <w:vAlign w:val="bottom"/>
            <w:gridSpan w:val="2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Properties</w:t>
              </w:r>
            </w:hyperlink>
          </w:p>
        </w:tc>
        <w:tc>
          <w:tcPr>
            <w:tcW w:w="50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3.</w:t>
            </w:r>
          </w:p>
        </w:tc>
        <w:tc>
          <w:tcPr>
            <w:tcW w:w="6340" w:type="dxa"/>
            <w:vAlign w:val="bottom"/>
            <w:gridSpan w:val="28"/>
            <w:shd w:val="clear" w:color="auto" w:fill="CCEECC"/>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Legal Proceedings</w:t>
              </w:r>
            </w:hyperlink>
          </w:p>
        </w:tc>
        <w:tc>
          <w:tcPr>
            <w:tcW w:w="500" w:type="dxa"/>
            <w:vAlign w:val="bottom"/>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99"/>
              </w:rPr>
              <w:t>7</w:t>
            </w:r>
          </w:p>
        </w:tc>
        <w:tc>
          <w:tcPr>
            <w:tcW w:w="2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8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5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4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5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100" w:type="dxa"/>
            <w:vAlign w:val="bottom"/>
            <w:tcBorders>
              <w:top w:val="single" w:sz="8" w:color="CCEECC"/>
            </w:tcBorders>
            <w:shd w:val="clear" w:color="auto" w:fill="CCEECC"/>
          </w:tcPr>
          <w:p>
            <w:pPr>
              <w:spacing w:after="0" w:line="20" w:lineRule="exact"/>
              <w:rPr>
                <w:sz w:val="1"/>
                <w:szCs w:val="1"/>
                <w:color w:val="auto"/>
              </w:rPr>
            </w:pPr>
          </w:p>
        </w:tc>
        <w:tc>
          <w:tcPr>
            <w:tcW w:w="7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Item 4.</w:t>
            </w:r>
          </w:p>
        </w:tc>
        <w:tc>
          <w:tcPr>
            <w:tcW w:w="6340" w:type="dxa"/>
            <w:vAlign w:val="bottom"/>
            <w:gridSpan w:val="2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Mine Safety Disclosures</w:t>
              </w:r>
            </w:hyperlink>
          </w:p>
        </w:tc>
        <w:tc>
          <w:tcPr>
            <w:tcW w:w="50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gridSpan w:val="14"/>
          </w:tcPr>
          <w:p>
            <w:pPr>
              <w:jc w:val="center"/>
              <w:ind w:right="2960"/>
              <w:spacing w:after="0"/>
              <w:rPr>
                <w:sz w:val="20"/>
                <w:szCs w:val="20"/>
                <w:color w:val="auto"/>
              </w:rPr>
            </w:pPr>
            <w:r>
              <w:rPr>
                <w:rFonts w:ascii="Arial" w:cs="Arial" w:eastAsia="Arial" w:hAnsi="Arial"/>
                <w:sz w:val="18"/>
                <w:szCs w:val="18"/>
                <w:color w:val="auto"/>
                <w:w w:val="95"/>
              </w:rPr>
              <w:t>PART II</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5.</w:t>
            </w:r>
          </w:p>
        </w:tc>
        <w:tc>
          <w:tcPr>
            <w:tcW w:w="6180" w:type="dxa"/>
            <w:vAlign w:val="bottom"/>
            <w:tcBorders>
              <w:bottom w:val="single" w:sz="8" w:color="0000EE"/>
            </w:tcBorders>
            <w:gridSpan w:val="27"/>
            <w:shd w:val="clear" w:color="auto" w:fill="CCEECC"/>
          </w:tcPr>
          <w:p>
            <w:pPr>
              <w:spacing w:after="0" w:line="17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Market for Registrant’s Common Equity and Related Stockholder Matters and Issuer</w:t>
              </w:r>
            </w:hyperlink>
          </w:p>
        </w:tc>
        <w:tc>
          <w:tcPr>
            <w:tcW w:w="160" w:type="dxa"/>
            <w:vAlign w:val="bottom"/>
            <w:tcBorders>
              <w:bottom w:val="single" w:sz="8" w:color="CCEECC"/>
            </w:tcBorders>
            <w:shd w:val="clear" w:color="auto" w:fill="CCEECC"/>
          </w:tcPr>
          <w:p>
            <w:pPr>
              <w:spacing w:after="0"/>
              <w:rPr>
                <w:sz w:val="15"/>
                <w:szCs w:val="15"/>
                <w:color w:val="auto"/>
              </w:rPr>
            </w:pPr>
          </w:p>
        </w:tc>
        <w:tc>
          <w:tcPr>
            <w:tcW w:w="500" w:type="dxa"/>
            <w:vAlign w:val="bottom"/>
            <w:tcBorders>
              <w:bottom w:val="single" w:sz="8" w:color="CCEECC"/>
            </w:tcBorders>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99"/>
              </w:rPr>
              <w:t>7</w:t>
            </w:r>
          </w:p>
        </w:tc>
        <w:tc>
          <w:tcPr>
            <w:tcW w:w="220" w:type="dxa"/>
            <w:vAlign w:val="bottom"/>
            <w:tcBorders>
              <w:bottom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6340" w:type="dxa"/>
            <w:vAlign w:val="bottom"/>
            <w:gridSpan w:val="28"/>
            <w:shd w:val="clear" w:color="auto" w:fill="CCEECC"/>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Purchases of Equity Securities</w:t>
              </w:r>
            </w:hyperlink>
          </w:p>
        </w:tc>
        <w:tc>
          <w:tcPr>
            <w:tcW w:w="16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6.</w:t>
            </w:r>
          </w:p>
        </w:tc>
        <w:tc>
          <w:tcPr>
            <w:tcW w:w="21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Selected Financial Data</w:t>
              </w:r>
            </w:hyperlink>
          </w:p>
        </w:tc>
        <w:tc>
          <w:tcPr>
            <w:tcW w:w="4160" w:type="dxa"/>
            <w:vAlign w:val="bottom"/>
            <w:tcBorders>
              <w:top w:val="single" w:sz="8" w:color="CCEECC"/>
            </w:tcBorders>
            <w:gridSpan w:val="16"/>
          </w:tcPr>
          <w:p>
            <w:pPr>
              <w:spacing w:after="0"/>
              <w:rPr>
                <w:sz w:val="15"/>
                <w:szCs w:val="15"/>
                <w:color w:val="auto"/>
              </w:rPr>
            </w:pPr>
          </w:p>
        </w:tc>
        <w:tc>
          <w:tcPr>
            <w:tcW w:w="500" w:type="dxa"/>
            <w:vAlign w:val="bottom"/>
            <w:tcBorders>
              <w:top w:val="single" w:sz="8" w:color="CCEECC"/>
            </w:tcBorders>
            <w:gridSpan w:val="2"/>
          </w:tcPr>
          <w:p>
            <w:pPr>
              <w:jc w:val="center"/>
              <w:ind w:left="70"/>
              <w:spacing w:after="0" w:line="176" w:lineRule="exact"/>
              <w:rPr>
                <w:sz w:val="20"/>
                <w:szCs w:val="20"/>
                <w:color w:val="auto"/>
              </w:rPr>
            </w:pPr>
            <w:r>
              <w:rPr>
                <w:rFonts w:ascii="Arial" w:cs="Arial" w:eastAsia="Arial" w:hAnsi="Arial"/>
                <w:sz w:val="18"/>
                <w:szCs w:val="18"/>
                <w:color w:val="auto"/>
                <w:w w:val="99"/>
              </w:rPr>
              <w:t>9</w:t>
            </w:r>
          </w:p>
        </w:tc>
        <w:tc>
          <w:tcPr>
            <w:tcW w:w="220" w:type="dxa"/>
            <w:vAlign w:val="bottom"/>
            <w:tcBorders>
              <w:top w:val="single" w:sz="8" w:color="CCEECC"/>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7.</w:t>
            </w:r>
          </w:p>
        </w:tc>
        <w:tc>
          <w:tcPr>
            <w:tcW w:w="6180" w:type="dxa"/>
            <w:vAlign w:val="bottom"/>
            <w:tcBorders>
              <w:bottom w:val="single" w:sz="8" w:color="0000EE"/>
            </w:tcBorders>
            <w:gridSpan w:val="27"/>
            <w:shd w:val="clear" w:color="auto" w:fill="CCEECC"/>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w:t>
              </w:r>
            </w:hyperlink>
          </w:p>
        </w:tc>
        <w:tc>
          <w:tcPr>
            <w:tcW w:w="160" w:type="dxa"/>
            <w:vAlign w:val="bottom"/>
            <w:tcBorders>
              <w:bottom w:val="single" w:sz="8" w:color="CCEECC"/>
            </w:tcBorders>
            <w:shd w:val="clear" w:color="auto" w:fill="CCEECC"/>
          </w:tcPr>
          <w:p>
            <w:pPr>
              <w:spacing w:after="0"/>
              <w:rPr>
                <w:sz w:val="15"/>
                <w:szCs w:val="15"/>
                <w:color w:val="auto"/>
              </w:rPr>
            </w:pPr>
          </w:p>
        </w:tc>
        <w:tc>
          <w:tcPr>
            <w:tcW w:w="500" w:type="dxa"/>
            <w:vAlign w:val="bottom"/>
            <w:tcBorders>
              <w:bottom w:val="single" w:sz="8" w:color="CCEECC"/>
            </w:tcBorders>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99"/>
              </w:rPr>
              <w:t>9</w:t>
            </w:r>
          </w:p>
        </w:tc>
        <w:tc>
          <w:tcPr>
            <w:tcW w:w="220" w:type="dxa"/>
            <w:vAlign w:val="bottom"/>
            <w:tcBorders>
              <w:bottom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6340" w:type="dxa"/>
            <w:vAlign w:val="bottom"/>
            <w:gridSpan w:val="28"/>
            <w:shd w:val="clear" w:color="auto" w:fill="CCEECC"/>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Operations</w:t>
              </w:r>
            </w:hyperlink>
          </w:p>
        </w:tc>
        <w:tc>
          <w:tcPr>
            <w:tcW w:w="16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8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5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100" w:type="dxa"/>
            <w:vAlign w:val="bottom"/>
            <w:tcBorders>
              <w:top w:val="single" w:sz="8" w:color="CCEECC"/>
            </w:tcBorders>
            <w:shd w:val="clear" w:color="auto" w:fill="CCEECC"/>
          </w:tcPr>
          <w:p>
            <w:pPr>
              <w:spacing w:after="0" w:line="20" w:lineRule="exact"/>
              <w:rPr>
                <w:sz w:val="1"/>
                <w:szCs w:val="1"/>
                <w:color w:val="auto"/>
              </w:rPr>
            </w:pPr>
          </w:p>
        </w:tc>
        <w:tc>
          <w:tcPr>
            <w:tcW w:w="7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Item</w:t>
            </w:r>
          </w:p>
        </w:tc>
        <w:tc>
          <w:tcPr>
            <w:tcW w:w="6340" w:type="dxa"/>
            <w:vAlign w:val="bottom"/>
            <w:gridSpan w:val="28"/>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Quantitative and Qualitative Disclosures About Market Risk</w:t>
              </w:r>
            </w:hyperlink>
          </w:p>
        </w:tc>
        <w:tc>
          <w:tcPr>
            <w:tcW w:w="50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7A.</w:t>
            </w:r>
          </w:p>
        </w:tc>
        <w:tc>
          <w:tcPr>
            <w:tcW w:w="6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2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8.</w:t>
            </w:r>
          </w:p>
        </w:tc>
        <w:tc>
          <w:tcPr>
            <w:tcW w:w="3320" w:type="dxa"/>
            <w:vAlign w:val="bottom"/>
            <w:tcBorders>
              <w:bottom w:val="single" w:sz="8" w:color="0000EE"/>
            </w:tcBorders>
            <w:gridSpan w:val="18"/>
            <w:shd w:val="clear" w:color="auto" w:fill="CCEECC"/>
          </w:tcPr>
          <w:p>
            <w:pPr>
              <w:spacing w:after="0" w:line="17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Financial Statements and Supplementary Data</w:t>
              </w:r>
            </w:hyperlink>
          </w:p>
        </w:tc>
        <w:tc>
          <w:tcPr>
            <w:tcW w:w="3020" w:type="dxa"/>
            <w:vAlign w:val="bottom"/>
            <w:tcBorders>
              <w:bottom w:val="single" w:sz="8" w:color="CCEECC"/>
            </w:tcBorders>
            <w:gridSpan w:val="10"/>
            <w:shd w:val="clear" w:color="auto" w:fill="CCEECC"/>
          </w:tcPr>
          <w:p>
            <w:pPr>
              <w:spacing w:after="0"/>
              <w:rPr>
                <w:sz w:val="17"/>
                <w:szCs w:val="17"/>
                <w:color w:val="auto"/>
              </w:rPr>
            </w:pPr>
          </w:p>
        </w:tc>
        <w:tc>
          <w:tcPr>
            <w:tcW w:w="500" w:type="dxa"/>
            <w:vAlign w:val="bottom"/>
            <w:tcBorders>
              <w:bottom w:val="single" w:sz="8" w:color="CCEECC"/>
            </w:tcBorders>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89"/>
              </w:rPr>
              <w:t>10</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Item 9.</w:t>
            </w:r>
          </w:p>
        </w:tc>
        <w:tc>
          <w:tcPr>
            <w:tcW w:w="6180" w:type="dxa"/>
            <w:vAlign w:val="bottom"/>
            <w:tcBorders>
              <w:bottom w:val="single" w:sz="8" w:color="0000EE"/>
            </w:tcBorders>
            <w:gridSpan w:val="27"/>
          </w:tcPr>
          <w:p>
            <w:pPr>
              <w:spacing w:after="0" w:line="17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Changes In and Disagreements With Accountants on Accounting and Financial</w:t>
              </w:r>
            </w:hyperlink>
          </w:p>
        </w:tc>
        <w:tc>
          <w:tcPr>
            <w:tcW w:w="160" w:type="dxa"/>
            <w:vAlign w:val="bottom"/>
          </w:tcPr>
          <w:p>
            <w:pPr>
              <w:spacing w:after="0"/>
              <w:rPr>
                <w:sz w:val="15"/>
                <w:szCs w:val="15"/>
                <w:color w:val="auto"/>
              </w:rPr>
            </w:pPr>
          </w:p>
        </w:tc>
        <w:tc>
          <w:tcPr>
            <w:tcW w:w="50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9"/>
              </w:rPr>
              <w:t>11</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40" w:type="dxa"/>
            <w:vAlign w:val="bottom"/>
            <w:gridSpan w:val="2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Disclosure</w:t>
              </w:r>
            </w:hyperlink>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w:t>
            </w:r>
          </w:p>
        </w:tc>
        <w:tc>
          <w:tcPr>
            <w:tcW w:w="6340" w:type="dxa"/>
            <w:vAlign w:val="bottom"/>
            <w:gridSpan w:val="28"/>
            <w:shd w:val="clear" w:color="auto" w:fill="CCEECC"/>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00" w:type="dxa"/>
            <w:vAlign w:val="bottom"/>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89"/>
              </w:rPr>
              <w:t>11</w:t>
            </w:r>
          </w:p>
        </w:tc>
        <w:tc>
          <w:tcPr>
            <w:tcW w:w="2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920" w:type="dxa"/>
            <w:vAlign w:val="bottom"/>
            <w:tcBorders>
              <w:top w:val="single" w:sz="8" w:color="CCEECC"/>
            </w:tcBorders>
            <w:shd w:val="clear" w:color="auto" w:fill="CCEECC"/>
          </w:tcPr>
          <w:p>
            <w:pPr>
              <w:ind w:left="100"/>
              <w:spacing w:after="0"/>
              <w:rPr>
                <w:sz w:val="20"/>
                <w:szCs w:val="20"/>
                <w:color w:val="auto"/>
              </w:rPr>
            </w:pPr>
            <w:r>
              <w:rPr>
                <w:rFonts w:ascii="Arial" w:cs="Arial" w:eastAsia="Arial" w:hAnsi="Arial"/>
                <w:sz w:val="18"/>
                <w:szCs w:val="18"/>
                <w:color w:val="auto"/>
              </w:rPr>
              <w:t>9A.</w:t>
            </w:r>
          </w:p>
        </w:tc>
        <w:tc>
          <w:tcPr>
            <w:tcW w:w="640" w:type="dxa"/>
            <w:vAlign w:val="bottom"/>
            <w:tcBorders>
              <w:top w:val="single" w:sz="8" w:color="0000EE"/>
            </w:tcBorders>
            <w:shd w:val="clear" w:color="auto" w:fill="CCEECC"/>
          </w:tcPr>
          <w:p>
            <w:pPr>
              <w:spacing w:after="0"/>
              <w:rPr>
                <w:sz w:val="20"/>
                <w:szCs w:val="20"/>
                <w:color w:val="auto"/>
              </w:rPr>
            </w:pPr>
          </w:p>
        </w:tc>
        <w:tc>
          <w:tcPr>
            <w:tcW w:w="80" w:type="dxa"/>
            <w:vAlign w:val="bottom"/>
            <w:tcBorders>
              <w:top w:val="single" w:sz="8" w:color="0000EE"/>
            </w:tcBorders>
            <w:shd w:val="clear" w:color="auto" w:fill="CCEECC"/>
          </w:tcPr>
          <w:p>
            <w:pPr>
              <w:spacing w:after="0"/>
              <w:rPr>
                <w:sz w:val="20"/>
                <w:szCs w:val="20"/>
                <w:color w:val="auto"/>
              </w:rPr>
            </w:pPr>
          </w:p>
        </w:tc>
        <w:tc>
          <w:tcPr>
            <w:tcW w:w="40" w:type="dxa"/>
            <w:vAlign w:val="bottom"/>
            <w:tcBorders>
              <w:top w:val="single" w:sz="8" w:color="0000EE"/>
            </w:tcBorders>
            <w:shd w:val="clear" w:color="auto" w:fill="CCEECC"/>
          </w:tcPr>
          <w:p>
            <w:pPr>
              <w:spacing w:after="0"/>
              <w:rPr>
                <w:sz w:val="20"/>
                <w:szCs w:val="20"/>
                <w:color w:val="auto"/>
              </w:rPr>
            </w:pPr>
          </w:p>
        </w:tc>
        <w:tc>
          <w:tcPr>
            <w:tcW w:w="20" w:type="dxa"/>
            <w:vAlign w:val="bottom"/>
            <w:tcBorders>
              <w:top w:val="single" w:sz="8" w:color="0000EE"/>
            </w:tcBorders>
            <w:shd w:val="clear" w:color="auto" w:fill="CCEECC"/>
          </w:tcPr>
          <w:p>
            <w:pPr>
              <w:spacing w:after="0"/>
              <w:rPr>
                <w:sz w:val="20"/>
                <w:szCs w:val="20"/>
                <w:color w:val="auto"/>
              </w:rPr>
            </w:pPr>
          </w:p>
        </w:tc>
        <w:tc>
          <w:tcPr>
            <w:tcW w:w="520" w:type="dxa"/>
            <w:vAlign w:val="bottom"/>
            <w:tcBorders>
              <w:top w:val="single" w:sz="8" w:color="0000EE"/>
            </w:tcBorders>
            <w:shd w:val="clear" w:color="auto" w:fill="CCEECC"/>
          </w:tcPr>
          <w:p>
            <w:pPr>
              <w:spacing w:after="0"/>
              <w:rPr>
                <w:sz w:val="20"/>
                <w:szCs w:val="20"/>
                <w:color w:val="auto"/>
              </w:rPr>
            </w:pPr>
          </w:p>
        </w:tc>
        <w:tc>
          <w:tcPr>
            <w:tcW w:w="20" w:type="dxa"/>
            <w:vAlign w:val="bottom"/>
            <w:tcBorders>
              <w:top w:val="single" w:sz="8" w:color="0000EE"/>
            </w:tcBorders>
            <w:shd w:val="clear" w:color="auto" w:fill="CCEECC"/>
          </w:tcPr>
          <w:p>
            <w:pPr>
              <w:spacing w:after="0"/>
              <w:rPr>
                <w:sz w:val="20"/>
                <w:szCs w:val="20"/>
                <w:color w:val="auto"/>
              </w:rPr>
            </w:pPr>
          </w:p>
        </w:tc>
        <w:tc>
          <w:tcPr>
            <w:tcW w:w="140" w:type="dxa"/>
            <w:vAlign w:val="bottom"/>
            <w:tcBorders>
              <w:top w:val="single" w:sz="8" w:color="0000EE"/>
            </w:tcBorders>
            <w:shd w:val="clear" w:color="auto" w:fill="CCEECC"/>
          </w:tcPr>
          <w:p>
            <w:pPr>
              <w:spacing w:after="0"/>
              <w:rPr>
                <w:sz w:val="20"/>
                <w:szCs w:val="20"/>
                <w:color w:val="auto"/>
              </w:rPr>
            </w:pPr>
          </w:p>
        </w:tc>
        <w:tc>
          <w:tcPr>
            <w:tcW w:w="240" w:type="dxa"/>
            <w:vAlign w:val="bottom"/>
            <w:tcBorders>
              <w:top w:val="single" w:sz="8" w:color="0000EE"/>
            </w:tcBorders>
            <w:shd w:val="clear" w:color="auto" w:fill="CCEECC"/>
          </w:tcPr>
          <w:p>
            <w:pPr>
              <w:spacing w:after="0"/>
              <w:rPr>
                <w:sz w:val="20"/>
                <w:szCs w:val="20"/>
                <w:color w:val="auto"/>
              </w:rPr>
            </w:pPr>
          </w:p>
        </w:tc>
        <w:tc>
          <w:tcPr>
            <w:tcW w:w="60" w:type="dxa"/>
            <w:vAlign w:val="bottom"/>
            <w:tcBorders>
              <w:top w:val="single" w:sz="8" w:color="0000EE"/>
            </w:tcBorders>
            <w:shd w:val="clear" w:color="auto" w:fill="CCEECC"/>
          </w:tcPr>
          <w:p>
            <w:pPr>
              <w:spacing w:after="0"/>
              <w:rPr>
                <w:sz w:val="20"/>
                <w:szCs w:val="20"/>
                <w:color w:val="auto"/>
              </w:rPr>
            </w:pPr>
          </w:p>
        </w:tc>
        <w:tc>
          <w:tcPr>
            <w:tcW w:w="40" w:type="dxa"/>
            <w:vAlign w:val="bottom"/>
            <w:tcBorders>
              <w:top w:val="single" w:sz="8" w:color="CCEECC"/>
            </w:tcBorders>
            <w:shd w:val="clear" w:color="auto" w:fill="CCEECC"/>
          </w:tcPr>
          <w:p>
            <w:pPr>
              <w:spacing w:after="0"/>
              <w:rPr>
                <w:sz w:val="20"/>
                <w:szCs w:val="20"/>
                <w:color w:val="auto"/>
              </w:rPr>
            </w:pPr>
          </w:p>
        </w:tc>
        <w:tc>
          <w:tcPr>
            <w:tcW w:w="320" w:type="dxa"/>
            <w:vAlign w:val="bottom"/>
            <w:tcBorders>
              <w:top w:val="single" w:sz="8" w:color="CCEECC"/>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560" w:type="dxa"/>
            <w:vAlign w:val="bottom"/>
            <w:tcBorders>
              <w:top w:val="single" w:sz="8" w:color="CCEECC"/>
            </w:tcBorders>
            <w:shd w:val="clear" w:color="auto" w:fill="CCEECC"/>
          </w:tcPr>
          <w:p>
            <w:pPr>
              <w:spacing w:after="0"/>
              <w:rPr>
                <w:sz w:val="20"/>
                <w:szCs w:val="20"/>
                <w:color w:val="auto"/>
              </w:rPr>
            </w:pPr>
          </w:p>
        </w:tc>
        <w:tc>
          <w:tcPr>
            <w:tcW w:w="40" w:type="dxa"/>
            <w:vAlign w:val="bottom"/>
            <w:tcBorders>
              <w:top w:val="single" w:sz="8" w:color="CCEECC"/>
            </w:tcBorders>
            <w:shd w:val="clear" w:color="auto" w:fill="CCEECC"/>
          </w:tcPr>
          <w:p>
            <w:pPr>
              <w:spacing w:after="0"/>
              <w:rPr>
                <w:sz w:val="20"/>
                <w:szCs w:val="20"/>
                <w:color w:val="auto"/>
              </w:rPr>
            </w:pPr>
          </w:p>
        </w:tc>
        <w:tc>
          <w:tcPr>
            <w:tcW w:w="20" w:type="dxa"/>
            <w:vAlign w:val="bottom"/>
            <w:tcBorders>
              <w:top w:val="single" w:sz="8" w:color="CCEECC"/>
            </w:tcBorders>
            <w:shd w:val="clear" w:color="auto" w:fill="CCEECC"/>
          </w:tcPr>
          <w:p>
            <w:pPr>
              <w:spacing w:after="0"/>
              <w:rPr>
                <w:sz w:val="20"/>
                <w:szCs w:val="20"/>
                <w:color w:val="auto"/>
              </w:rPr>
            </w:pPr>
          </w:p>
        </w:tc>
        <w:tc>
          <w:tcPr>
            <w:tcW w:w="40" w:type="dxa"/>
            <w:vAlign w:val="bottom"/>
            <w:tcBorders>
              <w:top w:val="single" w:sz="8" w:color="CCEECC"/>
            </w:tcBorders>
            <w:shd w:val="clear" w:color="auto" w:fill="CCEECC"/>
          </w:tcPr>
          <w:p>
            <w:pPr>
              <w:spacing w:after="0"/>
              <w:rPr>
                <w:sz w:val="20"/>
                <w:szCs w:val="20"/>
                <w:color w:val="auto"/>
              </w:rPr>
            </w:pPr>
          </w:p>
        </w:tc>
        <w:tc>
          <w:tcPr>
            <w:tcW w:w="40" w:type="dxa"/>
            <w:vAlign w:val="bottom"/>
            <w:tcBorders>
              <w:top w:val="single" w:sz="8" w:color="CCEECC"/>
            </w:tcBorders>
            <w:shd w:val="clear" w:color="auto" w:fill="CCEECC"/>
          </w:tcPr>
          <w:p>
            <w:pPr>
              <w:spacing w:after="0"/>
              <w:rPr>
                <w:sz w:val="20"/>
                <w:szCs w:val="20"/>
                <w:color w:val="auto"/>
              </w:rPr>
            </w:pPr>
          </w:p>
        </w:tc>
        <w:tc>
          <w:tcPr>
            <w:tcW w:w="440" w:type="dxa"/>
            <w:vAlign w:val="bottom"/>
            <w:tcBorders>
              <w:top w:val="single" w:sz="8" w:color="CCEECC"/>
            </w:tcBorders>
            <w:shd w:val="clear" w:color="auto" w:fill="CCEECC"/>
          </w:tcPr>
          <w:p>
            <w:pPr>
              <w:spacing w:after="0"/>
              <w:rPr>
                <w:sz w:val="20"/>
                <w:szCs w:val="20"/>
                <w:color w:val="auto"/>
              </w:rPr>
            </w:pPr>
          </w:p>
        </w:tc>
        <w:tc>
          <w:tcPr>
            <w:tcW w:w="20" w:type="dxa"/>
            <w:vAlign w:val="bottom"/>
            <w:tcBorders>
              <w:top w:val="single" w:sz="8" w:color="CCEECC"/>
            </w:tcBorders>
            <w:shd w:val="clear" w:color="auto" w:fill="CCEECC"/>
          </w:tcPr>
          <w:p>
            <w:pPr>
              <w:spacing w:after="0"/>
              <w:rPr>
                <w:sz w:val="20"/>
                <w:szCs w:val="20"/>
                <w:color w:val="auto"/>
              </w:rPr>
            </w:pPr>
          </w:p>
        </w:tc>
        <w:tc>
          <w:tcPr>
            <w:tcW w:w="40" w:type="dxa"/>
            <w:vAlign w:val="bottom"/>
            <w:tcBorders>
              <w:top w:val="single" w:sz="8" w:color="CCEECC"/>
            </w:tcBorders>
            <w:shd w:val="clear" w:color="auto" w:fill="CCEECC"/>
          </w:tcPr>
          <w:p>
            <w:pPr>
              <w:spacing w:after="0"/>
              <w:rPr>
                <w:sz w:val="20"/>
                <w:szCs w:val="20"/>
                <w:color w:val="auto"/>
              </w:rPr>
            </w:pPr>
          </w:p>
        </w:tc>
        <w:tc>
          <w:tcPr>
            <w:tcW w:w="20" w:type="dxa"/>
            <w:vAlign w:val="bottom"/>
            <w:tcBorders>
              <w:top w:val="single" w:sz="8" w:color="CCEECC"/>
            </w:tcBorders>
            <w:shd w:val="clear" w:color="auto" w:fill="CCEECC"/>
          </w:tcPr>
          <w:p>
            <w:pPr>
              <w:spacing w:after="0"/>
              <w:rPr>
                <w:sz w:val="20"/>
                <w:szCs w:val="20"/>
                <w:color w:val="auto"/>
              </w:rPr>
            </w:pPr>
          </w:p>
        </w:tc>
        <w:tc>
          <w:tcPr>
            <w:tcW w:w="640" w:type="dxa"/>
            <w:vAlign w:val="bottom"/>
            <w:tcBorders>
              <w:top w:val="single" w:sz="8" w:color="CCEECC"/>
            </w:tcBorders>
            <w:shd w:val="clear" w:color="auto" w:fill="CCEECC"/>
          </w:tcPr>
          <w:p>
            <w:pPr>
              <w:spacing w:after="0"/>
              <w:rPr>
                <w:sz w:val="20"/>
                <w:szCs w:val="20"/>
                <w:color w:val="auto"/>
              </w:rPr>
            </w:pPr>
          </w:p>
        </w:tc>
        <w:tc>
          <w:tcPr>
            <w:tcW w:w="40" w:type="dxa"/>
            <w:vAlign w:val="bottom"/>
            <w:tcBorders>
              <w:top w:val="single" w:sz="8" w:color="CCEECC"/>
            </w:tcBorders>
            <w:shd w:val="clear" w:color="auto" w:fill="CCEECC"/>
          </w:tcPr>
          <w:p>
            <w:pPr>
              <w:spacing w:after="0"/>
              <w:rPr>
                <w:sz w:val="20"/>
                <w:szCs w:val="20"/>
                <w:color w:val="auto"/>
              </w:rPr>
            </w:pPr>
          </w:p>
        </w:tc>
        <w:tc>
          <w:tcPr>
            <w:tcW w:w="260" w:type="dxa"/>
            <w:vAlign w:val="bottom"/>
            <w:tcBorders>
              <w:top w:val="single" w:sz="8" w:color="CCEECC"/>
            </w:tcBorders>
            <w:shd w:val="clear" w:color="auto" w:fill="CCEECC"/>
          </w:tcPr>
          <w:p>
            <w:pPr>
              <w:spacing w:after="0"/>
              <w:rPr>
                <w:sz w:val="20"/>
                <w:szCs w:val="20"/>
                <w:color w:val="auto"/>
              </w:rPr>
            </w:pPr>
          </w:p>
        </w:tc>
        <w:tc>
          <w:tcPr>
            <w:tcW w:w="1100" w:type="dxa"/>
            <w:vAlign w:val="bottom"/>
            <w:tcBorders>
              <w:top w:val="single" w:sz="8" w:color="CCEECC"/>
            </w:tcBorders>
            <w:shd w:val="clear" w:color="auto" w:fill="CCEECC"/>
          </w:tcPr>
          <w:p>
            <w:pPr>
              <w:spacing w:after="0"/>
              <w:rPr>
                <w:sz w:val="20"/>
                <w:szCs w:val="20"/>
                <w:color w:val="auto"/>
              </w:rPr>
            </w:pPr>
          </w:p>
        </w:tc>
        <w:tc>
          <w:tcPr>
            <w:tcW w:w="720" w:type="dxa"/>
            <w:vAlign w:val="bottom"/>
            <w:tcBorders>
              <w:top w:val="single" w:sz="8" w:color="CCEECC"/>
            </w:tcBorders>
            <w:shd w:val="clear" w:color="auto" w:fill="CCEECC"/>
          </w:tcPr>
          <w:p>
            <w:pPr>
              <w:spacing w:after="0"/>
              <w:rPr>
                <w:sz w:val="20"/>
                <w:szCs w:val="20"/>
                <w:color w:val="auto"/>
              </w:rPr>
            </w:pPr>
          </w:p>
        </w:tc>
        <w:tc>
          <w:tcPr>
            <w:tcW w:w="20" w:type="dxa"/>
            <w:vAlign w:val="bottom"/>
            <w:tcBorders>
              <w:top w:val="single" w:sz="8" w:color="CCEECC"/>
            </w:tcBorders>
            <w:shd w:val="clear" w:color="auto" w:fill="CCEECC"/>
          </w:tcPr>
          <w:p>
            <w:pPr>
              <w:spacing w:after="0"/>
              <w:rPr>
                <w:sz w:val="20"/>
                <w:szCs w:val="20"/>
                <w:color w:val="auto"/>
              </w:rPr>
            </w:pPr>
          </w:p>
        </w:tc>
        <w:tc>
          <w:tcPr>
            <w:tcW w:w="160" w:type="dxa"/>
            <w:vAlign w:val="bottom"/>
            <w:tcBorders>
              <w:top w:val="single" w:sz="8" w:color="CCEECC"/>
            </w:tcBorders>
            <w:shd w:val="clear" w:color="auto" w:fill="CCEECC"/>
          </w:tcPr>
          <w:p>
            <w:pPr>
              <w:spacing w:after="0"/>
              <w:rPr>
                <w:sz w:val="20"/>
                <w:szCs w:val="20"/>
                <w:color w:val="auto"/>
              </w:rPr>
            </w:pPr>
          </w:p>
        </w:tc>
        <w:tc>
          <w:tcPr>
            <w:tcW w:w="160" w:type="dxa"/>
            <w:vAlign w:val="bottom"/>
            <w:tcBorders>
              <w:top w:val="single" w:sz="8" w:color="CCEECC"/>
            </w:tcBorders>
            <w:shd w:val="clear" w:color="auto" w:fill="CCEECC"/>
          </w:tcPr>
          <w:p>
            <w:pPr>
              <w:spacing w:after="0"/>
              <w:rPr>
                <w:sz w:val="20"/>
                <w:szCs w:val="20"/>
                <w:color w:val="auto"/>
              </w:rPr>
            </w:pPr>
          </w:p>
        </w:tc>
        <w:tc>
          <w:tcPr>
            <w:tcW w:w="340" w:type="dxa"/>
            <w:vAlign w:val="bottom"/>
            <w:tcBorders>
              <w:top w:val="single" w:sz="8" w:color="CCEECC"/>
            </w:tcBorders>
            <w:shd w:val="clear" w:color="auto" w:fill="CCEECC"/>
          </w:tcPr>
          <w:p>
            <w:pPr>
              <w:spacing w:after="0"/>
              <w:rPr>
                <w:sz w:val="20"/>
                <w:szCs w:val="20"/>
                <w:color w:val="auto"/>
              </w:rPr>
            </w:pPr>
          </w:p>
        </w:tc>
        <w:tc>
          <w:tcPr>
            <w:tcW w:w="220" w:type="dxa"/>
            <w:vAlign w:val="bottom"/>
            <w:tcBorders>
              <w:top w:val="single" w:sz="8" w:color="CCEECC"/>
            </w:tcBorders>
            <w:shd w:val="clear" w:color="auto" w:fill="CCEECC"/>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Item</w:t>
            </w:r>
          </w:p>
        </w:tc>
        <w:tc>
          <w:tcPr>
            <w:tcW w:w="6340" w:type="dxa"/>
            <w:vAlign w:val="bottom"/>
            <w:gridSpan w:val="28"/>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50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9"/>
              </w:rPr>
              <w:t>11</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9B.</w:t>
            </w:r>
          </w:p>
        </w:tc>
        <w:tc>
          <w:tcPr>
            <w:tcW w:w="6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gridSpan w:val="15"/>
          </w:tcPr>
          <w:p>
            <w:pPr>
              <w:jc w:val="center"/>
              <w:ind w:right="2940"/>
              <w:spacing w:after="0"/>
              <w:rPr>
                <w:sz w:val="20"/>
                <w:szCs w:val="20"/>
                <w:color w:val="auto"/>
              </w:rPr>
            </w:pPr>
            <w:r>
              <w:rPr>
                <w:rFonts w:ascii="Arial" w:cs="Arial" w:eastAsia="Arial" w:hAnsi="Arial"/>
                <w:sz w:val="18"/>
                <w:szCs w:val="18"/>
                <w:color w:val="auto"/>
                <w:w w:val="96"/>
              </w:rPr>
              <w:t>PART III</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10.</w:t>
            </w:r>
          </w:p>
        </w:tc>
        <w:tc>
          <w:tcPr>
            <w:tcW w:w="6340" w:type="dxa"/>
            <w:vAlign w:val="bottom"/>
            <w:gridSpan w:val="28"/>
            <w:shd w:val="clear" w:color="auto" w:fill="CCEECC"/>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Directors, Executive Officers and Corporate Governance</w:t>
              </w:r>
            </w:hyperlink>
          </w:p>
        </w:tc>
        <w:tc>
          <w:tcPr>
            <w:tcW w:w="500" w:type="dxa"/>
            <w:vAlign w:val="bottom"/>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89"/>
              </w:rPr>
              <w:t>12</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11.</w:t>
            </w:r>
          </w:p>
        </w:tc>
        <w:tc>
          <w:tcPr>
            <w:tcW w:w="408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2260" w:type="dxa"/>
            <w:vAlign w:val="bottom"/>
            <w:tcBorders>
              <w:top w:val="single" w:sz="8" w:color="CCEECC"/>
            </w:tcBorders>
            <w:gridSpan w:val="5"/>
          </w:tcPr>
          <w:p>
            <w:pPr>
              <w:spacing w:after="0"/>
              <w:rPr>
                <w:sz w:val="15"/>
                <w:szCs w:val="15"/>
                <w:color w:val="auto"/>
              </w:rPr>
            </w:pPr>
          </w:p>
        </w:tc>
        <w:tc>
          <w:tcPr>
            <w:tcW w:w="500" w:type="dxa"/>
            <w:vAlign w:val="bottom"/>
            <w:tcBorders>
              <w:top w:val="single" w:sz="8" w:color="CCEECC"/>
            </w:tcBorders>
            <w:gridSpan w:val="2"/>
          </w:tcPr>
          <w:p>
            <w:pPr>
              <w:jc w:val="center"/>
              <w:ind w:left="70"/>
              <w:spacing w:after="0" w:line="176" w:lineRule="exact"/>
              <w:rPr>
                <w:sz w:val="20"/>
                <w:szCs w:val="20"/>
                <w:color w:val="auto"/>
              </w:rPr>
            </w:pPr>
            <w:r>
              <w:rPr>
                <w:rFonts w:ascii="Arial" w:cs="Arial" w:eastAsia="Arial" w:hAnsi="Arial"/>
                <w:sz w:val="18"/>
                <w:szCs w:val="18"/>
                <w:color w:val="auto"/>
                <w:w w:val="89"/>
              </w:rPr>
              <w:t>15</w:t>
            </w:r>
          </w:p>
        </w:tc>
        <w:tc>
          <w:tcPr>
            <w:tcW w:w="220" w:type="dxa"/>
            <w:vAlign w:val="bottom"/>
            <w:tcBorders>
              <w:top w:val="single" w:sz="8" w:color="CCEECC"/>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12.</w:t>
            </w:r>
          </w:p>
        </w:tc>
        <w:tc>
          <w:tcPr>
            <w:tcW w:w="6340" w:type="dxa"/>
            <w:vAlign w:val="bottom"/>
            <w:gridSpan w:val="28"/>
            <w:shd w:val="clear" w:color="auto" w:fill="CCEECC"/>
          </w:tcPr>
          <w:p>
            <w:pPr>
              <w:spacing w:after="0" w:line="176"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Security Ownership of Certain Beneficial Owners and Management and Related</w:t>
              </w:r>
            </w:hyperlink>
          </w:p>
        </w:tc>
        <w:tc>
          <w:tcPr>
            <w:tcW w:w="500" w:type="dxa"/>
            <w:vAlign w:val="bottom"/>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89"/>
              </w:rPr>
              <w:t>18</w:t>
            </w:r>
          </w:p>
        </w:tc>
        <w:tc>
          <w:tcPr>
            <w:tcW w:w="2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920" w:type="dxa"/>
            <w:vAlign w:val="bottom"/>
            <w:tcBorders>
              <w:top w:val="single" w:sz="8" w:color="CCEECC"/>
              <w:bottom w:val="single" w:sz="8" w:color="CCEECC"/>
            </w:tcBorders>
            <w:shd w:val="clear" w:color="auto" w:fill="CCEECC"/>
          </w:tcPr>
          <w:p>
            <w:pPr>
              <w:spacing w:after="0"/>
              <w:rPr>
                <w:sz w:val="18"/>
                <w:szCs w:val="18"/>
                <w:color w:val="auto"/>
              </w:rPr>
            </w:pPr>
          </w:p>
        </w:tc>
        <w:tc>
          <w:tcPr>
            <w:tcW w:w="1460" w:type="dxa"/>
            <w:vAlign w:val="bottom"/>
            <w:tcBorders>
              <w:top w:val="single" w:sz="8" w:color="0000EE"/>
              <w:bottom w:val="single" w:sz="8" w:color="0000EE"/>
            </w:tcBorders>
            <w:gridSpan w:val="7"/>
            <w:shd w:val="clear" w:color="auto" w:fill="CCEECC"/>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Stockholder Matters</w:t>
              </w:r>
            </w:hyperlink>
          </w:p>
        </w:tc>
        <w:tc>
          <w:tcPr>
            <w:tcW w:w="4700" w:type="dxa"/>
            <w:vAlign w:val="bottom"/>
            <w:tcBorders>
              <w:top w:val="single" w:sz="8" w:color="0000EE"/>
              <w:bottom w:val="single" w:sz="8" w:color="CCEECC"/>
            </w:tcBorders>
            <w:gridSpan w:val="19"/>
            <w:shd w:val="clear" w:color="auto" w:fill="CCEECC"/>
          </w:tcPr>
          <w:p>
            <w:pPr>
              <w:spacing w:after="0"/>
              <w:rPr>
                <w:sz w:val="18"/>
                <w:szCs w:val="18"/>
                <w:color w:val="auto"/>
              </w:rPr>
            </w:pPr>
          </w:p>
        </w:tc>
        <w:tc>
          <w:tcPr>
            <w:tcW w:w="180" w:type="dxa"/>
            <w:vAlign w:val="bottom"/>
            <w:tcBorders>
              <w:top w:val="single" w:sz="8" w:color="CCEECC"/>
              <w:bottom w:val="single" w:sz="8" w:color="CCEECC"/>
            </w:tcBorders>
            <w:gridSpan w:val="2"/>
            <w:shd w:val="clear" w:color="auto" w:fill="CCEECC"/>
          </w:tcPr>
          <w:p>
            <w:pPr>
              <w:spacing w:after="0"/>
              <w:rPr>
                <w:sz w:val="18"/>
                <w:szCs w:val="18"/>
                <w:color w:val="auto"/>
              </w:rPr>
            </w:pPr>
          </w:p>
        </w:tc>
        <w:tc>
          <w:tcPr>
            <w:tcW w:w="160" w:type="dxa"/>
            <w:vAlign w:val="bottom"/>
            <w:tcBorders>
              <w:top w:val="single" w:sz="8" w:color="CCEECC"/>
              <w:bottom w:val="single" w:sz="8" w:color="CCEECC"/>
            </w:tcBorders>
            <w:shd w:val="clear" w:color="auto" w:fill="CCEECC"/>
          </w:tcPr>
          <w:p>
            <w:pPr>
              <w:spacing w:after="0"/>
              <w:rPr>
                <w:sz w:val="18"/>
                <w:szCs w:val="18"/>
                <w:color w:val="auto"/>
              </w:rPr>
            </w:pPr>
          </w:p>
        </w:tc>
        <w:tc>
          <w:tcPr>
            <w:tcW w:w="340" w:type="dxa"/>
            <w:vAlign w:val="bottom"/>
            <w:tcBorders>
              <w:top w:val="single" w:sz="8" w:color="CCEECC"/>
              <w:bottom w:val="single" w:sz="8" w:color="CCEECC"/>
            </w:tcBorders>
            <w:shd w:val="clear" w:color="auto" w:fill="CCEECC"/>
          </w:tcPr>
          <w:p>
            <w:pPr>
              <w:spacing w:after="0"/>
              <w:rPr>
                <w:sz w:val="18"/>
                <w:szCs w:val="18"/>
                <w:color w:val="auto"/>
              </w:rPr>
            </w:pPr>
          </w:p>
        </w:tc>
        <w:tc>
          <w:tcPr>
            <w:tcW w:w="220" w:type="dxa"/>
            <w:vAlign w:val="bottom"/>
            <w:tcBorders>
              <w:top w:val="single" w:sz="8" w:color="CCEECC"/>
              <w:bottom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Item 13.</w:t>
            </w:r>
          </w:p>
        </w:tc>
        <w:tc>
          <w:tcPr>
            <w:tcW w:w="6340" w:type="dxa"/>
            <w:vAlign w:val="bottom"/>
            <w:gridSpan w:val="28"/>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Certain Relationships and Related Transactions, and Director Independence</w:t>
              </w:r>
            </w:hyperlink>
          </w:p>
        </w:tc>
        <w:tc>
          <w:tcPr>
            <w:tcW w:w="50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9"/>
              </w:rPr>
              <w:t>18</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9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14.</w:t>
            </w:r>
          </w:p>
        </w:tc>
        <w:tc>
          <w:tcPr>
            <w:tcW w:w="6340" w:type="dxa"/>
            <w:vAlign w:val="bottom"/>
            <w:gridSpan w:val="28"/>
            <w:shd w:val="clear" w:color="auto" w:fill="CCEECC"/>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Principal Accountant Fees and Services</w:t>
              </w:r>
            </w:hyperlink>
          </w:p>
        </w:tc>
        <w:tc>
          <w:tcPr>
            <w:tcW w:w="500" w:type="dxa"/>
            <w:vAlign w:val="bottom"/>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89"/>
              </w:rPr>
              <w:t>18</w:t>
            </w:r>
          </w:p>
        </w:tc>
        <w:tc>
          <w:tcPr>
            <w:tcW w:w="2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8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5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40" w:type="dxa"/>
            <w:vAlign w:val="bottom"/>
            <w:tcBorders>
              <w:top w:val="single" w:sz="8" w:color="0000EE"/>
            </w:tcBorders>
            <w:shd w:val="clear" w:color="auto" w:fill="CCEECC"/>
          </w:tcPr>
          <w:p>
            <w:pPr>
              <w:spacing w:after="0" w:line="20" w:lineRule="exact"/>
              <w:rPr>
                <w:sz w:val="1"/>
                <w:szCs w:val="1"/>
                <w:color w:val="auto"/>
              </w:rPr>
            </w:pPr>
          </w:p>
        </w:tc>
        <w:tc>
          <w:tcPr>
            <w:tcW w:w="240" w:type="dxa"/>
            <w:vAlign w:val="bottom"/>
            <w:tcBorders>
              <w:top w:val="single" w:sz="8" w:color="0000EE"/>
            </w:tcBorders>
            <w:shd w:val="clear" w:color="auto" w:fill="CCEECC"/>
          </w:tcPr>
          <w:p>
            <w:pPr>
              <w:spacing w:after="0" w:line="20" w:lineRule="exact"/>
              <w:rPr>
                <w:sz w:val="1"/>
                <w:szCs w:val="1"/>
                <w:color w:val="auto"/>
              </w:rPr>
            </w:pPr>
          </w:p>
        </w:tc>
        <w:tc>
          <w:tcPr>
            <w:tcW w:w="6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320" w:type="dxa"/>
            <w:vAlign w:val="bottom"/>
            <w:tcBorders>
              <w:top w:val="single" w:sz="8" w:color="0000EE"/>
            </w:tcBorders>
            <w:shd w:val="clear" w:color="auto" w:fill="CCEECC"/>
          </w:tcPr>
          <w:p>
            <w:pPr>
              <w:spacing w:after="0" w:line="20" w:lineRule="exact"/>
              <w:rPr>
                <w:sz w:val="1"/>
                <w:szCs w:val="1"/>
                <w:color w:val="auto"/>
              </w:rPr>
            </w:pPr>
          </w:p>
        </w:tc>
        <w:tc>
          <w:tcPr>
            <w:tcW w:w="60" w:type="dxa"/>
            <w:vAlign w:val="bottom"/>
            <w:tcBorders>
              <w:top w:val="single" w:sz="8" w:color="0000EE"/>
            </w:tcBorders>
            <w:shd w:val="clear" w:color="auto" w:fill="CCEECC"/>
          </w:tcPr>
          <w:p>
            <w:pPr>
              <w:spacing w:after="0" w:line="20" w:lineRule="exact"/>
              <w:rPr>
                <w:sz w:val="1"/>
                <w:szCs w:val="1"/>
                <w:color w:val="auto"/>
              </w:rPr>
            </w:pPr>
          </w:p>
        </w:tc>
        <w:tc>
          <w:tcPr>
            <w:tcW w:w="56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100" w:type="dxa"/>
            <w:vAlign w:val="bottom"/>
            <w:tcBorders>
              <w:top w:val="single" w:sz="8" w:color="CCEECC"/>
            </w:tcBorders>
            <w:shd w:val="clear" w:color="auto" w:fill="CCEECC"/>
          </w:tcPr>
          <w:p>
            <w:pPr>
              <w:spacing w:after="0" w:line="20" w:lineRule="exact"/>
              <w:rPr>
                <w:sz w:val="1"/>
                <w:szCs w:val="1"/>
                <w:color w:val="auto"/>
              </w:rPr>
            </w:pPr>
          </w:p>
        </w:tc>
        <w:tc>
          <w:tcPr>
            <w:tcW w:w="7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gridSpan w:val="15"/>
          </w:tcPr>
          <w:p>
            <w:pPr>
              <w:jc w:val="center"/>
              <w:ind w:right="2940"/>
              <w:spacing w:after="0"/>
              <w:rPr>
                <w:sz w:val="20"/>
                <w:szCs w:val="20"/>
                <w:color w:val="auto"/>
              </w:rPr>
            </w:pPr>
            <w:r>
              <w:rPr>
                <w:rFonts w:ascii="Arial" w:cs="Arial" w:eastAsia="Arial" w:hAnsi="Arial"/>
                <w:sz w:val="18"/>
                <w:szCs w:val="18"/>
                <w:color w:val="auto"/>
                <w:w w:val="94"/>
              </w:rPr>
              <w:t>PART IV</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15.</w:t>
            </w:r>
          </w:p>
        </w:tc>
        <w:tc>
          <w:tcPr>
            <w:tcW w:w="6340" w:type="dxa"/>
            <w:vAlign w:val="bottom"/>
            <w:gridSpan w:val="28"/>
            <w:shd w:val="clear" w:color="auto" w:fill="CCEECC"/>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Exhibits, Financial Statement Schedules</w:t>
              </w:r>
            </w:hyperlink>
          </w:p>
        </w:tc>
        <w:tc>
          <w:tcPr>
            <w:tcW w:w="500" w:type="dxa"/>
            <w:vAlign w:val="bottom"/>
            <w:gridSpan w:val="2"/>
            <w:shd w:val="clear" w:color="auto" w:fill="CCEECC"/>
          </w:tcPr>
          <w:p>
            <w:pPr>
              <w:jc w:val="center"/>
              <w:ind w:left="70"/>
              <w:spacing w:after="0" w:line="176" w:lineRule="exact"/>
              <w:rPr>
                <w:sz w:val="20"/>
                <w:szCs w:val="20"/>
                <w:color w:val="auto"/>
              </w:rPr>
            </w:pPr>
            <w:r>
              <w:rPr>
                <w:rFonts w:ascii="Arial" w:cs="Arial" w:eastAsia="Arial" w:hAnsi="Arial"/>
                <w:sz w:val="18"/>
                <w:szCs w:val="18"/>
                <w:color w:val="auto"/>
                <w:w w:val="89"/>
              </w:rPr>
              <w:t>19</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720" w:type="dxa"/>
            <w:vAlign w:val="bottom"/>
            <w:tcBorders>
              <w:bottom w:val="single" w:sz="8" w:color="auto"/>
            </w:tcBorders>
          </w:tcPr>
          <w:p>
            <w:pPr>
              <w:spacing w:after="0"/>
              <w:rPr>
                <w:sz w:val="24"/>
                <w:szCs w:val="24"/>
                <w:color w:val="auto"/>
              </w:rPr>
            </w:pPr>
          </w:p>
        </w:tc>
        <w:tc>
          <w:tcPr>
            <w:tcW w:w="920" w:type="dxa"/>
            <w:vAlign w:val="bottom"/>
            <w:tcBorders>
              <w:top w:val="single" w:sz="8" w:color="CCEECC"/>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CC"/>
              <w:bottom w:val="single" w:sz="8" w:color="auto"/>
            </w:tcBorders>
          </w:tcPr>
          <w:p>
            <w:pPr>
              <w:spacing w:after="0"/>
              <w:rPr>
                <w:sz w:val="24"/>
                <w:szCs w:val="24"/>
                <w:color w:val="auto"/>
              </w:rPr>
            </w:pPr>
          </w:p>
        </w:tc>
        <w:tc>
          <w:tcPr>
            <w:tcW w:w="20" w:type="dxa"/>
            <w:vAlign w:val="bottom"/>
            <w:tcBorders>
              <w:top w:val="single" w:sz="8" w:color="CCEECC"/>
              <w:bottom w:val="single" w:sz="8" w:color="auto"/>
            </w:tcBorders>
          </w:tcPr>
          <w:p>
            <w:pPr>
              <w:spacing w:after="0"/>
              <w:rPr>
                <w:sz w:val="24"/>
                <w:szCs w:val="24"/>
                <w:color w:val="auto"/>
              </w:rPr>
            </w:pPr>
          </w:p>
        </w:tc>
        <w:tc>
          <w:tcPr>
            <w:tcW w:w="40" w:type="dxa"/>
            <w:vAlign w:val="bottom"/>
            <w:tcBorders>
              <w:top w:val="single" w:sz="8" w:color="CCEECC"/>
              <w:bottom w:val="single" w:sz="8" w:color="auto"/>
            </w:tcBorders>
          </w:tcPr>
          <w:p>
            <w:pPr>
              <w:spacing w:after="0"/>
              <w:rPr>
                <w:sz w:val="24"/>
                <w:szCs w:val="24"/>
                <w:color w:val="auto"/>
              </w:rPr>
            </w:pPr>
          </w:p>
        </w:tc>
        <w:tc>
          <w:tcPr>
            <w:tcW w:w="20" w:type="dxa"/>
            <w:vAlign w:val="bottom"/>
            <w:tcBorders>
              <w:top w:val="single" w:sz="8" w:color="CCEECC"/>
              <w:bottom w:val="single" w:sz="8" w:color="auto"/>
            </w:tcBorders>
          </w:tcPr>
          <w:p>
            <w:pPr>
              <w:spacing w:after="0"/>
              <w:rPr>
                <w:sz w:val="24"/>
                <w:szCs w:val="24"/>
                <w:color w:val="auto"/>
              </w:rPr>
            </w:pPr>
          </w:p>
        </w:tc>
        <w:tc>
          <w:tcPr>
            <w:tcW w:w="640" w:type="dxa"/>
            <w:vAlign w:val="bottom"/>
            <w:tcBorders>
              <w:top w:val="single" w:sz="8" w:color="CCEECC"/>
              <w:bottom w:val="single" w:sz="8" w:color="auto"/>
            </w:tcBorders>
          </w:tcPr>
          <w:p>
            <w:pPr>
              <w:spacing w:after="0"/>
              <w:rPr>
                <w:sz w:val="24"/>
                <w:szCs w:val="24"/>
                <w:color w:val="auto"/>
              </w:rPr>
            </w:pPr>
          </w:p>
        </w:tc>
        <w:tc>
          <w:tcPr>
            <w:tcW w:w="40" w:type="dxa"/>
            <w:vAlign w:val="bottom"/>
            <w:tcBorders>
              <w:top w:val="single" w:sz="8" w:color="CCEECC"/>
              <w:bottom w:val="single" w:sz="8" w:color="auto"/>
            </w:tcBorders>
          </w:tcPr>
          <w:p>
            <w:pPr>
              <w:spacing w:after="0"/>
              <w:rPr>
                <w:sz w:val="24"/>
                <w:szCs w:val="24"/>
                <w:color w:val="auto"/>
              </w:rPr>
            </w:pPr>
          </w:p>
        </w:tc>
        <w:tc>
          <w:tcPr>
            <w:tcW w:w="260" w:type="dxa"/>
            <w:vAlign w:val="bottom"/>
            <w:tcBorders>
              <w:top w:val="single" w:sz="8" w:color="CCEECC"/>
              <w:bottom w:val="single" w:sz="8" w:color="auto"/>
            </w:tcBorders>
          </w:tcPr>
          <w:p>
            <w:pPr>
              <w:spacing w:after="0"/>
              <w:rPr>
                <w:sz w:val="24"/>
                <w:szCs w:val="24"/>
                <w:color w:val="auto"/>
              </w:rPr>
            </w:pPr>
          </w:p>
        </w:tc>
        <w:tc>
          <w:tcPr>
            <w:tcW w:w="1100" w:type="dxa"/>
            <w:vAlign w:val="bottom"/>
            <w:tcBorders>
              <w:top w:val="single" w:sz="8" w:color="CCEECC"/>
              <w:bottom w:val="single" w:sz="8" w:color="auto"/>
            </w:tcBorders>
          </w:tcPr>
          <w:p>
            <w:pPr>
              <w:spacing w:after="0"/>
              <w:rPr>
                <w:sz w:val="24"/>
                <w:szCs w:val="24"/>
                <w:color w:val="auto"/>
              </w:rPr>
            </w:pPr>
          </w:p>
        </w:tc>
        <w:tc>
          <w:tcPr>
            <w:tcW w:w="720" w:type="dxa"/>
            <w:vAlign w:val="bottom"/>
            <w:tcBorders>
              <w:top w:val="single" w:sz="8" w:color="CCEECC"/>
              <w:bottom w:val="single" w:sz="8" w:color="auto"/>
            </w:tcBorders>
          </w:tcPr>
          <w:p>
            <w:pPr>
              <w:spacing w:after="0"/>
              <w:rPr>
                <w:sz w:val="24"/>
                <w:szCs w:val="24"/>
                <w:color w:val="auto"/>
              </w:rPr>
            </w:pPr>
          </w:p>
        </w:tc>
        <w:tc>
          <w:tcPr>
            <w:tcW w:w="20" w:type="dxa"/>
            <w:vAlign w:val="bottom"/>
            <w:tcBorders>
              <w:top w:val="single" w:sz="8" w:color="CCEECC"/>
              <w:bottom w:val="single" w:sz="8" w:color="auto"/>
            </w:tcBorders>
          </w:tcPr>
          <w:p>
            <w:pPr>
              <w:spacing w:after="0"/>
              <w:rPr>
                <w:sz w:val="24"/>
                <w:szCs w:val="24"/>
                <w:color w:val="auto"/>
              </w:rPr>
            </w:pPr>
          </w:p>
        </w:tc>
        <w:tc>
          <w:tcPr>
            <w:tcW w:w="160" w:type="dxa"/>
            <w:vAlign w:val="bottom"/>
            <w:tcBorders>
              <w:top w:val="single" w:sz="8" w:color="CCEECC"/>
              <w:bottom w:val="single" w:sz="8" w:color="auto"/>
            </w:tcBorders>
          </w:tcPr>
          <w:p>
            <w:pPr>
              <w:spacing w:after="0"/>
              <w:rPr>
                <w:sz w:val="24"/>
                <w:szCs w:val="24"/>
                <w:color w:val="auto"/>
              </w:rPr>
            </w:pPr>
          </w:p>
        </w:tc>
        <w:tc>
          <w:tcPr>
            <w:tcW w:w="160" w:type="dxa"/>
            <w:vAlign w:val="bottom"/>
            <w:tcBorders>
              <w:top w:val="single" w:sz="8" w:color="CCEECC"/>
              <w:bottom w:val="single" w:sz="8" w:color="auto"/>
            </w:tcBorders>
          </w:tcPr>
          <w:p>
            <w:pPr>
              <w:spacing w:after="0"/>
              <w:rPr>
                <w:sz w:val="24"/>
                <w:szCs w:val="24"/>
                <w:color w:val="auto"/>
              </w:rPr>
            </w:pPr>
          </w:p>
        </w:tc>
        <w:tc>
          <w:tcPr>
            <w:tcW w:w="340" w:type="dxa"/>
            <w:vAlign w:val="bottom"/>
            <w:tcBorders>
              <w:top w:val="single" w:sz="8" w:color="CCEECC"/>
              <w:bottom w:val="single" w:sz="8" w:color="auto"/>
            </w:tcBorders>
          </w:tcPr>
          <w:p>
            <w:pPr>
              <w:spacing w:after="0"/>
              <w:rPr>
                <w:sz w:val="24"/>
                <w:szCs w:val="24"/>
                <w:color w:val="auto"/>
              </w:rPr>
            </w:pPr>
          </w:p>
        </w:tc>
        <w:tc>
          <w:tcPr>
            <w:tcW w:w="220" w:type="dxa"/>
            <w:vAlign w:val="bottom"/>
            <w:tcBorders>
              <w:top w:val="single" w:sz="8" w:color="CCEECC"/>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320" w:type="dxa"/>
            <w:vAlign w:val="bottom"/>
            <w:gridSpan w:val="18"/>
          </w:tcPr>
          <w:p>
            <w:pPr>
              <w:jc w:val="center"/>
              <w:ind w:left="273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OPTIMIZERx finished the fourth quarter with revenues of $1,810,610 bringing revenue for fiscal 2013 to a total of $4,957,016, an increase of 149% over 2012. We achieved net income of $215,847 for the year. Our year end also recognizes a onetime adjustment relative to our cost of goods sold and reflects a change in accounting procedures for these expenses. Prior reporting was based upon how the revenue share expenses were paid per the agreements held with OPTIMIZERx’s channel partners. The change in accounting process will now accrue the expense as it is incurred.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continued growth in revenues is again primarily driven by our SampleMD content delivery solution. During the 2013 fiscal year, OPTIMIZERx delivered some 1,122,589 new ePrescriptions with co-pay coupons or free sample vouchers helping patients more affordably start and stay on their prescribed medications.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be very enthusiastic about our growth and the state of our core business. OPTIMIZERx continues to be resilient in growing our business throughout the year and is a . Its a testament to the core employee base and the dedication of its management and employees alike to move the organization forward. We have gained the confidence of pharmaceutical manufacturers and partners, and continue to add new clients and partners that increases our offering portfolio and expands our network reach.</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second half of the year we have initiated a major tgechnology undertaking to develop SampleMD 2.0. This effort is focused on moving our technology from flash to HTML 5 based that will improve our response times and user interfaces and offer infinite scalability to support our expected growth. Additionally, this work focuses on building modularity for ease of adding new features and functions to the core solution while simplifying the integration process with future partners and other solution providers. On top of building out our updated software solution, we are also updating our infrastructure by replacing and updating our computers in a high availability environment, taking greater precautions for security and building out the architecture to facilitate disaster recovery with a secondary facilitated computer environment. This investment will increase performance, simplify integrations, insure availability and protect the investments of our shareholders. It is anticipated that the release of SampleMD 2.0 be fully implemented by April 2014.</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Initial market reaction to the OPTIMIZERx announcement of its emerging OPTIMIZEHR consulting practice has been very positive as we have engaged in our first two (2) major pharmaceutical manufacture EHR strategy initiatives (pilot projects). Coordinating efforts with our strategic partners, we have collaborated to deliver sound strategy for each of these manufacturers. These efforts have resulted in ongoing and growing commitments by these clients with new and expanded contracts. OPTIMIZERx will continue to work with its partners in building out this practice as more clients are interested in Drug File Integration, Sales Force Training and Strategy.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are expanding our partnership with WPP and have completed account sales training of Grey Health account personnel to resell our services. We are also working with their other agencies, including Sudler, who have expressed a strong interest in additionally collaborating to sell and develop new services. The partnership has also been highly received by the pharmaceutical and EHR industries.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our efforts are reflected in the growth and record revenues experienced during 2013 despite overcoming growth challenges presented in the year. The company remained very resilient and with the dedication of the employees and management, these challenges were overcome and the company remained profitable for the year and continued to generate cash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Going forward into the New Year, we continue to drive our three primary messages to the pharmaceutical industry:</w:t>
      </w:r>
    </w:p>
    <w:p>
      <w:pPr>
        <w:spacing w:after="0" w:line="225"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SampleMD has the largest capacity to deliver targeted promotional and incentive messaging to physicians at point of prescription through interoperability with multiple disparate electronic health platforms;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Electronic health platforms (EMRs, eRx, Patient Portals) are the most cost-effective way to reach physicians and patients, as opposed to external web sites that have been traditionally the focus of their non-rep marketing, and should therefore be an increasing focus for all pharmaceutical marketing dollars.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Pharmaceutical brands must move their Financial and Educational Support programs into the physicians ePrescribe workflow to increase prescriptions and fill rates. Samples are continuing to be restricted, as are pharmaceutical reps regular access and this is the most effective alternative channel with demonstrated strong ROI.</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we remain committed to working with top organizations to provided better affordability and access to healthcare for the patients we serve. To achieve this, we will continue to work with leading providers in partnering to provide simple to use solutions. As compliance and regulatory requirements (i.e. meaningful use) continue to surround healthcare providers, OptimizeRx continues through its partnerships and internal R&amp;D to become the “HUB” for providing access to these ease-of-use solutions.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these continued efforts, we believe that SampleMD continues to be regarded as the innovative industry leader, setting the standards within this new frontier of digital EMR solution marketing for patient care.</w:t>
      </w:r>
    </w:p>
    <w:p>
      <w:pPr>
        <w:sectPr>
          <w:pgSz w:w="11900" w:h="16838" w:orient="portrait"/>
          <w:cols w:equalWidth="0" w:num="1">
            <w:col w:w="11420"/>
          </w:cols>
          <w:pgMar w:left="240" w:top="233"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right="2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SampleMD -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19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w:t>
      </w:r>
    </w:p>
    <w:p>
      <w:pPr>
        <w:spacing w:after="0" w:line="130" w:lineRule="exact"/>
        <w:rPr>
          <w:rFonts w:ascii="Arial" w:cs="Arial" w:eastAsia="Arial" w:hAnsi="Arial"/>
          <w:sz w:val="17"/>
          <w:szCs w:val="17"/>
          <w:color w:val="auto"/>
        </w:rPr>
      </w:pPr>
    </w:p>
    <w:p>
      <w:pPr>
        <w:jc w:val="both"/>
        <w:ind w:left="66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OPTIMIZEHR – Our consulting practice focused at educating and working with pharmaceutical manufacturers on identifying, formulating, and implementing new eRx media strategies for promoting their product.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w:t>
      </w:r>
    </w:p>
    <w:p>
      <w:pPr>
        <w:spacing w:after="0" w:line="158" w:lineRule="exact"/>
        <w:rPr>
          <w:rFonts w:ascii="Arial" w:cs="Arial" w:eastAsia="Arial" w:hAnsi="Arial"/>
          <w:sz w:val="16"/>
          <w:szCs w:val="16"/>
          <w:color w:val="auto"/>
        </w:rPr>
      </w:pPr>
    </w:p>
    <w:p>
      <w:pPr>
        <w:jc w:val="both"/>
        <w:ind w:left="66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to extend our marketing efforts to build both brand and capabilities awareness to the market. As mentioned above, we continue to actively participate in industry and partner events such as exlPharma and the ACE – Allscripts Users Conference as well as taking a lead sponsor position in the inaugural CBInet eRx and EHR conference in March of 2014. During the course of the year, we also initiated and delivered successful email marketing campaigns, webinar with CMI Compass on What Physicians want within their HER’s, as well as successful public relations and press release communications initiatives. We ran advertising campaigns through Pharma Exec magazine that netted several responses and qualified leads.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OPTIMIZERx and SampleMD primarily through the following:</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we have attracted and hired a highly seasoned Sales and Marketing Executive who has decades of global pharmaceutical marketing and sales experience at AstraZeneca and others as our Eastern Vice President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invest in our technology and plan to release SampleMD 2.0 in 2014. This new and improved release will enhance the performance of our first version through quicker response times, easier integration to platform partners, modularity for the addition of new features and functions and an entirely updated user interface to speed and enhance the setup of new programs and campaigns. We will continue to offer reporting portal access to our clients with a new and improved user interface and updated reporting capabilities for monitoring program and campaign performance.</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SampleMD 2.0 release will also be supported by a new and updated infrastructure that is a high availability clustered environment with remote disaster recovery enabling us to be back up and running from the worst facility catastrophe in very short order.</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our commitment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OPTIMIZERx, we are still keen on the opinions and input that we gain from all stakeholders by which our products and solutions cross. From the prescribing clinicians that utilize our solutions to add value to the patients they serve, to the partners we use to leverage their channels for distribution and promotion of the services, we are able to greatly assist the pharmaceutical manufacturing clients that depend on our solutions to increase their brand awareness and assist patients in need of their offerings. This “Voice of the Stakeholder” is a mantra that we leverage in analyzing industry trends and market shifts and identifying enhancements and new offerings through our SampleMD™ solution. This effort involves all of our officers and directors as part of our continual research development team while monitoring new technologies, trends, services, and partnerships that can help us provide additional services and increased value to the healthcare and pharmaceutical industries and to the patients they serve.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technology roadmap for potential new solutions continues to grow as we continued to finalize the two development programs initiated this year featuring a live chat or conversation between the health provider and product manufacturer or service, as well as a one click way to request a representative visit. These solutions address major access barriers that limit doctors’ interaction with the manufacturer and allow the health system or provider to access needed information when they want it. As we are in collaboration with our partners, further content and information delivery solutions are being flushed out as we continue to integrate with new channels and partners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leadership of the Director of Technology and Director of Software Development, whom were added late in 2011 to strengthen our core technical team, we have added an additional developer and a technical intern while leveraging a new development partner in Simple eSolutions, whom provided valuable architecture, system design and database management support on the SampleMD 2.0 effort. We also continued to work with the Engineering and Information Technology department of Oakland University in Rochester Michigan. As the University has opened the doors of its new medical school, it also brings highly skilled technology and application developers whom possess a solid knowledge of medical industry IT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SampleMD has faced some competition based on the growth in the space primarily by Physicians Interactive. As noted, we have filed a patent infringement suit against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OptimizeRx.com website continues to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these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the reach to clinicians for OPTIMIZERx.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fourth quarter of 2012, we were awarded a patent for our innovative SampleMD solution (US Patent No. 8,341,015). This award highlighted our continued research and development efforts. The awarded claims cover our ability to electronically process, display and distribute eligible prescription savings on the medications and therapies healthcare providers wish to prescribe for their patients. We have also recently submitted and will be preparing additional filings to protect our intellectual property on forthcoming solutions that will further assist and support physicians, pharmacists and patients.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also used the firm to file a patent infringement lawsuit against Physicians Interactive. Management believes the current and expanding IP will allow us to continue being the leader in this rapidly growing space. OPTIMIZERx is a licensed trademark. SampleMD is a licensed trademark.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ectPr>
          <w:pgSz w:w="11900" w:h="16838" w:orient="portrait"/>
          <w:cols w:equalWidth="0" w:num="1">
            <w:col w:w="11420"/>
          </w:cols>
          <w:pgMar w:left="240" w:top="233"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2014, we had 13 employees in addition to 4 contracted programmers through our established relationship with Simple eSolutions a technical and programming resources partner. Additionally we have one contracted business development individual targeting new EMR channel and pharma client.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400 Water Street, Suite 200, Rochester, Michigan, 48307. We have entered into a 3 year lease for this 2,886 square foot facility, with a cost of approximately$5,049.25 per month.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ectPr>
          <w:pgSz w:w="11900" w:h="16838" w:orient="portrait"/>
          <w:cols w:equalWidth="0" w:num="1">
            <w:col w:w="11420"/>
          </w:cols>
          <w:pgMar w:left="240" w:top="233" w:right="239" w:bottom="705"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705"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3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September 30, 2013, the defendants responded denying the assertions made in our Complaint, but no further action has occurred in the case.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learned of an action in New Jersey brought by Milton J. Wilson and the Milton Wilson 2000 Trust. Last November 2013, we were served notice that we would be added as an additional party to the case titled Milton Wilson et al. v. Continental Capital Corporation, C-289-06, in the Superior Court of New Jersey. There is an existing default judgment of roughly $1,000,000 in the case. We are uncertain of the substance of the allegations lodged against the existing defendants and now perhaps us, as we are likely now a party to the action. We intend to investigate and, if necessary, vigorously defend the matter. We hope to have more information in subsequent SEC filings.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 Ending December 31, 2012</w:t>
      </w:r>
    </w:p>
    <w:p>
      <w:pPr>
        <w:spacing w:after="0" w:line="23" w:lineRule="exact"/>
        <w:rPr>
          <w:sz w:val="20"/>
          <w:szCs w:val="20"/>
          <w:color w:val="auto"/>
        </w:rPr>
      </w:pPr>
    </w:p>
    <w:tbl>
      <w:tblPr>
        <w:tblLayout w:type="fixed"/>
        <w:tblInd w:w="3160" w:type="dxa"/>
        <w:tblCellMar>
          <w:top w:w="0" w:type="dxa"/>
          <w:left w:w="0" w:type="dxa"/>
          <w:bottom w:w="0" w:type="dxa"/>
          <w:right w:w="0" w:type="dxa"/>
        </w:tblCellMar>
      </w:tblPr>
      <w:tr>
        <w:trPr>
          <w:trHeight w:val="223"/>
        </w:trPr>
        <w:tc>
          <w:tcPr>
            <w:tcW w:w="174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9"/>
              </w:rPr>
              <w:t>Quarter Ended</w:t>
            </w:r>
          </w:p>
        </w:tc>
        <w:tc>
          <w:tcPr>
            <w:tcW w:w="2280" w:type="dxa"/>
            <w:vAlign w:val="bottom"/>
            <w:tcBorders>
              <w:top w:val="single" w:sz="8" w:color="auto"/>
            </w:tcBorders>
            <w:gridSpan w:val="4"/>
          </w:tcPr>
          <w:p>
            <w:pPr>
              <w:jc w:val="center"/>
              <w:ind w:right="620"/>
              <w:spacing w:after="0"/>
              <w:rPr>
                <w:sz w:val="20"/>
                <w:szCs w:val="20"/>
                <w:color w:val="auto"/>
              </w:rPr>
            </w:pPr>
            <w:r>
              <w:rPr>
                <w:rFonts w:ascii="Arial" w:cs="Arial" w:eastAsia="Arial" w:hAnsi="Arial"/>
                <w:sz w:val="18"/>
                <w:szCs w:val="18"/>
                <w:color w:val="auto"/>
                <w:w w:val="96"/>
              </w:rPr>
              <w:t>High $</w:t>
            </w:r>
          </w:p>
        </w:tc>
        <w:tc>
          <w:tcPr>
            <w:tcW w:w="1100" w:type="dxa"/>
            <w:vAlign w:val="bottom"/>
            <w:tcBorders>
              <w:top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5"/>
              </w:rPr>
              <w:t>Low $</w:t>
            </w:r>
          </w:p>
        </w:tc>
      </w:tr>
      <w:tr>
        <w:trPr>
          <w:trHeight w:val="210"/>
        </w:trPr>
        <w:tc>
          <w:tcPr>
            <w:tcW w:w="1680" w:type="dxa"/>
            <w:vAlign w:val="bottom"/>
            <w:tcBorders>
              <w:top w:val="single" w:sz="8" w:color="auto"/>
            </w:tcBorders>
            <w:gridSpan w:val="2"/>
            <w:shd w:val="clear" w:color="auto" w:fill="CCEECC"/>
          </w:tcPr>
          <w:p>
            <w:pPr>
              <w:jc w:val="center"/>
              <w:ind w:right="20"/>
              <w:spacing w:after="0"/>
              <w:rPr>
                <w:sz w:val="20"/>
                <w:szCs w:val="20"/>
                <w:color w:val="auto"/>
              </w:rPr>
            </w:pPr>
            <w:r>
              <w:rPr>
                <w:rFonts w:ascii="Arial" w:cs="Arial" w:eastAsia="Arial" w:hAnsi="Arial"/>
                <w:sz w:val="18"/>
                <w:szCs w:val="18"/>
                <w:color w:val="auto"/>
                <w:w w:val="89"/>
              </w:rPr>
              <w:t>December 31, 2012</w:t>
            </w:r>
          </w:p>
        </w:tc>
        <w:tc>
          <w:tcPr>
            <w:tcW w:w="60" w:type="dxa"/>
            <w:vAlign w:val="bottom"/>
            <w:tcBorders>
              <w:top w:val="single" w:sz="8" w:color="CCEECC"/>
            </w:tcBorders>
            <w:shd w:val="clear" w:color="auto" w:fill="CCEECC"/>
          </w:tcPr>
          <w:p>
            <w:pPr>
              <w:spacing w:after="0"/>
              <w:rPr>
                <w:sz w:val="18"/>
                <w:szCs w:val="18"/>
                <w:color w:val="auto"/>
              </w:rPr>
            </w:pPr>
          </w:p>
        </w:tc>
        <w:tc>
          <w:tcPr>
            <w:tcW w:w="164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91"/>
              </w:rPr>
              <w:t>1.61</w:t>
            </w:r>
          </w:p>
        </w:tc>
        <w:tc>
          <w:tcPr>
            <w:tcW w:w="4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40" w:type="dxa"/>
            <w:vAlign w:val="bottom"/>
            <w:tcBorders>
              <w:top w:val="single" w:sz="8" w:color="auto"/>
            </w:tcBorders>
            <w:shd w:val="clear" w:color="auto" w:fill="CCEECC"/>
          </w:tcPr>
          <w:p>
            <w:pPr>
              <w:spacing w:after="0"/>
              <w:rPr>
                <w:sz w:val="18"/>
                <w:szCs w:val="18"/>
                <w:color w:val="auto"/>
              </w:rPr>
            </w:pPr>
          </w:p>
        </w:tc>
        <w:tc>
          <w:tcPr>
            <w:tcW w:w="1060" w:type="dxa"/>
            <w:vAlign w:val="bottom"/>
            <w:tcBorders>
              <w:top w:val="single" w:sz="8" w:color="auto"/>
            </w:tcBorders>
            <w:shd w:val="clear" w:color="auto" w:fill="CCEECC"/>
          </w:tcPr>
          <w:p>
            <w:pPr>
              <w:jc w:val="center"/>
              <w:ind w:right="410"/>
              <w:spacing w:after="0"/>
              <w:rPr>
                <w:sz w:val="20"/>
                <w:szCs w:val="20"/>
                <w:color w:val="auto"/>
              </w:rPr>
            </w:pPr>
            <w:r>
              <w:rPr>
                <w:rFonts w:ascii="Arial" w:cs="Arial" w:eastAsia="Arial" w:hAnsi="Arial"/>
                <w:sz w:val="18"/>
                <w:szCs w:val="18"/>
                <w:color w:val="auto"/>
                <w:w w:val="91"/>
              </w:rPr>
              <w:t>0.85</w:t>
            </w:r>
          </w:p>
        </w:tc>
        <w:tc>
          <w:tcPr>
            <w:tcW w:w="40" w:type="dxa"/>
            <w:vAlign w:val="bottom"/>
            <w:tcBorders>
              <w:top w:val="single" w:sz="8" w:color="auto"/>
            </w:tcBorders>
            <w:shd w:val="clear" w:color="auto" w:fill="CCEECC"/>
          </w:tcPr>
          <w:p>
            <w:pPr>
              <w:spacing w:after="0"/>
              <w:rPr>
                <w:sz w:val="18"/>
                <w:szCs w:val="18"/>
                <w:color w:val="auto"/>
              </w:rPr>
            </w:pPr>
          </w:p>
        </w:tc>
      </w:tr>
      <w:tr>
        <w:trPr>
          <w:trHeight w:val="216"/>
        </w:trPr>
        <w:tc>
          <w:tcPr>
            <w:tcW w:w="17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September 30, 2012</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center"/>
              <w:ind w:right="410"/>
              <w:spacing w:after="0"/>
              <w:rPr>
                <w:sz w:val="20"/>
                <w:szCs w:val="20"/>
                <w:color w:val="auto"/>
              </w:rPr>
            </w:pPr>
            <w:r>
              <w:rPr>
                <w:rFonts w:ascii="Arial" w:cs="Arial" w:eastAsia="Arial" w:hAnsi="Arial"/>
                <w:sz w:val="18"/>
                <w:szCs w:val="18"/>
                <w:color w:val="auto"/>
                <w:w w:val="91"/>
              </w:rPr>
              <w:t>0.43</w:t>
            </w:r>
          </w:p>
        </w:tc>
        <w:tc>
          <w:tcPr>
            <w:tcW w:w="40" w:type="dxa"/>
            <w:vAlign w:val="bottom"/>
          </w:tcPr>
          <w:p>
            <w:pPr>
              <w:spacing w:after="0"/>
              <w:rPr>
                <w:sz w:val="18"/>
                <w:szCs w:val="18"/>
                <w:color w:val="auto"/>
              </w:rPr>
            </w:pPr>
          </w:p>
        </w:tc>
      </w:tr>
      <w:tr>
        <w:trPr>
          <w:trHeight w:val="216"/>
        </w:trPr>
        <w:tc>
          <w:tcPr>
            <w:tcW w:w="174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9"/>
              </w:rPr>
              <w:t>June 30, 2012</w:t>
            </w:r>
          </w:p>
        </w:tc>
        <w:tc>
          <w:tcPr>
            <w:tcW w:w="1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1"/>
              </w:rPr>
              <w:t>1.35</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1060" w:type="dxa"/>
            <w:vAlign w:val="bottom"/>
            <w:shd w:val="clear" w:color="auto" w:fill="CCEECC"/>
          </w:tcPr>
          <w:p>
            <w:pPr>
              <w:jc w:val="center"/>
              <w:ind w:right="410"/>
              <w:spacing w:after="0"/>
              <w:rPr>
                <w:sz w:val="20"/>
                <w:szCs w:val="20"/>
                <w:color w:val="auto"/>
              </w:rPr>
            </w:pPr>
            <w:r>
              <w:rPr>
                <w:rFonts w:ascii="Arial" w:cs="Arial" w:eastAsia="Arial" w:hAnsi="Arial"/>
                <w:sz w:val="18"/>
                <w:szCs w:val="18"/>
                <w:color w:val="auto"/>
                <w:w w:val="91"/>
              </w:rPr>
              <w:t>0.75</w:t>
            </w:r>
          </w:p>
        </w:tc>
        <w:tc>
          <w:tcPr>
            <w:tcW w:w="40" w:type="dxa"/>
            <w:vAlign w:val="bottom"/>
            <w:shd w:val="clear" w:color="auto" w:fill="CCEECC"/>
          </w:tcPr>
          <w:p>
            <w:pPr>
              <w:spacing w:after="0"/>
              <w:rPr>
                <w:sz w:val="18"/>
                <w:szCs w:val="18"/>
                <w:color w:val="auto"/>
              </w:rPr>
            </w:pPr>
          </w:p>
        </w:tc>
      </w:tr>
      <w:tr>
        <w:trPr>
          <w:trHeight w:val="230"/>
        </w:trPr>
        <w:tc>
          <w:tcPr>
            <w:tcW w:w="174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March 31, 2012</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center"/>
              <w:ind w:right="410"/>
              <w:spacing w:after="0"/>
              <w:rPr>
                <w:sz w:val="20"/>
                <w:szCs w:val="20"/>
                <w:color w:val="auto"/>
              </w:rPr>
            </w:pPr>
            <w:r>
              <w:rPr>
                <w:rFonts w:ascii="Arial" w:cs="Arial" w:eastAsia="Arial" w:hAnsi="Arial"/>
                <w:sz w:val="18"/>
                <w:szCs w:val="18"/>
                <w:color w:val="auto"/>
                <w:w w:val="91"/>
              </w:rPr>
              <w:t>0.53</w:t>
            </w:r>
          </w:p>
        </w:tc>
        <w:tc>
          <w:tcPr>
            <w:tcW w:w="40" w:type="dxa"/>
            <w:vAlign w:val="bottom"/>
          </w:tcPr>
          <w:p>
            <w:pPr>
              <w:spacing w:after="0"/>
              <w:rPr>
                <w:sz w:val="20"/>
                <w:szCs w:val="20"/>
                <w:color w:val="auto"/>
              </w:rPr>
            </w:pPr>
          </w:p>
        </w:tc>
      </w:tr>
      <w:tr>
        <w:trPr>
          <w:trHeight w:val="418"/>
        </w:trPr>
        <w:tc>
          <w:tcPr>
            <w:tcW w:w="4020" w:type="dxa"/>
            <w:vAlign w:val="bottom"/>
            <w:tcBorders>
              <w:bottom w:val="single" w:sz="8" w:color="auto"/>
            </w:tcBorders>
            <w:gridSpan w:val="7"/>
          </w:tcPr>
          <w:p>
            <w:pPr>
              <w:jc w:val="center"/>
              <w:ind w:left="990"/>
              <w:spacing w:after="0"/>
              <w:rPr>
                <w:sz w:val="20"/>
                <w:szCs w:val="20"/>
                <w:color w:val="auto"/>
              </w:rPr>
            </w:pPr>
            <w:r>
              <w:rPr>
                <w:rFonts w:ascii="Arial" w:cs="Arial" w:eastAsia="Arial" w:hAnsi="Arial"/>
                <w:sz w:val="18"/>
                <w:szCs w:val="18"/>
                <w:color w:val="auto"/>
                <w:w w:val="89"/>
              </w:rPr>
              <w:t>Fiscal Year Ending December 31, 2013</w:t>
            </w: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3"/>
        </w:trPr>
        <w:tc>
          <w:tcPr>
            <w:tcW w:w="17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Quarter Ended</w:t>
            </w:r>
          </w:p>
        </w:tc>
        <w:tc>
          <w:tcPr>
            <w:tcW w:w="2280" w:type="dxa"/>
            <w:vAlign w:val="bottom"/>
            <w:gridSpan w:val="4"/>
          </w:tcPr>
          <w:p>
            <w:pPr>
              <w:jc w:val="center"/>
              <w:ind w:right="620"/>
              <w:spacing w:after="0"/>
              <w:rPr>
                <w:sz w:val="20"/>
                <w:szCs w:val="20"/>
                <w:color w:val="auto"/>
              </w:rPr>
            </w:pPr>
            <w:r>
              <w:rPr>
                <w:rFonts w:ascii="Arial" w:cs="Arial" w:eastAsia="Arial" w:hAnsi="Arial"/>
                <w:sz w:val="18"/>
                <w:szCs w:val="18"/>
                <w:color w:val="auto"/>
                <w:w w:val="96"/>
              </w:rPr>
              <w:t>High $</w:t>
            </w: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Low $</w:t>
            </w:r>
          </w:p>
        </w:tc>
      </w:tr>
      <w:tr>
        <w:trPr>
          <w:trHeight w:val="210"/>
        </w:trPr>
        <w:tc>
          <w:tcPr>
            <w:tcW w:w="16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December 31, 2013</w:t>
            </w:r>
          </w:p>
        </w:tc>
        <w:tc>
          <w:tcPr>
            <w:tcW w:w="6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64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91"/>
              </w:rPr>
              <w:t>1.65</w:t>
            </w:r>
          </w:p>
        </w:tc>
        <w:tc>
          <w:tcPr>
            <w:tcW w:w="4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40" w:type="dxa"/>
            <w:vAlign w:val="bottom"/>
            <w:tcBorders>
              <w:top w:val="single" w:sz="8" w:color="auto"/>
            </w:tcBorders>
            <w:shd w:val="clear" w:color="auto" w:fill="CCEECC"/>
          </w:tcPr>
          <w:p>
            <w:pPr>
              <w:spacing w:after="0"/>
              <w:rPr>
                <w:sz w:val="18"/>
                <w:szCs w:val="18"/>
                <w:color w:val="auto"/>
              </w:rPr>
            </w:pPr>
          </w:p>
        </w:tc>
        <w:tc>
          <w:tcPr>
            <w:tcW w:w="1060" w:type="dxa"/>
            <w:vAlign w:val="bottom"/>
            <w:tcBorders>
              <w:top w:val="single" w:sz="8" w:color="auto"/>
            </w:tcBorders>
            <w:shd w:val="clear" w:color="auto" w:fill="CCEECC"/>
          </w:tcPr>
          <w:p>
            <w:pPr>
              <w:jc w:val="center"/>
              <w:ind w:right="410"/>
              <w:spacing w:after="0"/>
              <w:rPr>
                <w:sz w:val="20"/>
                <w:szCs w:val="20"/>
                <w:color w:val="auto"/>
              </w:rPr>
            </w:pPr>
            <w:r>
              <w:rPr>
                <w:rFonts w:ascii="Arial" w:cs="Arial" w:eastAsia="Arial" w:hAnsi="Arial"/>
                <w:sz w:val="18"/>
                <w:szCs w:val="18"/>
                <w:color w:val="auto"/>
                <w:w w:val="91"/>
              </w:rPr>
              <w:t>0.91</w:t>
            </w:r>
          </w:p>
        </w:tc>
        <w:tc>
          <w:tcPr>
            <w:tcW w:w="40" w:type="dxa"/>
            <w:vAlign w:val="bottom"/>
            <w:tcBorders>
              <w:top w:val="single" w:sz="8" w:color="CCEECC"/>
            </w:tcBorders>
            <w:shd w:val="clear" w:color="auto" w:fill="CCEECC"/>
          </w:tcPr>
          <w:p>
            <w:pPr>
              <w:spacing w:after="0"/>
              <w:rPr>
                <w:sz w:val="18"/>
                <w:szCs w:val="18"/>
                <w:color w:val="auto"/>
              </w:rPr>
            </w:pPr>
          </w:p>
        </w:tc>
      </w:tr>
      <w:tr>
        <w:trPr>
          <w:trHeight w:val="216"/>
        </w:trPr>
        <w:tc>
          <w:tcPr>
            <w:tcW w:w="17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September 30, 2013</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center"/>
              <w:ind w:right="410"/>
              <w:spacing w:after="0"/>
              <w:rPr>
                <w:sz w:val="20"/>
                <w:szCs w:val="20"/>
                <w:color w:val="auto"/>
              </w:rPr>
            </w:pPr>
            <w:r>
              <w:rPr>
                <w:rFonts w:ascii="Arial" w:cs="Arial" w:eastAsia="Arial" w:hAnsi="Arial"/>
                <w:sz w:val="18"/>
                <w:szCs w:val="18"/>
                <w:color w:val="auto"/>
                <w:w w:val="91"/>
              </w:rPr>
              <w:t>0.88</w:t>
            </w:r>
          </w:p>
        </w:tc>
        <w:tc>
          <w:tcPr>
            <w:tcW w:w="40" w:type="dxa"/>
            <w:vAlign w:val="bottom"/>
          </w:tcPr>
          <w:p>
            <w:pPr>
              <w:spacing w:after="0"/>
              <w:rPr>
                <w:sz w:val="18"/>
                <w:szCs w:val="18"/>
                <w:color w:val="auto"/>
              </w:rPr>
            </w:pPr>
          </w:p>
        </w:tc>
      </w:tr>
      <w:tr>
        <w:trPr>
          <w:trHeight w:val="216"/>
        </w:trPr>
        <w:tc>
          <w:tcPr>
            <w:tcW w:w="174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9"/>
              </w:rPr>
              <w:t>June 30, 2013</w:t>
            </w:r>
          </w:p>
        </w:tc>
        <w:tc>
          <w:tcPr>
            <w:tcW w:w="1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1"/>
              </w:rPr>
              <w:t>1.91</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1060" w:type="dxa"/>
            <w:vAlign w:val="bottom"/>
            <w:shd w:val="clear" w:color="auto" w:fill="CCEECC"/>
          </w:tcPr>
          <w:p>
            <w:pPr>
              <w:jc w:val="center"/>
              <w:ind w:right="410"/>
              <w:spacing w:after="0"/>
              <w:rPr>
                <w:sz w:val="20"/>
                <w:szCs w:val="20"/>
                <w:color w:val="auto"/>
              </w:rPr>
            </w:pPr>
            <w:r>
              <w:rPr>
                <w:rFonts w:ascii="Arial" w:cs="Arial" w:eastAsia="Arial" w:hAnsi="Arial"/>
                <w:sz w:val="18"/>
                <w:szCs w:val="18"/>
                <w:color w:val="auto"/>
                <w:w w:val="91"/>
              </w:rPr>
              <w:t>1.12</w:t>
            </w:r>
          </w:p>
        </w:tc>
        <w:tc>
          <w:tcPr>
            <w:tcW w:w="40" w:type="dxa"/>
            <w:vAlign w:val="bottom"/>
            <w:shd w:val="clear" w:color="auto" w:fill="CCEECC"/>
          </w:tcPr>
          <w:p>
            <w:pPr>
              <w:spacing w:after="0"/>
              <w:rPr>
                <w:sz w:val="18"/>
                <w:szCs w:val="18"/>
                <w:color w:val="auto"/>
              </w:rPr>
            </w:pPr>
          </w:p>
        </w:tc>
      </w:tr>
      <w:tr>
        <w:trPr>
          <w:trHeight w:val="230"/>
        </w:trPr>
        <w:tc>
          <w:tcPr>
            <w:tcW w:w="174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March 31, 2013</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center"/>
              <w:ind w:right="410"/>
              <w:spacing w:after="0"/>
              <w:rPr>
                <w:sz w:val="20"/>
                <w:szCs w:val="20"/>
                <w:color w:val="auto"/>
              </w:rPr>
            </w:pPr>
            <w:r>
              <w:rPr>
                <w:rFonts w:ascii="Arial" w:cs="Arial" w:eastAsia="Arial" w:hAnsi="Arial"/>
                <w:sz w:val="18"/>
                <w:szCs w:val="18"/>
                <w:color w:val="auto"/>
                <w:w w:val="91"/>
              </w:rPr>
              <w:t>0.96</w:t>
            </w:r>
          </w:p>
        </w:tc>
        <w:tc>
          <w:tcPr>
            <w:tcW w:w="40" w:type="dxa"/>
            <w:vAlign w:val="bottom"/>
          </w:tcPr>
          <w:p>
            <w:pPr>
              <w:spacing w:after="0"/>
              <w:rPr>
                <w:sz w:val="20"/>
                <w:szCs w:val="20"/>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1840"/>
        <w:spacing w:after="0" w:line="503"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 Market Information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March 18, 2014, the last sales price per share of our common stock was $1.70.</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we had 22,809,586 shares of our common stock issued and outstanding, held by 316 shareholders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79"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2013</w:t>
            </w: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2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rPr>
              <w:t>A</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B</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C</w:t>
            </w:r>
          </w:p>
        </w:tc>
      </w:tr>
      <w:tr>
        <w:trPr>
          <w:trHeight w:val="195"/>
        </w:trPr>
        <w:tc>
          <w:tcPr>
            <w:tcW w:w="2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Number of</w:t>
            </w:r>
          </w:p>
        </w:tc>
      </w:tr>
      <w:tr>
        <w:trPr>
          <w:trHeight w:val="216"/>
        </w:trPr>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securities</w:t>
            </w:r>
          </w:p>
        </w:tc>
      </w:tr>
      <w:tr>
        <w:trPr>
          <w:trHeight w:val="216"/>
        </w:trPr>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remaining</w:t>
            </w:r>
          </w:p>
        </w:tc>
      </w:tr>
      <w:tr>
        <w:trPr>
          <w:trHeight w:val="216"/>
        </w:trPr>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2"/>
              </w:rPr>
              <w:t>available for</w:t>
            </w:r>
          </w:p>
        </w:tc>
      </w:tr>
      <w:tr>
        <w:trPr>
          <w:trHeight w:val="216"/>
        </w:trPr>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future issuance</w:t>
            </w:r>
          </w:p>
        </w:tc>
      </w:tr>
      <w:tr>
        <w:trPr>
          <w:trHeight w:val="216"/>
        </w:trPr>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securities to be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Weighted-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under equity</w:t>
            </w:r>
          </w:p>
        </w:tc>
      </w:tr>
      <w:tr>
        <w:trPr>
          <w:trHeight w:val="216"/>
        </w:trPr>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issued upon</w:t>
            </w:r>
          </w:p>
        </w:tc>
        <w:tc>
          <w:tcPr>
            <w:tcW w:w="60" w:type="dxa"/>
            <w:vAlign w:val="bottom"/>
          </w:tcPr>
          <w:p>
            <w:pPr>
              <w:spacing w:after="0"/>
              <w:rPr>
                <w:sz w:val="18"/>
                <w:szCs w:val="18"/>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8"/>
                <w:szCs w:val="18"/>
                <w:color w:val="auto"/>
                <w:w w:val="87"/>
              </w:rPr>
              <w:t>average exercise</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compensation</w:t>
            </w:r>
          </w:p>
        </w:tc>
      </w:tr>
      <w:tr>
        <w:trPr>
          <w:trHeight w:val="216"/>
        </w:trPr>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exercise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price of</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plans (excluding</w:t>
            </w:r>
          </w:p>
        </w:tc>
      </w:tr>
      <w:tr>
        <w:trPr>
          <w:trHeight w:val="216"/>
        </w:trPr>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securities</w:t>
            </w:r>
          </w:p>
        </w:tc>
      </w:tr>
      <w:tr>
        <w:trPr>
          <w:trHeight w:val="216"/>
        </w:trPr>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80" w:type="dxa"/>
            <w:vAlign w:val="bottom"/>
            <w:gridSpan w:val="8"/>
          </w:tcPr>
          <w:p>
            <w:pPr>
              <w:ind w:left="40"/>
              <w:spacing w:after="0"/>
              <w:rPr>
                <w:sz w:val="20"/>
                <w:szCs w:val="20"/>
                <w:color w:val="auto"/>
              </w:rPr>
            </w:pPr>
            <w:r>
              <w:rPr>
                <w:rFonts w:ascii="Arial" w:cs="Arial" w:eastAsia="Arial" w:hAnsi="Arial"/>
                <w:sz w:val="18"/>
                <w:szCs w:val="18"/>
                <w:color w:val="auto"/>
                <w:w w:val="93"/>
              </w:rPr>
              <w:t>options, warrants options, warrants</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reflected in</w:t>
            </w:r>
          </w:p>
        </w:tc>
      </w:tr>
      <w:tr>
        <w:trPr>
          <w:trHeight w:val="230"/>
        </w:trPr>
        <w:tc>
          <w:tcPr>
            <w:tcW w:w="4640" w:type="dxa"/>
            <w:vAlign w:val="bottom"/>
            <w:gridSpan w:val="2"/>
          </w:tcPr>
          <w:p>
            <w:pPr>
              <w:ind w:left="2860"/>
              <w:spacing w:after="0"/>
              <w:rPr>
                <w:sz w:val="20"/>
                <w:szCs w:val="20"/>
                <w:color w:val="auto"/>
              </w:rPr>
            </w:pPr>
            <w:r>
              <w:rPr>
                <w:rFonts w:ascii="Arial" w:cs="Arial" w:eastAsia="Arial" w:hAnsi="Arial"/>
                <w:sz w:val="18"/>
                <w:szCs w:val="18"/>
                <w:color w:val="auto"/>
              </w:rPr>
              <w:t>Plan Category</w:t>
            </w:r>
          </w:p>
        </w:tc>
        <w:tc>
          <w:tcPr>
            <w:tcW w:w="60" w:type="dxa"/>
            <w:vAlign w:val="bottom"/>
          </w:tcPr>
          <w:p>
            <w:pPr>
              <w:spacing w:after="0"/>
              <w:rPr>
                <w:sz w:val="20"/>
                <w:szCs w:val="20"/>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and rights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and right</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column (A))</w:t>
            </w:r>
          </w:p>
        </w:tc>
      </w:tr>
      <w:tr>
        <w:trPr>
          <w:trHeight w:val="195"/>
        </w:trPr>
        <w:tc>
          <w:tcPr>
            <w:tcW w:w="2880" w:type="dxa"/>
            <w:vAlign w:val="bottom"/>
          </w:tcPr>
          <w:p>
            <w:pPr>
              <w:spacing w:after="0"/>
              <w:rPr>
                <w:sz w:val="16"/>
                <w:szCs w:val="16"/>
                <w:color w:val="auto"/>
              </w:rPr>
            </w:pPr>
          </w:p>
        </w:tc>
        <w:tc>
          <w:tcPr>
            <w:tcW w:w="1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Equity compensation</w:t>
            </w:r>
          </w:p>
        </w:tc>
        <w:tc>
          <w:tcPr>
            <w:tcW w:w="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r>
      <w:tr>
        <w:trPr>
          <w:trHeight w:val="216"/>
        </w:trPr>
        <w:tc>
          <w:tcPr>
            <w:tcW w:w="4640" w:type="dxa"/>
            <w:vAlign w:val="bottom"/>
            <w:gridSpan w:val="2"/>
          </w:tcPr>
          <w:p>
            <w:pPr>
              <w:ind w:left="2860"/>
              <w:spacing w:after="0"/>
              <w:rPr>
                <w:sz w:val="20"/>
                <w:szCs w:val="20"/>
                <w:color w:val="auto"/>
              </w:rPr>
            </w:pPr>
            <w:r>
              <w:rPr>
                <w:rFonts w:ascii="Arial" w:cs="Arial" w:eastAsia="Arial" w:hAnsi="Arial"/>
                <w:sz w:val="18"/>
                <w:szCs w:val="18"/>
                <w:color w:val="auto"/>
              </w:rPr>
              <w:t>plans approved by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640" w:type="dxa"/>
            <w:vAlign w:val="bottom"/>
            <w:gridSpan w:val="2"/>
          </w:tcPr>
          <w:p>
            <w:pPr>
              <w:ind w:left="2860"/>
              <w:spacing w:after="0"/>
              <w:rPr>
                <w:sz w:val="20"/>
                <w:szCs w:val="20"/>
                <w:color w:val="auto"/>
              </w:rPr>
            </w:pPr>
            <w:r>
              <w:rPr>
                <w:rFonts w:ascii="Arial" w:cs="Arial" w:eastAsia="Arial" w:hAnsi="Arial"/>
                <w:sz w:val="18"/>
                <w:szCs w:val="18"/>
                <w:color w:val="auto"/>
              </w:rPr>
              <w:t>security holders</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95"/>
        </w:trPr>
        <w:tc>
          <w:tcPr>
            <w:tcW w:w="2880" w:type="dxa"/>
            <w:vAlign w:val="bottom"/>
          </w:tcPr>
          <w:p>
            <w:pPr>
              <w:spacing w:after="0"/>
              <w:rPr>
                <w:sz w:val="16"/>
                <w:szCs w:val="16"/>
                <w:color w:val="auto"/>
              </w:rPr>
            </w:pPr>
          </w:p>
        </w:tc>
        <w:tc>
          <w:tcPr>
            <w:tcW w:w="1760" w:type="dxa"/>
            <w:vAlign w:val="bottom"/>
            <w:tcBorders>
              <w:top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w w:val="99"/>
              </w:rPr>
              <w:t>Equity compensation</w:t>
            </w:r>
          </w:p>
        </w:tc>
        <w:tc>
          <w:tcPr>
            <w:tcW w:w="60" w:type="dxa"/>
            <w:vAlign w:val="bottom"/>
            <w:tcBorders>
              <w:top w:val="single" w:sz="8" w:color="CCEECC"/>
            </w:tcBorders>
            <w:shd w:val="clear" w:color="auto" w:fill="CCEECC"/>
          </w:tcPr>
          <w:p>
            <w:pPr>
              <w:spacing w:after="0"/>
              <w:rPr>
                <w:sz w:val="16"/>
                <w:szCs w:val="16"/>
                <w:color w:val="auto"/>
              </w:rPr>
            </w:pPr>
          </w:p>
        </w:tc>
        <w:tc>
          <w:tcPr>
            <w:tcW w:w="118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20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auto"/>
            </w:tcBorders>
            <w:shd w:val="clear" w:color="auto" w:fill="CCEECC"/>
          </w:tcPr>
          <w:p>
            <w:pPr>
              <w:spacing w:after="0"/>
              <w:rPr>
                <w:sz w:val="16"/>
                <w:szCs w:val="16"/>
                <w:color w:val="auto"/>
              </w:rPr>
            </w:pPr>
          </w:p>
        </w:tc>
      </w:tr>
      <w:tr>
        <w:trPr>
          <w:trHeight w:val="216"/>
        </w:trPr>
        <w:tc>
          <w:tcPr>
            <w:tcW w:w="2880" w:type="dxa"/>
            <w:vAlign w:val="bottom"/>
          </w:tcPr>
          <w:p>
            <w:pPr>
              <w:spacing w:after="0"/>
              <w:rPr>
                <w:sz w:val="18"/>
                <w:szCs w:val="18"/>
                <w:color w:val="auto"/>
              </w:rPr>
            </w:pPr>
          </w:p>
        </w:tc>
        <w:tc>
          <w:tcPr>
            <w:tcW w:w="1760" w:type="dxa"/>
            <w:vAlign w:val="bottom"/>
            <w:shd w:val="clear" w:color="auto" w:fill="CCEECC"/>
          </w:tcPr>
          <w:p>
            <w:pPr>
              <w:ind w:left="80"/>
              <w:spacing w:after="0"/>
              <w:rPr>
                <w:sz w:val="20"/>
                <w:szCs w:val="20"/>
                <w:color w:val="auto"/>
              </w:rPr>
            </w:pPr>
            <w:r>
              <w:rPr>
                <w:rFonts w:ascii="Arial" w:cs="Arial" w:eastAsia="Arial" w:hAnsi="Arial"/>
                <w:sz w:val="18"/>
                <w:szCs w:val="18"/>
                <w:color w:val="auto"/>
                <w:w w:val="93"/>
              </w:rPr>
              <w:t>plans not approved by</w:t>
            </w:r>
          </w:p>
        </w:tc>
        <w:tc>
          <w:tcPr>
            <w:tcW w:w="60" w:type="dxa"/>
            <w:vAlign w:val="bottom"/>
            <w:shd w:val="clear" w:color="auto" w:fill="CCEECC"/>
          </w:tcPr>
          <w:p>
            <w:pPr>
              <w:spacing w:after="0"/>
              <w:rPr>
                <w:sz w:val="18"/>
                <w:szCs w:val="18"/>
                <w:color w:val="auto"/>
              </w:rPr>
            </w:pPr>
          </w:p>
        </w:tc>
        <w:tc>
          <w:tcPr>
            <w:tcW w:w="11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44"/>
        </w:trPr>
        <w:tc>
          <w:tcPr>
            <w:tcW w:w="2880" w:type="dxa"/>
            <w:vAlign w:val="bottom"/>
          </w:tcPr>
          <w:p>
            <w:pPr>
              <w:spacing w:after="0"/>
              <w:rPr>
                <w:sz w:val="21"/>
                <w:szCs w:val="21"/>
                <w:color w:val="auto"/>
              </w:rPr>
            </w:pPr>
          </w:p>
        </w:tc>
        <w:tc>
          <w:tcPr>
            <w:tcW w:w="1760" w:type="dxa"/>
            <w:vAlign w:val="bottom"/>
            <w:shd w:val="clear" w:color="auto" w:fill="CCEECC"/>
          </w:tcPr>
          <w:p>
            <w:pPr>
              <w:ind w:left="80"/>
              <w:spacing w:after="0"/>
              <w:rPr>
                <w:sz w:val="20"/>
                <w:szCs w:val="20"/>
                <w:color w:val="auto"/>
              </w:rPr>
            </w:pPr>
            <w:r>
              <w:rPr>
                <w:rFonts w:ascii="Arial" w:cs="Arial" w:eastAsia="Arial" w:hAnsi="Arial"/>
                <w:sz w:val="18"/>
                <w:szCs w:val="18"/>
                <w:color w:val="auto"/>
              </w:rPr>
              <w:t>security holders</w:t>
            </w:r>
          </w:p>
        </w:tc>
        <w:tc>
          <w:tcPr>
            <w:tcW w:w="12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13,783,334</w:t>
            </w:r>
          </w:p>
        </w:tc>
        <w:tc>
          <w:tcPr>
            <w:tcW w:w="60" w:type="dxa"/>
            <w:vAlign w:val="bottom"/>
            <w:shd w:val="clear" w:color="auto" w:fill="CCEECC"/>
          </w:tcPr>
          <w:p>
            <w:pPr>
              <w:spacing w:after="0"/>
              <w:rPr>
                <w:sz w:val="21"/>
                <w:szCs w:val="21"/>
                <w:color w:val="auto"/>
              </w:rPr>
            </w:pP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1260" w:type="dxa"/>
            <w:vAlign w:val="bottom"/>
            <w:gridSpan w:val="2"/>
            <w:shd w:val="clear" w:color="auto" w:fill="CCEECC"/>
          </w:tcPr>
          <w:p>
            <w:pPr>
              <w:ind w:left="920"/>
              <w:spacing w:after="0"/>
              <w:rPr>
                <w:sz w:val="20"/>
                <w:szCs w:val="20"/>
                <w:color w:val="auto"/>
              </w:rPr>
            </w:pPr>
            <w:r>
              <w:rPr>
                <w:rFonts w:ascii="Arial" w:cs="Arial" w:eastAsia="Arial" w:hAnsi="Arial"/>
                <w:sz w:val="18"/>
                <w:szCs w:val="18"/>
                <w:color w:val="auto"/>
              </w:rPr>
              <w:t>—</w:t>
            </w:r>
          </w:p>
        </w:tc>
      </w:tr>
      <w:tr>
        <w:trPr>
          <w:trHeight w:val="210"/>
        </w:trPr>
        <w:tc>
          <w:tcPr>
            <w:tcW w:w="2880" w:type="dxa"/>
            <w:vAlign w:val="bottom"/>
          </w:tcPr>
          <w:p>
            <w:pPr>
              <w:spacing w:after="0"/>
              <w:rPr>
                <w:sz w:val="18"/>
                <w:szCs w:val="18"/>
                <w:color w:val="auto"/>
              </w:rPr>
            </w:pPr>
          </w:p>
        </w:tc>
        <w:tc>
          <w:tcPr>
            <w:tcW w:w="1760" w:type="dxa"/>
            <w:vAlign w:val="bottom"/>
          </w:tcPr>
          <w:p>
            <w:pPr>
              <w:ind w:left="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13,783,334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ectPr>
          <w:pgSz w:w="11900" w:h="16838" w:orient="portrait"/>
          <w:cols w:equalWidth="0" w:num="1">
            <w:col w:w="11420"/>
          </w:cols>
          <w:pgMar w:left="240" w:top="233"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5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4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year ended December 31, 2013 was $4,957,016, an increase from $1,989,086 from the prior 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increased revenue for the year ended December 31, 2013 as compared with the prior year is a result of the continued viability of our SampleMD solution and the setup and integration fees for pharmaceutical manufacturers whom are participating within this offering. The bulk of our revenue for the year ended December 31, 2013 came mainly from our core SampleMD solutions as opposed to our new consulting business. We expect revenues to increase on our consulting business for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increased to $2,973,990 for the year ended December 31, 2013 from $2,328,648 for the year ended December 31, 2012. Our major expenses for the year ended December 31, 2013 were salaries, wages and benefits of $1,319,712, professional fees of $552,824, stock-based compensation of $411,412, general and administrative expenses of $288,297, depreciation and amortization of $193,971, and consulting fees of $100,077. Our expenses increased in 2013 as compared with 2012 largely as a result of salaries, wages and benefits, professional fees and stock-based compensation.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operating expenses to increase slightly, with the most increase coming as we will continue to add personnel to strengthen our operations, sales and marketing efforts going forward.</w:t>
      </w:r>
    </w:p>
    <w:p>
      <w:pPr>
        <w:sectPr>
          <w:pgSz w:w="11900" w:h="16838" w:orient="portrait"/>
          <w:cols w:equalWidth="0" w:num="1">
            <w:col w:w="11420"/>
          </w:cols>
          <w:pgMar w:left="240" w:top="233"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year ended December 31, 2013 was $215,847, compared to net loss of $ $454,553 for the year ended December 31,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company is starting to show real signs of improvement with positive income this year. With increased sales forecasted for next year, we believe that we will achieve a small improvement to net income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2013, we had total current assets of $2,696,978 and total assets in the amount of $4,008,020. Our total current liabilities as of December 31, 2013 were $1,968,652. We had working capital of $728,326 as of December 31, 2013.</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activities provided $1,132,628 in cash for the year ended December 31, 2013. Our revenue share payable of $1,103,084, stock-based compensation of $399,092, net income of $215,847 and depreciation and amortization of $193,791 were the primary components of our positive operating cash flow, offset mainly by accounts receivable of $950,166.</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used $298,648 during the year ended December 31, 2013 largely as a result of patent rights and website development costs.</w:t>
      </w:r>
    </w:p>
    <w:p>
      <w:pPr>
        <w:spacing w:after="0" w:line="19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our common stock, par value $0.001 per share, for $1.20 per share, or gross proceeds of $10,000,000. We used $6,000,000 of the proceeds to exercise our option to redeem Vicis Capital Master Fund’s holdings in our company. The balance of the proceeds will be used for working capital. With the financing and cash on hand, we have sufficient cash to operate our business for the next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Audited Financial Statements:</w:t>
      </w:r>
    </w:p>
    <w:p>
      <w:pPr>
        <w:spacing w:after="0" w:line="27" w:lineRule="exact"/>
        <w:rPr>
          <w:sz w:val="20"/>
          <w:szCs w:val="20"/>
          <w:color w:val="auto"/>
        </w:rPr>
      </w:pPr>
    </w:p>
    <w:p>
      <w:pPr>
        <w:ind w:left="100" w:right="40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F-1 </w:t>
      </w:r>
      <w:hyperlink w:anchor="page12">
        <w:r>
          <w:rPr>
            <w:rFonts w:ascii="Arial" w:cs="Arial" w:eastAsia="Arial" w:hAnsi="Arial"/>
            <w:sz w:val="18"/>
            <w:szCs w:val="18"/>
            <w:u w:val="single" w:color="auto"/>
            <w:color w:val="0000EE"/>
          </w:rPr>
          <w:t>Report of Independent Registered Public Accounting Firm;</w:t>
        </w:r>
      </w:hyperlink>
      <w:r>
        <w:rPr>
          <w:rFonts w:ascii="Arial" w:cs="Arial" w:eastAsia="Arial" w:hAnsi="Arial"/>
          <w:sz w:val="18"/>
          <w:szCs w:val="18"/>
          <w:color w:val="auto"/>
        </w:rPr>
        <w:t xml:space="preserve"> F-2 </w:t>
      </w:r>
      <w:hyperlink w:anchor="page13">
        <w:r>
          <w:rPr>
            <w:rFonts w:ascii="Arial" w:cs="Arial" w:eastAsia="Arial" w:hAnsi="Arial"/>
            <w:sz w:val="18"/>
            <w:szCs w:val="18"/>
            <w:u w:val="single" w:color="auto"/>
            <w:color w:val="0000EE"/>
          </w:rPr>
          <w:t>Consolidated Balance Sheets as of December 31, 2013 and 2012;</w:t>
        </w:r>
      </w:hyperlink>
      <w:r>
        <w:rPr>
          <w:rFonts w:ascii="Arial" w:cs="Arial" w:eastAsia="Arial" w:hAnsi="Arial"/>
          <w:sz w:val="18"/>
          <w:szCs w:val="18"/>
          <w:color w:val="auto"/>
        </w:rPr>
        <w:t xml:space="preserve"> F-3 </w:t>
      </w:r>
      <w:hyperlink w:anchor="page14">
        <w:r>
          <w:rPr>
            <w:rFonts w:ascii="Arial" w:cs="Arial" w:eastAsia="Arial" w:hAnsi="Arial"/>
            <w:sz w:val="18"/>
            <w:szCs w:val="18"/>
            <w:u w:val="single" w:color="auto"/>
            <w:color w:val="0000EE"/>
          </w:rPr>
          <w:t>Consolidated Statements of Operations for the years ended December 31, 2013 and 2012;</w:t>
        </w:r>
      </w:hyperlink>
      <w:r>
        <w:rPr>
          <w:rFonts w:ascii="Arial" w:cs="Arial" w:eastAsia="Arial" w:hAnsi="Arial"/>
          <w:sz w:val="18"/>
          <w:szCs w:val="18"/>
          <w:color w:val="auto"/>
        </w:rPr>
        <w:t xml:space="preserve"> F-4 </w:t>
      </w:r>
      <w:hyperlink w:anchor="page15">
        <w:r>
          <w:rPr>
            <w:rFonts w:ascii="Arial" w:cs="Arial" w:eastAsia="Arial" w:hAnsi="Arial"/>
            <w:sz w:val="18"/>
            <w:szCs w:val="18"/>
            <w:u w:val="single" w:color="auto"/>
            <w:color w:val="0000EE"/>
          </w:rPr>
          <w:t>Consolidated Statement of Stockholders’ Equity as of December 31, 2013;</w:t>
        </w:r>
      </w:hyperlink>
      <w:r>
        <w:rPr>
          <w:rFonts w:ascii="Arial" w:cs="Arial" w:eastAsia="Arial" w:hAnsi="Arial"/>
          <w:sz w:val="18"/>
          <w:szCs w:val="18"/>
          <w:color w:val="auto"/>
        </w:rPr>
        <w:t xml:space="preserve"> F-5 </w:t>
      </w:r>
      <w:hyperlink w:anchor="page16">
        <w:r>
          <w:rPr>
            <w:rFonts w:ascii="Arial" w:cs="Arial" w:eastAsia="Arial" w:hAnsi="Arial"/>
            <w:sz w:val="18"/>
            <w:szCs w:val="18"/>
            <w:u w:val="single" w:color="auto"/>
            <w:color w:val="0000EE"/>
          </w:rPr>
          <w:t>Consolidated Statements of Cash Flows for the years ended December 31, 2013 and 2012; and</w:t>
        </w:r>
      </w:hyperlink>
      <w:r>
        <w:rPr>
          <w:rFonts w:ascii="Arial" w:cs="Arial" w:eastAsia="Arial" w:hAnsi="Arial"/>
          <w:sz w:val="18"/>
          <w:szCs w:val="18"/>
          <w:color w:val="auto"/>
        </w:rPr>
        <w:t xml:space="preserve"> F-6 </w:t>
      </w:r>
      <w:hyperlink w:anchor="page17">
        <w:r>
          <w:rPr>
            <w:rFonts w:ascii="Arial" w:cs="Arial" w:eastAsia="Arial" w:hAnsi="Arial"/>
            <w:sz w:val="18"/>
            <w:szCs w:val="18"/>
            <w:u w:val="single" w:color="auto"/>
            <w:color w:val="0000EE"/>
          </w:rPr>
          <w:t>Consolidated Notes to Financial Statements.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33"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Silberstein Ungar, PLLC hereby consents to the use in the Form 10-K, Annual Report under Section 13 or 15(d) of the Securities Exchange Act of 1934, filed by OptimizeRx Corporation of our report dated March 20, 2014, relating to the consolidated financial statements of OptimizeRx Corporation, a Nevada Corporation, as of and for the years ending December 31, 2013 and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Consolidated Balance Sheet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2013 and 2012</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ind w:left="20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1,566,964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2,696,978</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969,219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Patent rights, net</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Web development costs,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404,986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Security deposit</w:t>
            </w:r>
          </w:p>
        </w:tc>
        <w:tc>
          <w:tcPr>
            <w:tcW w:w="10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1,185,500</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188,739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1,193,661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49,252</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770,522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0"/>
              </w:rPr>
              <w:t>Preferred stock, $.001 par value, 10,000,000 shares authorized,</w:t>
            </w:r>
          </w:p>
        </w:tc>
        <w:tc>
          <w:tcPr>
            <w:tcW w:w="1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65 shares issued and outstanding</w:t>
            </w:r>
          </w:p>
        </w:tc>
        <w:tc>
          <w:tcPr>
            <w:tcW w:w="10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ind w:left="320"/>
              <w:spacing w:after="0" w:line="201" w:lineRule="exact"/>
              <w:rPr>
                <w:sz w:val="20"/>
                <w:szCs w:val="20"/>
                <w:color w:val="auto"/>
              </w:rPr>
            </w:pPr>
            <w:r>
              <w:rPr>
                <w:rFonts w:ascii="Arial" w:cs="Arial" w:eastAsia="Arial" w:hAnsi="Arial"/>
                <w:sz w:val="18"/>
                <w:szCs w:val="18"/>
                <w:color w:val="auto"/>
              </w:rPr>
              <w:t>Common stock, $.001 par value, 500,000,000 shares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w w:val="98"/>
              </w:rPr>
              <w:t>authorized, 14,773,496 and 14,232,496 shares issued and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18,148,049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20,058,051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8,726,708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6,164,666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(233,942)</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(24,616,220)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(24,832,067)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2,039,368</w:t>
            </w: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1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1,404,882</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NET REVENUE</w:t>
            </w:r>
          </w:p>
        </w:tc>
        <w:tc>
          <w:tcPr>
            <w:tcW w:w="62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4,957,016</w:t>
            </w:r>
          </w:p>
        </w:tc>
        <w:tc>
          <w:tcPr>
            <w:tcW w:w="460" w:type="dxa"/>
            <w:vAlign w:val="bottom"/>
            <w:gridSpan w:val="3"/>
            <w:shd w:val="clear" w:color="auto" w:fill="CCEECC"/>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1,989,086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REVENUE SHARE EXPENSE</w:t>
            </w:r>
          </w:p>
        </w:tc>
        <w:tc>
          <w:tcPr>
            <w:tcW w:w="34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1,767,425</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115,360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3,189,591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1,873,726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Operating expenses (See Note 17)</w:t>
            </w:r>
          </w:p>
        </w:tc>
        <w:tc>
          <w:tcPr>
            <w:tcW w:w="34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215,601</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(454,922</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CC"/>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17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CCEE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shd w:val="clear" w:color="auto" w:fill="CCEECC"/>
          </w:tcPr>
          <w:p>
            <w:pPr>
              <w:ind w:left="160"/>
              <w:spacing w:after="0" w:line="182" w:lineRule="exact"/>
              <w:rPr>
                <w:sz w:val="20"/>
                <w:szCs w:val="20"/>
                <w:color w:val="auto"/>
              </w:rPr>
            </w:pPr>
            <w:r>
              <w:rPr>
                <w:rFonts w:ascii="Arial" w:cs="Arial" w:eastAsia="Arial" w:hAnsi="Arial"/>
                <w:sz w:val="18"/>
                <w:szCs w:val="18"/>
                <w:color w:val="auto"/>
              </w:rPr>
              <w:t>INCOME (LOSS) BEFORE PROVISION FOR INCOME</w:t>
            </w:r>
          </w:p>
        </w:tc>
        <w:tc>
          <w:tcPr>
            <w:tcW w:w="340" w:type="dxa"/>
            <w:vAlign w:val="bottom"/>
            <w:shd w:val="clear" w:color="auto" w:fill="CCEECC"/>
          </w:tcPr>
          <w:p>
            <w:pPr>
              <w:spacing w:after="0"/>
              <w:rPr>
                <w:sz w:val="15"/>
                <w:szCs w:val="15"/>
                <w:color w:val="auto"/>
              </w:rPr>
            </w:pPr>
          </w:p>
        </w:tc>
        <w:tc>
          <w:tcPr>
            <w:tcW w:w="280" w:type="dxa"/>
            <w:vAlign w:val="bottom"/>
            <w:shd w:val="clear" w:color="auto" w:fill="CCEECC"/>
          </w:tcPr>
          <w:p>
            <w:pPr>
              <w:spacing w:after="0"/>
              <w:rPr>
                <w:sz w:val="15"/>
                <w:szCs w:val="15"/>
                <w:color w:val="auto"/>
              </w:rPr>
            </w:pPr>
          </w:p>
        </w:tc>
        <w:tc>
          <w:tcPr>
            <w:tcW w:w="16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30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TAXES</w:t>
            </w:r>
          </w:p>
        </w:tc>
        <w:tc>
          <w:tcPr>
            <w:tcW w:w="34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7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CC"/>
            </w:tcBorders>
            <w:shd w:val="clear" w:color="auto" w:fill="CCEECC"/>
          </w:tcPr>
          <w:p>
            <w:pPr>
              <w:ind w:left="16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80" w:type="dxa"/>
            <w:vAlign w:val="bottom"/>
            <w:tcBorders>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72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BASIC</w:t>
            </w:r>
          </w:p>
        </w:tc>
        <w:tc>
          <w:tcPr>
            <w:tcW w:w="340" w:type="dxa"/>
            <w:vAlign w:val="bottom"/>
            <w:tcBorders>
              <w:top w:val="single" w:sz="8" w:color="CCEECC"/>
              <w:bottom w:val="single" w:sz="8" w:color="CCEECC"/>
            </w:tcBorders>
            <w:shd w:val="clear" w:color="auto" w:fill="CCEECC"/>
          </w:tcPr>
          <w:p>
            <w:pPr>
              <w:spacing w:after="0"/>
              <w:rPr>
                <w:sz w:val="17"/>
                <w:szCs w:val="17"/>
                <w:color w:val="auto"/>
              </w:rPr>
            </w:pPr>
          </w:p>
        </w:tc>
        <w:tc>
          <w:tcPr>
            <w:tcW w:w="280" w:type="dxa"/>
            <w:vAlign w:val="bottom"/>
            <w:tcBorders>
              <w:top w:val="single" w:sz="8" w:color="auto"/>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300" w:type="dxa"/>
            <w:vAlign w:val="bottom"/>
            <w:tcBorders>
              <w:top w:val="single" w:sz="8" w:color="auto"/>
              <w:bottom w:val="single" w:sz="8" w:color="auto"/>
            </w:tcBorders>
            <w:shd w:val="clear" w:color="auto" w:fill="CCEEC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720" w:type="dxa"/>
            <w:vAlign w:val="bottom"/>
            <w:gridSpan w:val="2"/>
          </w:tcPr>
          <w:p>
            <w:pPr>
              <w:spacing w:after="0"/>
              <w:rPr>
                <w:sz w:val="20"/>
                <w:szCs w:val="20"/>
                <w:color w:val="auto"/>
              </w:rPr>
            </w:pPr>
            <w:r>
              <w:rPr>
                <w:rFonts w:ascii="Arial" w:cs="Arial" w:eastAsia="Arial" w:hAnsi="Arial"/>
                <w:sz w:val="18"/>
                <w:szCs w:val="18"/>
                <w:color w:val="auto"/>
              </w:rPr>
              <w:t>OUTSTANDING: DILUTED</w:t>
            </w: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14,713,017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DILUTED</w:t>
            </w:r>
          </w:p>
        </w:tc>
        <w:tc>
          <w:tcPr>
            <w:tcW w:w="340" w:type="dxa"/>
            <w:vAlign w:val="bottom"/>
            <w:tcBorders>
              <w:top w:val="single" w:sz="8" w:color="CCEECC"/>
              <w:bottom w:val="single" w:sz="8" w:color="CCEECC"/>
            </w:tcBorders>
            <w:shd w:val="clear" w:color="auto" w:fill="CCEECC"/>
          </w:tcPr>
          <w:p>
            <w:pPr>
              <w:spacing w:after="0"/>
              <w:rPr>
                <w:sz w:val="17"/>
                <w:szCs w:val="17"/>
                <w:color w:val="auto"/>
              </w:rPr>
            </w:pPr>
          </w:p>
        </w:tc>
        <w:tc>
          <w:tcPr>
            <w:tcW w:w="280" w:type="dxa"/>
            <w:vAlign w:val="bottom"/>
            <w:tcBorders>
              <w:top w:val="single" w:sz="8" w:color="auto"/>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0.01</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300" w:type="dxa"/>
            <w:vAlign w:val="bottom"/>
            <w:tcBorders>
              <w:top w:val="single" w:sz="8" w:color="auto"/>
              <w:bottom w:val="single" w:sz="8" w:color="auto"/>
            </w:tcBorders>
            <w:shd w:val="clear" w:color="auto" w:fill="CCEEC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Consolidated Statement of Stockholders’ Equity as of</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December 31, 2013</w:t>
      </w:r>
    </w:p>
    <w:p>
      <w:pPr>
        <w:spacing w:after="0" w:line="238"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Preferred</w:t>
            </w:r>
          </w:p>
        </w:tc>
        <w:tc>
          <w:tcPr>
            <w:tcW w:w="10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Preferred</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Common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Common</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43"/>
        </w:trPr>
        <w:tc>
          <w:tcPr>
            <w:tcW w:w="116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1"/>
                <w:szCs w:val="21"/>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w:t>
            </w: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Stock</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w:t>
            </w:r>
          </w:p>
        </w:tc>
        <w:tc>
          <w:tcPr>
            <w:tcW w:w="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Paid-in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Stock</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w w:val="92"/>
              </w:rPr>
              <w:t>Accumulated</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Stockholders’</w:t>
            </w:r>
          </w:p>
        </w:tc>
      </w:tr>
      <w:tr>
        <w:trPr>
          <w:trHeight w:val="230"/>
        </w:trPr>
        <w:tc>
          <w:tcPr>
            <w:tcW w:w="1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Amount</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Amount</w:t>
            </w:r>
          </w:p>
        </w:tc>
        <w:tc>
          <w:tcPr>
            <w:tcW w:w="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Warrants</w:t>
            </w:r>
          </w:p>
        </w:tc>
        <w:tc>
          <w:tcPr>
            <w:tcW w:w="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Compensation</w:t>
            </w:r>
          </w:p>
        </w:tc>
        <w:tc>
          <w:tcPr>
            <w:tcW w:w="1140" w:type="dxa"/>
            <w:vAlign w:val="bottom"/>
            <w:gridSpan w:val="4"/>
          </w:tcPr>
          <w:p>
            <w:pPr>
              <w:jc w:val="right"/>
              <w:ind w:right="400"/>
              <w:spacing w:after="0"/>
              <w:rPr>
                <w:sz w:val="20"/>
                <w:szCs w:val="20"/>
                <w:color w:val="auto"/>
              </w:rPr>
            </w:pPr>
            <w:r>
              <w:rPr>
                <w:rFonts w:ascii="Arial" w:cs="Arial" w:eastAsia="Arial" w:hAnsi="Arial"/>
                <w:sz w:val="18"/>
                <w:szCs w:val="18"/>
                <w:color w:val="auto"/>
              </w:rPr>
              <w:t>Deficit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Equity</w:t>
            </w: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8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10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90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88"/>
              </w:rPr>
              <w:t>January 1, 2012</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14,192,496</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14,192</w:t>
            </w:r>
          </w:p>
        </w:tc>
        <w:tc>
          <w:tcPr>
            <w:tcW w:w="60" w:type="dxa"/>
            <w:vAlign w:val="bottom"/>
            <w:shd w:val="clear" w:color="auto" w:fill="CCEECC"/>
          </w:tcPr>
          <w:p>
            <w:pPr>
              <w:spacing w:after="0"/>
              <w:rPr>
                <w:sz w:val="20"/>
                <w:szCs w:val="20"/>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87"/>
              </w:rPr>
              <w:t>$20,826,934</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$ 5,125,558</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(24,377,514)$</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1,589,170</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84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8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8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90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44,760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1"/>
              </w:rPr>
              <w:t>Reclassification</w:t>
            </w:r>
          </w:p>
        </w:tc>
        <w:tc>
          <w:tcPr>
            <w:tcW w:w="8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for options</w:t>
            </w:r>
          </w:p>
        </w:tc>
        <w:tc>
          <w:tcPr>
            <w:tcW w:w="8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previously</w:t>
            </w:r>
          </w:p>
        </w:tc>
        <w:tc>
          <w:tcPr>
            <w:tcW w:w="8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recorded as</w:t>
            </w:r>
          </w:p>
        </w:tc>
        <w:tc>
          <w:tcPr>
            <w:tcW w:w="8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9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10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60" w:type="dxa"/>
            <w:vAlign w:val="bottom"/>
            <w:shd w:val="clear" w:color="auto" w:fill="CCEECC"/>
          </w:tcPr>
          <w:p>
            <w:pPr>
              <w:spacing w:after="0"/>
              <w:rPr>
                <w:sz w:val="20"/>
                <w:szCs w:val="20"/>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90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w w:val="94"/>
              </w:rPr>
              <w:t>Net loss for the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8"/>
                <w:szCs w:val="18"/>
                <w:color w:val="auto"/>
                <w:w w:val="97"/>
              </w:rPr>
              <w:t>year (restated)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1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(454,553)</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8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10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90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December 31,</w:t>
            </w:r>
          </w:p>
        </w:tc>
        <w:tc>
          <w:tcPr>
            <w:tcW w:w="8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3"/>
              </w:rPr>
              <w:t>2012 (restated)</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14,232,496</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14,232</w:t>
            </w:r>
          </w:p>
        </w:tc>
        <w:tc>
          <w:tcPr>
            <w:tcW w:w="60" w:type="dxa"/>
            <w:vAlign w:val="bottom"/>
            <w:shd w:val="clear" w:color="auto" w:fill="CCEECC"/>
          </w:tcPr>
          <w:p>
            <w:pPr>
              <w:spacing w:after="0"/>
              <w:rPr>
                <w:sz w:val="20"/>
                <w:szCs w:val="20"/>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7"/>
              </w:rPr>
              <w:t>20,058,051</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$ 6,164,666</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(24,832,067)$</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1,404,882</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840" w:type="dxa"/>
            <w:vAlign w:val="bottom"/>
          </w:tcPr>
          <w:p>
            <w:pPr>
              <w:jc w:val="right"/>
              <w:spacing w:after="0"/>
              <w:rPr>
                <w:sz w:val="20"/>
                <w:szCs w:val="20"/>
                <w:color w:val="auto"/>
              </w:rPr>
            </w:pPr>
            <w:r>
              <w:rPr>
                <w:rFonts w:ascii="Arial" w:cs="Arial" w:eastAsia="Arial" w:hAnsi="Arial"/>
                <w:sz w:val="18"/>
                <w:szCs w:val="18"/>
                <w:color w:val="auto"/>
              </w:rPr>
              <w:t>70,961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(59,134)</w:t>
            </w:r>
          </w:p>
        </w:tc>
        <w:tc>
          <w:tcPr>
            <w:tcW w:w="860" w:type="dxa"/>
            <w:vAlign w:val="bottom"/>
          </w:tcPr>
          <w:p>
            <w:pPr>
              <w:jc w:val="right"/>
              <w:spacing w:after="0"/>
              <w:rPr>
                <w:sz w:val="20"/>
                <w:szCs w:val="20"/>
                <w:color w:val="auto"/>
              </w:rPr>
            </w:pPr>
            <w:r>
              <w:rPr>
                <w:rFonts w:ascii="Arial" w:cs="Arial" w:eastAsia="Arial" w:hAnsi="Arial"/>
                <w:sz w:val="18"/>
                <w:szCs w:val="18"/>
                <w:color w:val="auto"/>
              </w:rPr>
              <w:t>11,827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8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8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90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68,860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68,900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ind w:left="160"/>
              <w:spacing w:after="0" w:line="201" w:lineRule="exact"/>
              <w:rPr>
                <w:sz w:val="20"/>
                <w:szCs w:val="20"/>
                <w:color w:val="auto"/>
              </w:rPr>
            </w:pPr>
            <w:r>
              <w:rPr>
                <w:rFonts w:ascii="Arial" w:cs="Arial" w:eastAsia="Arial" w:hAnsi="Arial"/>
                <w:sz w:val="18"/>
                <w:szCs w:val="18"/>
                <w:color w:val="auto"/>
              </w:rPr>
              <w:t>for</w:t>
            </w:r>
          </w:p>
        </w:tc>
        <w:tc>
          <w:tcPr>
            <w:tcW w:w="8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9"/>
              </w:rPr>
              <w:t>employment</w:t>
            </w:r>
          </w:p>
        </w:tc>
        <w:tc>
          <w:tcPr>
            <w:tcW w:w="8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severance</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CC"/>
          </w:tcPr>
          <w:p>
            <w:pPr>
              <w:spacing w:after="0"/>
              <w:rPr>
                <w:sz w:val="20"/>
                <w:szCs w:val="20"/>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504,500</w:t>
            </w: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3"/>
              </w:rPr>
              <w:t>(505,000)</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w w:val="93"/>
              </w:rPr>
              <w:t>for correction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w w:val="95"/>
              </w:rPr>
              <w:t>of prior issue</w:t>
            </w: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Reclassify</w:t>
            </w:r>
          </w:p>
        </w:tc>
        <w:tc>
          <w:tcPr>
            <w:tcW w:w="8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expired</w:t>
            </w:r>
          </w:p>
        </w:tc>
        <w:tc>
          <w:tcPr>
            <w:tcW w:w="8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9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5"/>
              </w:rPr>
              <w:t>(1,910,002)</w:t>
            </w:r>
          </w:p>
        </w:tc>
        <w:tc>
          <w:tcPr>
            <w:tcW w:w="10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7"/>
              </w:rPr>
              <w:t>1,910,002</w:t>
            </w:r>
          </w:p>
        </w:tc>
        <w:tc>
          <w:tcPr>
            <w:tcW w:w="60" w:type="dxa"/>
            <w:vAlign w:val="bottom"/>
            <w:shd w:val="clear" w:color="auto" w:fill="CCEECC"/>
          </w:tcPr>
          <w:p>
            <w:pPr>
              <w:spacing w:after="0"/>
              <w:rPr>
                <w:sz w:val="20"/>
                <w:szCs w:val="20"/>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90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Expense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consulting</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services</w:t>
            </w:r>
          </w:p>
        </w:tc>
        <w:tc>
          <w:tcPr>
            <w:tcW w:w="84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7"/>
              </w:rPr>
              <w:t>Net income for</w:t>
            </w:r>
          </w:p>
        </w:tc>
        <w:tc>
          <w:tcPr>
            <w:tcW w:w="8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44"/>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the period</w:t>
            </w:r>
          </w:p>
        </w:tc>
        <w:tc>
          <w:tcPr>
            <w:tcW w:w="8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100" w:type="dxa"/>
            <w:vAlign w:val="bottom"/>
            <w:tcBorders>
              <w:bottom w:val="single" w:sz="8" w:color="auto"/>
            </w:tcBorders>
            <w:shd w:val="clear" w:color="auto" w:fill="CCEECC"/>
          </w:tcPr>
          <w:p>
            <w:pPr>
              <w:spacing w:after="0"/>
              <w:rPr>
                <w:sz w:val="21"/>
                <w:szCs w:val="21"/>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86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6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90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60" w:type="dxa"/>
            <w:vAlign w:val="bottom"/>
            <w:tcBorders>
              <w:bottom w:val="single" w:sz="8" w:color="auto"/>
            </w:tcBorders>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9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20" w:type="dxa"/>
            <w:vAlign w:val="bottom"/>
            <w:tcBorders>
              <w:bottom w:val="single" w:sz="8" w:color="auto"/>
            </w:tcBorders>
            <w:shd w:val="clear" w:color="auto" w:fill="CCEECC"/>
          </w:tcPr>
          <w:p>
            <w:pPr>
              <w:spacing w:after="0"/>
              <w:rPr>
                <w:sz w:val="21"/>
                <w:szCs w:val="21"/>
                <w:color w:val="auto"/>
              </w:rPr>
            </w:pPr>
          </w:p>
        </w:tc>
      </w:tr>
      <w:tr>
        <w:trPr>
          <w:trHeight w:val="182"/>
        </w:trPr>
        <w:tc>
          <w:tcPr>
            <w:tcW w:w="116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December 31,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14,773,496</w:t>
            </w:r>
          </w:p>
        </w:tc>
        <w:tc>
          <w:tcPr>
            <w:tcW w:w="6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14,773</w:t>
            </w:r>
          </w:p>
        </w:tc>
        <w:tc>
          <w:tcPr>
            <w:tcW w:w="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18,148,049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$ 8,726,708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(233,942)$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w w:val="99"/>
              </w:rPr>
              <w:t>(24,616,220)$</w:t>
            </w:r>
          </w:p>
        </w:tc>
        <w:tc>
          <w:tcPr>
            <w:tcW w:w="1020" w:type="dxa"/>
            <w:vAlign w:val="bottom"/>
          </w:tcPr>
          <w:p>
            <w:pPr>
              <w:jc w:val="right"/>
              <w:spacing w:after="0"/>
              <w:rPr>
                <w:sz w:val="20"/>
                <w:szCs w:val="20"/>
                <w:color w:val="auto"/>
              </w:rPr>
            </w:pPr>
            <w:r>
              <w:rPr>
                <w:rFonts w:ascii="Arial" w:cs="Arial" w:eastAsia="Arial" w:hAnsi="Arial"/>
                <w:sz w:val="18"/>
                <w:szCs w:val="18"/>
                <w:color w:val="auto"/>
              </w:rPr>
              <w:t>2,039,368</w:t>
            </w:r>
          </w:p>
        </w:tc>
      </w:tr>
      <w:tr>
        <w:trPr>
          <w:trHeight w:val="20"/>
        </w:trPr>
        <w:tc>
          <w:tcPr>
            <w:tcW w:w="1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233" w:right="8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year ended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December 31,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42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Net income (loss) for the period</w:t>
            </w:r>
          </w:p>
        </w:tc>
        <w:tc>
          <w:tcPr>
            <w:tcW w:w="40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(454,553)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2"/>
              </w:rPr>
              <w:t>Adjustments to reconcile net income (loss) to net cash provided by</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(used in) operating activities: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193,791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187,104</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 issued for services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options issued for services</w:t>
            </w:r>
          </w:p>
        </w:tc>
        <w:tc>
          <w:tcPr>
            <w:tcW w:w="1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19,547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40,007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399,092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180,640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Bad debt expense</w:t>
            </w:r>
          </w:p>
        </w:tc>
        <w:tc>
          <w:tcPr>
            <w:tcW w:w="1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6,923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(950,166)</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134,046</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1,103,084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(281,353)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Borders>
              <w:top w:val="single" w:sz="8" w:color="CCEECC"/>
            </w:tcBorders>
            <w:shd w:val="clear" w:color="auto" w:fill="CCEECC"/>
          </w:tcPr>
          <w:p>
            <w:pPr>
              <w:spacing w:after="0" w:line="178" w:lineRule="exact"/>
              <w:rPr>
                <w:sz w:val="20"/>
                <w:szCs w:val="20"/>
                <w:color w:val="auto"/>
              </w:rPr>
            </w:pPr>
            <w:r>
              <w:rPr>
                <w:rFonts w:ascii="Arial" w:cs="Arial" w:eastAsia="Arial" w:hAnsi="Arial"/>
                <w:sz w:val="18"/>
                <w:szCs w:val="18"/>
                <w:b w:val="1"/>
                <w:bCs w:val="1"/>
                <w:color w:val="auto"/>
              </w:rPr>
              <w:t>NET CASH PROVIDED BY (USED IN) OPERATING</w:t>
            </w:r>
          </w:p>
        </w:tc>
        <w:tc>
          <w:tcPr>
            <w:tcW w:w="120" w:type="dxa"/>
            <w:vAlign w:val="bottom"/>
            <w:tcBorders>
              <w:top w:val="single" w:sz="8" w:color="CCEECC"/>
            </w:tcBorders>
            <w:shd w:val="clear" w:color="auto" w:fill="CCEECC"/>
          </w:tcPr>
          <w:p>
            <w:pPr>
              <w:spacing w:after="0"/>
              <w:rPr>
                <w:sz w:val="15"/>
                <w:szCs w:val="15"/>
                <w:color w:val="auto"/>
              </w:rPr>
            </w:pPr>
          </w:p>
        </w:tc>
        <w:tc>
          <w:tcPr>
            <w:tcW w:w="280" w:type="dxa"/>
            <w:vAlign w:val="bottom"/>
            <w:tcBorders>
              <w:top w:val="single" w:sz="8" w:color="auto"/>
            </w:tcBorders>
            <w:shd w:val="clear" w:color="auto" w:fill="CCEECC"/>
          </w:tcPr>
          <w:p>
            <w:pPr>
              <w:spacing w:after="0"/>
              <w:rPr>
                <w:sz w:val="15"/>
                <w:szCs w:val="15"/>
                <w:color w:val="auto"/>
              </w:rPr>
            </w:pPr>
          </w:p>
        </w:tc>
        <w:tc>
          <w:tcPr>
            <w:tcW w:w="16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280" w:type="dxa"/>
            <w:vAlign w:val="bottom"/>
            <w:tcBorders>
              <w:top w:val="single" w:sz="8" w:color="auto"/>
            </w:tcBorders>
            <w:shd w:val="clear" w:color="auto" w:fill="CCEECC"/>
          </w:tcPr>
          <w:p>
            <w:pPr>
              <w:spacing w:after="0"/>
              <w:rPr>
                <w:sz w:val="15"/>
                <w:szCs w:val="15"/>
                <w:color w:val="auto"/>
              </w:rPr>
            </w:pPr>
          </w:p>
        </w:tc>
        <w:tc>
          <w:tcPr>
            <w:tcW w:w="16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CC"/>
          </w:tcPr>
          <w:p>
            <w:pPr>
              <w:spacing w:after="0"/>
              <w:rPr>
                <w:sz w:val="21"/>
                <w:szCs w:val="21"/>
                <w:color w:val="auto"/>
              </w:rPr>
            </w:pPr>
          </w:p>
        </w:tc>
        <w:tc>
          <w:tcPr>
            <w:tcW w:w="280" w:type="dxa"/>
            <w:vAlign w:val="bottom"/>
            <w:shd w:val="clear" w:color="auto" w:fill="CCEECC"/>
          </w:tcPr>
          <w:p>
            <w:pPr>
              <w:spacing w:after="0"/>
              <w:rPr>
                <w:sz w:val="21"/>
                <w:szCs w:val="21"/>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1,132,628</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280" w:type="dxa"/>
            <w:vAlign w:val="bottom"/>
            <w:shd w:val="clear" w:color="auto" w:fill="CCEECC"/>
          </w:tcPr>
          <w:p>
            <w:pPr>
              <w:spacing w:after="0"/>
              <w:rPr>
                <w:sz w:val="21"/>
                <w:szCs w:val="21"/>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(624,033)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Patent rights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(150,588)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 development costs</w:t>
            </w:r>
          </w:p>
        </w:tc>
        <w:tc>
          <w:tcPr>
            <w:tcW w:w="1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7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(148,060)</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NET INCREASE (DECREASE) IN CASH AND CASH</w:t>
            </w:r>
          </w:p>
        </w:tc>
        <w:tc>
          <w:tcPr>
            <w:tcW w:w="1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EQUIVALENTS</w:t>
            </w:r>
          </w:p>
        </w:tc>
        <w:tc>
          <w:tcPr>
            <w:tcW w:w="1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833,980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(674,903)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959,166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auto"/>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auto"/>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30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CC"/>
              <w:bottom w:val="single" w:sz="8" w:color="CCEECC"/>
            </w:tcBorders>
            <w:vMerge w:val="restart"/>
          </w:tcPr>
          <w:p>
            <w:pPr>
              <w:ind w:left="320"/>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20" w:type="dxa"/>
            <w:vAlign w:val="bottom"/>
            <w:shd w:val="clear" w:color="auto" w:fill="CCEECC"/>
          </w:tcPr>
          <w:p>
            <w:pPr>
              <w:spacing w:after="0" w:line="151" w:lineRule="exact"/>
              <w:rPr>
                <w:sz w:val="20"/>
                <w:szCs w:val="20"/>
                <w:color w:val="auto"/>
              </w:rPr>
            </w:pPr>
            <w:r>
              <w:rPr>
                <w:rFonts w:ascii="Arial" w:cs="Arial" w:eastAsia="Arial" w:hAnsi="Arial"/>
                <w:sz w:val="17"/>
                <w:szCs w:val="17"/>
                <w:b w:val="1"/>
                <w:bCs w:val="1"/>
                <w:color w:val="auto"/>
              </w:rPr>
              <w:t>SUPPLEMENTAL DISCLOSURE OF NONCASH</w:t>
            </w:r>
          </w:p>
        </w:tc>
        <w:tc>
          <w:tcPr>
            <w:tcW w:w="120" w:type="dxa"/>
            <w:vAlign w:val="bottom"/>
            <w:shd w:val="clear" w:color="auto" w:fill="CCEECC"/>
          </w:tcPr>
          <w:p>
            <w:pPr>
              <w:spacing w:after="0"/>
              <w:rPr>
                <w:sz w:val="13"/>
                <w:szCs w:val="13"/>
                <w:color w:val="auto"/>
              </w:rPr>
            </w:pPr>
          </w:p>
        </w:tc>
        <w:tc>
          <w:tcPr>
            <w:tcW w:w="280" w:type="dxa"/>
            <w:vAlign w:val="bottom"/>
            <w:shd w:val="clear" w:color="auto" w:fill="CCEECC"/>
          </w:tcPr>
          <w:p>
            <w:pPr>
              <w:spacing w:after="0"/>
              <w:rPr>
                <w:sz w:val="13"/>
                <w:szCs w:val="13"/>
                <w:color w:val="auto"/>
              </w:rPr>
            </w:pPr>
          </w:p>
        </w:tc>
        <w:tc>
          <w:tcPr>
            <w:tcW w:w="164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20" w:type="dxa"/>
            <w:vAlign w:val="bottom"/>
            <w:shd w:val="clear" w:color="auto" w:fill="CCEECC"/>
          </w:tcPr>
          <w:p>
            <w:pPr>
              <w:spacing w:after="0"/>
              <w:rPr>
                <w:sz w:val="13"/>
                <w:szCs w:val="13"/>
                <w:color w:val="auto"/>
              </w:rPr>
            </w:pPr>
          </w:p>
        </w:tc>
        <w:tc>
          <w:tcPr>
            <w:tcW w:w="280" w:type="dxa"/>
            <w:vAlign w:val="bottom"/>
            <w:shd w:val="clear" w:color="auto" w:fill="CCEECC"/>
          </w:tcPr>
          <w:p>
            <w:pPr>
              <w:spacing w:after="0"/>
              <w:rPr>
                <w:sz w:val="13"/>
                <w:szCs w:val="13"/>
                <w:color w:val="auto"/>
              </w:rPr>
            </w:pPr>
          </w:p>
        </w:tc>
        <w:tc>
          <w:tcPr>
            <w:tcW w:w="162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INVESTING AND FINANCING ACTIVITIES:</w:t>
            </w:r>
          </w:p>
        </w:tc>
        <w:tc>
          <w:tcPr>
            <w:tcW w:w="1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Common stock issued for future services</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233,942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and $6,923 for the years ended December 31, 2013 and 2012, respectively. The allowance for doubtful accounts was $0 as of December 31, 2013 and 2012.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 See Note 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diluted earnings per share calculation for the year ended December 31, 2013. They have not been included in the diluted earnings per share calculation for the year ended December 31, 2012 since their effect is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 2013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940" w:type="dxa"/>
            <w:vAlign w:val="bottom"/>
            <w:tcBorders>
              <w:bottom w:val="single" w:sz="8" w:color="CCEECC"/>
            </w:tcBorders>
          </w:tcPr>
          <w:p>
            <w:pPr>
              <w:spacing w:after="0"/>
              <w:rPr>
                <w:sz w:val="20"/>
                <w:szCs w:val="20"/>
                <w:color w:val="auto"/>
              </w:rPr>
            </w:pPr>
          </w:p>
        </w:tc>
        <w:tc>
          <w:tcPr>
            <w:tcW w:w="4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4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6,722</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6,437</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rPr>
              <w:t>Rent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5,049</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4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31,672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4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Legal</w:t>
            </w:r>
          </w:p>
        </w:tc>
        <w:tc>
          <w:tcPr>
            <w:tcW w:w="4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4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w w:val="98"/>
              </w:rPr>
              <w:t>Total prepaid expenses</w:t>
            </w:r>
          </w:p>
        </w:tc>
        <w:tc>
          <w:tcPr>
            <w:tcW w:w="4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4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13"/>
        </w:trPr>
        <w:tc>
          <w:tcPr>
            <w:tcW w:w="3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00" w:type="dxa"/>
            <w:vAlign w:val="bottom"/>
            <w:gridSpan w:val="2"/>
          </w:tcPr>
          <w:p>
            <w:pPr>
              <w:jc w:val="right"/>
              <w:ind w:right="150"/>
              <w:spacing w:after="0"/>
              <w:rPr>
                <w:sz w:val="20"/>
                <w:szCs w:val="20"/>
                <w:color w:val="auto"/>
              </w:rPr>
            </w:pPr>
            <w:r>
              <w:rPr>
                <w:rFonts w:ascii="Arial" w:cs="Arial" w:eastAsia="Arial" w:hAnsi="Arial"/>
                <w:sz w:val="18"/>
                <w:szCs w:val="18"/>
                <w:color w:val="auto"/>
              </w:rPr>
              <w:t>F-9</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18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8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(18,391)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(12,763)</w:t>
            </w:r>
          </w:p>
        </w:tc>
      </w:tr>
      <w:tr>
        <w:trPr>
          <w:trHeight w:val="223"/>
        </w:trPr>
        <w:tc>
          <w:tcPr>
            <w:tcW w:w="240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Arial" w:cs="Arial" w:eastAsia="Arial" w:hAnsi="Arial"/>
                <w:sz w:val="18"/>
                <w:szCs w:val="18"/>
                <w:color w:val="auto"/>
                <w:w w:val="93"/>
              </w:rPr>
              <w:t>Property and equipment, net</w:t>
            </w: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$5,628 and $5,476 for the years ended December 31,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2013 and 2012:</w:t>
      </w:r>
    </w:p>
    <w:p>
      <w:pPr>
        <w:spacing w:after="0" w:line="250"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4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72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4"/>
              </w:rPr>
              <w:t>OptimizeRx web-based technology</w:t>
            </w: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r>
      <w:tr>
        <w:trPr>
          <w:trHeight w:val="216"/>
        </w:trPr>
        <w:tc>
          <w:tcPr>
            <w:tcW w:w="2640" w:type="dxa"/>
            <w:vAlign w:val="bottom"/>
          </w:tcPr>
          <w:p>
            <w:pPr>
              <w:ind w:left="80"/>
              <w:spacing w:after="0"/>
              <w:rPr>
                <w:sz w:val="20"/>
                <w:szCs w:val="20"/>
                <w:color w:val="auto"/>
              </w:rPr>
            </w:pPr>
            <w:r>
              <w:rPr>
                <w:rFonts w:ascii="Arial" w:cs="Arial" w:eastAsia="Arial" w:hAnsi="Arial"/>
                <w:sz w:val="18"/>
                <w:szCs w:val="18"/>
                <w:color w:val="auto"/>
                <w:w w:val="92"/>
              </w:rPr>
              <w:t>SampleMD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r>
      <w:tr>
        <w:trPr>
          <w:trHeight w:val="202"/>
        </w:trPr>
        <w:tc>
          <w:tcPr>
            <w:tcW w:w="264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SampleMD 2.0 web-based</w:t>
            </w:r>
          </w:p>
        </w:tc>
        <w:tc>
          <w:tcPr>
            <w:tcW w:w="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4"/>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8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148,060</w:t>
            </w:r>
          </w:p>
        </w:tc>
        <w:tc>
          <w:tcPr>
            <w:tcW w:w="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1"/>
                <w:szCs w:val="21"/>
                <w:color w:val="auto"/>
              </w:rPr>
            </w:pPr>
          </w:p>
        </w:tc>
      </w:tr>
      <w:tr>
        <w:trPr>
          <w:trHeight w:val="210"/>
        </w:trPr>
        <w:tc>
          <w:tcPr>
            <w:tcW w:w="2640" w:type="dxa"/>
            <w:vAlign w:val="bottom"/>
          </w:tcPr>
          <w:p>
            <w:pPr>
              <w:ind w:left="260"/>
              <w:spacing w:after="0"/>
              <w:rPr>
                <w:sz w:val="20"/>
                <w:szCs w:val="20"/>
                <w:color w:val="auto"/>
              </w:rPr>
            </w:pPr>
            <w:r>
              <w:rPr>
                <w:rFonts w:ascii="Arial" w:cs="Arial" w:eastAsia="Arial" w:hAnsi="Arial"/>
                <w:sz w:val="18"/>
                <w:szCs w:val="18"/>
                <w:color w:val="auto"/>
                <w:w w:val="92"/>
              </w:rPr>
              <w:t>Subtotal,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904,710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756,650</w:t>
            </w:r>
          </w:p>
        </w:tc>
        <w:tc>
          <w:tcPr>
            <w:tcW w:w="60" w:type="dxa"/>
            <w:vAlign w:val="bottom"/>
          </w:tcPr>
          <w:p>
            <w:pPr>
              <w:spacing w:after="0"/>
              <w:rPr>
                <w:sz w:val="18"/>
                <w:szCs w:val="18"/>
                <w:color w:val="auto"/>
              </w:rPr>
            </w:pPr>
          </w:p>
        </w:tc>
      </w:tr>
      <w:tr>
        <w:trPr>
          <w:trHeight w:val="216"/>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(440,641)</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(310,352)</w:t>
            </w:r>
          </w:p>
        </w:tc>
      </w:tr>
      <w:tr>
        <w:trPr>
          <w:trHeight w:val="230"/>
        </w:trPr>
        <w:tc>
          <w:tcPr>
            <w:tcW w:w="264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(59,083)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264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Web-based technology, net</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387,215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is recorded using the straight-line method over a period of five years. The Company is currently developing enhanced SampleMD web-based technology and has capitalized $148,060. The development is currently in process. It was not completed at December 31, 2013. Accordingly, no amortization has been recorded. The development is expected to be completed in 2014. Amortization expense for the web-based technology costs was $130,289 and $126,923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2013 and 2012:</w:t>
      </w:r>
    </w:p>
    <w:p>
      <w:pPr>
        <w:spacing w:after="0" w:line="262"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2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w w:val="91"/>
              </w:rPr>
              <w:t>Patent rights and intangible assets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r>
      <w:tr>
        <w:trPr>
          <w:trHeight w:val="216"/>
        </w:trPr>
        <w:tc>
          <w:tcPr>
            <w:tcW w:w="2620" w:type="dxa"/>
            <w:vAlign w:val="bottom"/>
          </w:tcPr>
          <w:p>
            <w:pPr>
              <w:ind w:left="80"/>
              <w:spacing w:after="0"/>
              <w:rPr>
                <w:sz w:val="20"/>
                <w:szCs w:val="20"/>
                <w:color w:val="auto"/>
              </w:rPr>
            </w:pPr>
            <w:r>
              <w:rPr>
                <w:rFonts w:ascii="Arial" w:cs="Arial" w:eastAsia="Arial" w:hAnsi="Arial"/>
                <w:sz w:val="18"/>
                <w:szCs w:val="18"/>
                <w:color w:val="auto"/>
              </w:rPr>
              <w:t>Patent defense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New patents and trademarks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62,595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r>
      <w:tr>
        <w:trPr>
          <w:trHeight w:val="230"/>
        </w:trPr>
        <w:tc>
          <w:tcPr>
            <w:tcW w:w="2620" w:type="dxa"/>
            <w:vAlign w:val="bottom"/>
          </w:tcPr>
          <w:p>
            <w:pPr>
              <w:ind w:left="80"/>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(194,638)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(136,764)</w:t>
            </w:r>
          </w:p>
        </w:tc>
      </w:tr>
      <w:tr>
        <w:trPr>
          <w:trHeight w:val="182"/>
        </w:trPr>
        <w:tc>
          <w:tcPr>
            <w:tcW w:w="262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Patent rights and intangible</w:t>
            </w:r>
          </w:p>
        </w:tc>
        <w:tc>
          <w:tcPr>
            <w:tcW w:w="10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57"/>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 net</w:t>
            </w:r>
          </w:p>
        </w:tc>
        <w:tc>
          <w:tcPr>
            <w:tcW w:w="34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60" w:type="dxa"/>
            <w:vAlign w:val="bottom"/>
            <w:shd w:val="clear" w:color="auto" w:fill="CCEECC"/>
          </w:tcPr>
          <w:p>
            <w:pPr>
              <w:spacing w:after="0"/>
              <w:rPr>
                <w:sz w:val="22"/>
                <w:szCs w:val="22"/>
                <w:color w:val="auto"/>
              </w:rPr>
            </w:pPr>
          </w:p>
        </w:tc>
      </w:tr>
      <w:tr>
        <w:trPr>
          <w:trHeight w:val="20"/>
        </w:trPr>
        <w:tc>
          <w:tcPr>
            <w:tcW w:w="26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$57,874 and $54,705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Accrued expenses at December 31, 2013 and 2012 consisted of amounts owed to the Company’s outside independent auditors for services rendered for periods reported on in these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$4,252 and $49,252 as of December 31, 2013 and 2012,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2013. There were 14,773,496 and 14,232,496 common shares issued and outstanding at December 31, 2013 and 2012,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and the agreement was voided and replaced by a new agreement as noted below.</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$174,808 of that amount remains as deferred stock compensation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and $16,790 during the years ended December 31, 2012 and 2011,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$91,811 and $8,346 during the years ended December 31, 2012 and 2011,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$31,672 and $8,335 during the years ended December 31, 2013 and 2012,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30, 2013, the Company issued 50,000 stock options to 6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The remaining balance will be recognized during 2014.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8, 2013, the Company issued 75,000 stock options to 2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during the three months ended December 31, 2013. The remaining balance of $59,134 has been recorded as deferred stock compensation and will be recognized during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Number of Options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(455,000)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Number of Warrants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(686,100)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13,658,334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Year ended December 31, 2014</w:t>
            </w:r>
          </w:p>
        </w:tc>
        <w:tc>
          <w:tcPr>
            <w:tcW w:w="26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55,542</w:t>
            </w:r>
          </w:p>
        </w:tc>
        <w:tc>
          <w:tcPr>
            <w:tcW w:w="372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Total lease commitment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13"/>
        </w:trPr>
        <w:tc>
          <w:tcPr>
            <w:tcW w:w="3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r>
        <w:trPr>
          <w:trHeight w:val="224"/>
        </w:trPr>
        <w:tc>
          <w:tcPr>
            <w:tcW w:w="3720" w:type="dxa"/>
            <w:vAlign w:val="bottom"/>
          </w:tcPr>
          <w:p>
            <w:pPr>
              <w:spacing w:after="0"/>
              <w:rPr>
                <w:sz w:val="19"/>
                <w:szCs w:val="19"/>
                <w:color w:val="auto"/>
              </w:rPr>
            </w:pPr>
          </w:p>
        </w:tc>
        <w:tc>
          <w:tcPr>
            <w:tcW w:w="3020" w:type="dxa"/>
            <w:vAlign w:val="bottom"/>
          </w:tcPr>
          <w:p>
            <w:pPr>
              <w:jc w:val="right"/>
              <w:ind w:right="770"/>
              <w:spacing w:after="0"/>
              <w:rPr>
                <w:sz w:val="20"/>
                <w:szCs w:val="20"/>
                <w:color w:val="auto"/>
              </w:rPr>
            </w:pPr>
            <w:r>
              <w:rPr>
                <w:rFonts w:ascii="Arial" w:cs="Arial" w:eastAsia="Arial" w:hAnsi="Arial"/>
                <w:sz w:val="18"/>
                <w:szCs w:val="18"/>
                <w:color w:val="auto"/>
              </w:rPr>
              <w:t>F-15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two major customers that accounted for 58% and two major customers that accounted for 52% of the Company’s revenues for the years ended December 31, 2013 and 2012,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2013, the Company incurred net income of approximately $216,000 but has no tax liability. The Company began operations in 2007 and has previous net operating loss carry-forwards of approximately $13,934,000 through December 31, 2012. The cumulative loss of approximately $13,718,000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4"/>
              </w:rPr>
              <w:t>Federal income tax (expense)</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benefit attributable to: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rPr>
              <w:t>Current operations</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(73,000)</w:t>
            </w: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155,000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Net provision for federal</w:t>
            </w:r>
          </w:p>
        </w:tc>
        <w:tc>
          <w:tcPr>
            <w:tcW w:w="1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260" w:type="dxa"/>
            <w:vAlign w:val="bottom"/>
            <w:shd w:val="clear" w:color="auto" w:fill="CCEECC"/>
          </w:tcPr>
          <w:p>
            <w:pPr>
              <w:spacing w:after="0"/>
              <w:rPr>
                <w:sz w:val="20"/>
                <w:szCs w:val="20"/>
                <w:color w:val="auto"/>
              </w:rPr>
            </w:pPr>
            <w:r>
              <w:rPr>
                <w:rFonts w:ascii="Arial" w:cs="Arial" w:eastAsia="Arial" w:hAnsi="Arial"/>
                <w:sz w:val="18"/>
                <w:szCs w:val="18"/>
                <w:color w:val="auto"/>
              </w:rPr>
              <w:t>income tax</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2"/>
                <w:szCs w:val="22"/>
                <w:color w:val="auto"/>
              </w:rPr>
            </w:pP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2"/>
              </w:rPr>
              <w:t>Deferred tax asset attributable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to: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w w:val="95"/>
              </w:rPr>
              <w:t>Net operating loss carryover</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4,665,000</w:t>
            </w:r>
          </w:p>
        </w:tc>
        <w:tc>
          <w:tcPr>
            <w:tcW w:w="6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4,738,000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(4,665,000)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(4,738,000)</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$13,718,000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2013, the Company hired a new CEO. The employment agreement required annual compensation of $175,000 that was to be accrued and deferred until at least January 1, 2014. Additionally, the agreement required the issuance of 2,000,000 options with an exercise price of $1.00 for a term of five years. The options were not exercisable until at least January 1, 2014, and were only exercisable after reaching certain financial terms and conditions. Due to these restrictions, no accrual was made for the issuance of these options.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2013, the Company entered into a separation agreement with the CEO. As part of the terms of the separation agreement, the accrued compensation up to the date of separation was paid and the options were terminated.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years ended December 31, 2013 and 2012, respectively:</w:t>
      </w:r>
    </w:p>
    <w:p>
      <w:pPr>
        <w:spacing w:after="0" w:line="225"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Years ended</w:t>
            </w:r>
          </w:p>
        </w:tc>
      </w:tr>
      <w:tr>
        <w:trPr>
          <w:trHeight w:val="230"/>
        </w:trPr>
        <w:tc>
          <w:tcPr>
            <w:tcW w:w="272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December 31,</w:t>
            </w:r>
          </w:p>
        </w:tc>
      </w:tr>
      <w:tr>
        <w:trPr>
          <w:trHeight w:val="230"/>
        </w:trPr>
        <w:tc>
          <w:tcPr>
            <w:tcW w:w="27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40" w:type="dxa"/>
            <w:vAlign w:val="bottom"/>
            <w:tcBorders>
              <w:bottom w:val="single" w:sz="8" w:color="auto"/>
            </w:tcBorders>
          </w:tcPr>
          <w:p>
            <w:pPr>
              <w:spacing w:after="0"/>
              <w:rPr>
                <w:sz w:val="20"/>
                <w:szCs w:val="20"/>
                <w:color w:val="auto"/>
              </w:rPr>
            </w:pPr>
          </w:p>
        </w:tc>
      </w:tr>
      <w:tr>
        <w:trPr>
          <w:trHeight w:val="210"/>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47,105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57,218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263,396</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100,077</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19,148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1,319,712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1,184,367</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60,592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62,362</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187,104</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411,412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285,605</w:t>
            </w:r>
          </w:p>
        </w:tc>
        <w:tc>
          <w:tcPr>
            <w:tcW w:w="40" w:type="dxa"/>
            <w:vAlign w:val="bottom"/>
            <w:shd w:val="clear" w:color="auto" w:fill="CCEECC"/>
          </w:tcPr>
          <w:p>
            <w:pPr>
              <w:spacing w:after="0"/>
              <w:rPr>
                <w:sz w:val="18"/>
                <w:szCs w:val="18"/>
                <w:color w:val="auto"/>
              </w:rPr>
            </w:pPr>
          </w:p>
        </w:tc>
      </w:tr>
      <w:tr>
        <w:trPr>
          <w:trHeight w:val="230"/>
        </w:trPr>
        <w:tc>
          <w:tcPr>
            <w:tcW w:w="27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288,297</w:t>
            </w:r>
          </w:p>
        </w:tc>
        <w:tc>
          <w:tcPr>
            <w:tcW w:w="6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269,448</w:t>
            </w:r>
          </w:p>
        </w:tc>
        <w:tc>
          <w:tcPr>
            <w:tcW w:w="40" w:type="dxa"/>
            <w:vAlign w:val="bottom"/>
            <w:tcBorders>
              <w:bottom w:val="single" w:sz="8" w:color="CCEECC"/>
            </w:tcBorders>
          </w:tcPr>
          <w:p>
            <w:pPr>
              <w:spacing w:after="0"/>
              <w:rPr>
                <w:sz w:val="19"/>
                <w:szCs w:val="19"/>
                <w:color w:val="auto"/>
              </w:rPr>
            </w:pPr>
          </w:p>
        </w:tc>
      </w:tr>
      <w:tr>
        <w:trPr>
          <w:trHeight w:val="223"/>
        </w:trPr>
        <w:tc>
          <w:tcPr>
            <w:tcW w:w="27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6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40" w:type="dxa"/>
            <w:vAlign w:val="bottom"/>
            <w:tcBorders>
              <w:bottom w:val="single" w:sz="8" w:color="CCEECC"/>
            </w:tcBorders>
            <w:shd w:val="clear" w:color="auto" w:fill="CCEECC"/>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was not properly accrued at the end of 2012 or at the end of each 2013 quarter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restated Consolidated Balance Sheet, Consolidated Statement of Operations and Consolidated Statement of Cash Flows for the year ended December 31, 2012 is as follows:</w:t>
      </w:r>
    </w:p>
    <w:p>
      <w:pPr>
        <w:spacing w:after="0" w:line="18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33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Year ended December 31, 2012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6"/>
              </w:rPr>
              <w:t>Previously</w:t>
            </w:r>
          </w:p>
        </w:tc>
        <w:tc>
          <w:tcPr>
            <w:tcW w:w="0" w:type="dxa"/>
            <w:vAlign w:val="bottom"/>
          </w:tcPr>
          <w:p>
            <w:pPr>
              <w:spacing w:after="0"/>
              <w:rPr>
                <w:sz w:val="1"/>
                <w:szCs w:val="1"/>
                <w:color w:val="auto"/>
              </w:rPr>
            </w:pPr>
          </w:p>
        </w:tc>
      </w:tr>
      <w:tr>
        <w:trPr>
          <w:trHeight w:val="182"/>
        </w:trPr>
        <w:tc>
          <w:tcPr>
            <w:tcW w:w="1700" w:type="dxa"/>
            <w:vAlign w:val="bottom"/>
            <w:gridSpan w:val="2"/>
            <w:vMerge w:val="restart"/>
          </w:tcPr>
          <w:p>
            <w:pPr>
              <w:ind w:left="80"/>
              <w:spacing w:after="0"/>
              <w:rPr>
                <w:sz w:val="20"/>
                <w:szCs w:val="20"/>
                <w:color w:val="auto"/>
              </w:rPr>
            </w:pPr>
            <w:r>
              <w:rPr>
                <w:rFonts w:ascii="Arial" w:cs="Arial" w:eastAsia="Arial" w:hAnsi="Arial"/>
                <w:sz w:val="18"/>
                <w:szCs w:val="18"/>
                <w:color w:val="auto"/>
              </w:rPr>
              <w:t>Financial Statement</w:t>
            </w:r>
          </w:p>
        </w:tc>
        <w:tc>
          <w:tcPr>
            <w:tcW w:w="1640" w:type="dxa"/>
            <w:vAlign w:val="bottom"/>
            <w:vMerge w:val="restart"/>
          </w:tcPr>
          <w:p>
            <w:pPr>
              <w:ind w:left="100"/>
              <w:spacing w:after="0"/>
              <w:rPr>
                <w:sz w:val="20"/>
                <w:szCs w:val="20"/>
                <w:color w:val="auto"/>
              </w:rPr>
            </w:pPr>
            <w:r>
              <w:rPr>
                <w:rFonts w:ascii="Arial" w:cs="Arial" w:eastAsia="Arial" w:hAnsi="Arial"/>
                <w:sz w:val="18"/>
                <w:szCs w:val="18"/>
                <w:color w:val="auto"/>
              </w:rPr>
              <w:t>Line Item</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Corrected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Stated</w:t>
            </w: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640" w:type="dxa"/>
            <w:vAlign w:val="bottom"/>
            <w:tcBorders>
              <w:top w:val="single" w:sz="8" w:color="auto"/>
            </w:tcBorders>
            <w:shd w:val="clear" w:color="auto" w:fill="CCEECC"/>
          </w:tcPr>
          <w:p>
            <w:pPr>
              <w:ind w:left="100"/>
              <w:spacing w:after="0" w:line="195" w:lineRule="exact"/>
              <w:rPr>
                <w:sz w:val="20"/>
                <w:szCs w:val="20"/>
                <w:color w:val="auto"/>
              </w:rPr>
            </w:pPr>
            <w:r>
              <w:rPr>
                <w:rFonts w:ascii="Arial" w:cs="Arial" w:eastAsia="Arial" w:hAnsi="Arial"/>
                <w:sz w:val="18"/>
                <w:szCs w:val="18"/>
                <w:color w:val="auto"/>
              </w:rPr>
              <w:t>Revenue share</w:t>
            </w:r>
          </w:p>
        </w:tc>
        <w:tc>
          <w:tcPr>
            <w:tcW w:w="6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Balance sheet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Revenue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expense</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115,360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840" w:type="dxa"/>
            <w:vAlign w:val="bottom"/>
            <w:gridSpan w:val="3"/>
            <w:shd w:val="clear" w:color="auto" w:fill="CCEECC"/>
          </w:tcPr>
          <w:p>
            <w:pPr>
              <w:ind w:left="100"/>
              <w:spacing w:after="0"/>
              <w:rPr>
                <w:sz w:val="20"/>
                <w:szCs w:val="20"/>
                <w:color w:val="auto"/>
              </w:rPr>
            </w:pPr>
            <w:r>
              <w:rPr>
                <w:rFonts w:ascii="Arial" w:cs="Arial" w:eastAsia="Arial" w:hAnsi="Arial"/>
                <w:sz w:val="18"/>
                <w:szCs w:val="18"/>
                <w:color w:val="auto"/>
                <w:w w:val="93"/>
              </w:rPr>
              <w:t>Loss from operations $</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(454,922)</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(364,345)</w:t>
            </w: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Loss before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auto"/>
                <w:w w:val="94"/>
              </w:rPr>
              <w:t>provision for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taxes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shd w:val="clear" w:color="auto" w:fill="CCEECC"/>
          </w:tcPr>
          <w:p>
            <w:pPr>
              <w:ind w:left="100"/>
              <w:spacing w:after="0" w:line="201" w:lineRule="exact"/>
              <w:rPr>
                <w:sz w:val="20"/>
                <w:szCs w:val="20"/>
                <w:color w:val="auto"/>
              </w:rPr>
            </w:pPr>
            <w:r>
              <w:rPr>
                <w:rFonts w:ascii="Arial" w:cs="Arial" w:eastAsia="Arial" w:hAnsi="Arial"/>
                <w:sz w:val="18"/>
                <w:szCs w:val="18"/>
                <w:color w:val="auto"/>
                <w:w w:val="96"/>
              </w:rPr>
              <w:t>Increase in revenue</w:t>
            </w:r>
          </w:p>
        </w:tc>
        <w:tc>
          <w:tcPr>
            <w:tcW w:w="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share 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a portion of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2013 through the date these financial statements were issued and has determined that it does not have any material subsequent events to disclose in these financial statements other than the events described above.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304 of Regulation S-K during the fiscal year ending December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Rule 13a-15 under the Securities Exchange Act of 1934, we have carried out an evaluation of the effectiveness of our disclosure controls and procedures as of the end of the period covered by this annual report, being December 31, 2013. This evaluation was carried out under the supervision and with the participation of our management, including our Chief Executive Officer and Chief Financial Officer.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that evaluation, including our Chief Executive Officer and Chief Financial Officer, we have concluded that our disclosure controls and procedures were ineffective as of the end of the period covered by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December 31, 2013 based on criteria established in Internal Control-Integrated Framework issued by the Committee of Sponsoring Organizations of the Treadway Commission. As a result of this assessment, management concluded that, as of December 31, 2013, our internal control over financial reporting was not effective. Our management identified the following material weaknesses in our internal control over financial reporting, which are indicative of many small companies with small staff: (i) inadequate segregation of duties and effective risk assessment; (ii) insufficient written policies and procedures for accounting and financial reporting with respect to the requirements and application of both US GAAP and SEC guidelines; and (iii) insufficient levels of supervision and review of the accounting and financial reporting process.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plan to take steps to enhance and improve the design of our internal control over financial reporting. During the period covered by this annual report on Form 10-K, we have not been able to remediate the material weaknesses identified above. To remediate such weaknesses, we hope to implement the following changes during our fiscal year ending December 31, 2014: (i) appoint additional qualified personnel to address inadequate segregation of duties and ineffective risk management; and (ii) adopt sufficient written policies and procedures for accounting and financial reporting.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an exemption for non-accelerated filers set forth in Section 989G of the Dodd-Frank Wall Street Reform and Consumer Protection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Internal Controls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disclosure controls and procedures or our internal control over financial reporting are or will be capable of preventing or detecting all errors or all fraud. Any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may occur because of simple error or mistake. Controls can also be circumvented by the individual acts of some persons, by collusion of two or more people, or by management override of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2013.</w:t>
      </w:r>
    </w:p>
    <w:p>
      <w:pPr>
        <w:spacing w:after="0" w:line="221"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80"/>
              <w:spacing w:after="0"/>
              <w:rPr>
                <w:sz w:val="20"/>
                <w:szCs w:val="20"/>
                <w:color w:val="auto"/>
              </w:rPr>
            </w:pPr>
            <w:r>
              <w:rPr>
                <w:rFonts w:ascii="Arial" w:cs="Arial" w:eastAsia="Arial" w:hAnsi="Arial"/>
                <w:sz w:val="18"/>
                <w:szCs w:val="18"/>
                <w:b w:val="1"/>
                <w:bCs w:val="1"/>
                <w:color w:val="auto"/>
              </w:rPr>
              <w:t>Position(s) and</w:t>
            </w:r>
          </w:p>
        </w:tc>
      </w:tr>
      <w:tr>
        <w:trPr>
          <w:trHeight w:val="234"/>
        </w:trPr>
        <w:tc>
          <w:tcPr>
            <w:tcW w:w="1800" w:type="dxa"/>
            <w:vAlign w:val="bottom"/>
            <w:gridSpan w:val="2"/>
          </w:tcPr>
          <w:p>
            <w:pPr>
              <w:ind w:left="660"/>
              <w:spacing w:after="0"/>
              <w:rPr>
                <w:sz w:val="20"/>
                <w:szCs w:val="20"/>
                <w:color w:val="auto"/>
              </w:rPr>
            </w:pPr>
            <w:r>
              <w:rPr>
                <w:rFonts w:ascii="Arial" w:cs="Arial" w:eastAsia="Arial" w:hAnsi="Arial"/>
                <w:sz w:val="18"/>
                <w:szCs w:val="18"/>
                <w:b w:val="1"/>
                <w:bCs w:val="1"/>
                <w:color w:val="auto"/>
              </w:rPr>
              <w:t>Name</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1620" w:type="dxa"/>
            <w:vAlign w:val="bottom"/>
          </w:tcPr>
          <w:p>
            <w:pPr>
              <w:ind w:left="320"/>
              <w:spacing w:after="0"/>
              <w:rPr>
                <w:sz w:val="20"/>
                <w:szCs w:val="20"/>
                <w:color w:val="auto"/>
              </w:rPr>
            </w:pPr>
            <w:r>
              <w:rPr>
                <w:rFonts w:ascii="Arial" w:cs="Arial" w:eastAsia="Arial" w:hAnsi="Arial"/>
                <w:sz w:val="18"/>
                <w:szCs w:val="18"/>
                <w:b w:val="1"/>
                <w:bCs w:val="1"/>
                <w:color w:val="auto"/>
              </w:rPr>
              <w:t>Office(s) Held</w:t>
            </w:r>
          </w:p>
        </w:tc>
      </w:tr>
      <w:tr>
        <w:trPr>
          <w:trHeight w:val="195"/>
        </w:trPr>
        <w:tc>
          <w:tcPr>
            <w:tcW w:w="17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580" w:type="dxa"/>
            <w:vAlign w:val="bottom"/>
            <w:tcBorders>
              <w:top w:val="single" w:sz="8" w:color="auto"/>
            </w:tcBorders>
            <w:shd w:val="clear" w:color="auto" w:fill="CCEECC"/>
          </w:tcPr>
          <w:p>
            <w:pPr>
              <w:spacing w:after="0"/>
              <w:rPr>
                <w:sz w:val="16"/>
                <w:szCs w:val="16"/>
                <w:color w:val="auto"/>
              </w:rPr>
            </w:pPr>
          </w:p>
        </w:tc>
        <w:tc>
          <w:tcPr>
            <w:tcW w:w="120" w:type="dxa"/>
            <w:vAlign w:val="bottom"/>
            <w:tcBorders>
              <w:top w:val="single" w:sz="8" w:color="CCEECC"/>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rPr>
              <w:t>Chief Operating</w:t>
            </w:r>
          </w:p>
        </w:tc>
      </w:tr>
      <w:tr>
        <w:trPr>
          <w:trHeight w:val="216"/>
        </w:trPr>
        <w:tc>
          <w:tcPr>
            <w:tcW w:w="17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5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Officer, Secretary,</w:t>
            </w:r>
          </w:p>
        </w:tc>
      </w:tr>
      <w:tr>
        <w:trPr>
          <w:trHeight w:val="216"/>
        </w:trPr>
        <w:tc>
          <w:tcPr>
            <w:tcW w:w="17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5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Treasurer and</w:t>
            </w:r>
          </w:p>
        </w:tc>
      </w:tr>
      <w:tr>
        <w:trPr>
          <w:trHeight w:val="230"/>
        </w:trPr>
        <w:tc>
          <w:tcPr>
            <w:tcW w:w="18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David Lester</w:t>
            </w:r>
          </w:p>
        </w:tc>
        <w:tc>
          <w:tcPr>
            <w:tcW w:w="15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CC"/>
          </w:tcPr>
          <w:p>
            <w:pPr>
              <w:spacing w:after="0"/>
              <w:rPr>
                <w:sz w:val="20"/>
                <w:szCs w:val="20"/>
                <w:color w:val="auto"/>
              </w:rPr>
            </w:pPr>
          </w:p>
        </w:tc>
        <w:tc>
          <w:tcPr>
            <w:tcW w:w="1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Director</w:t>
            </w:r>
          </w:p>
        </w:tc>
      </w:tr>
      <w:tr>
        <w:trPr>
          <w:trHeight w:val="202"/>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ind w:left="80"/>
              <w:spacing w:after="0" w:line="201" w:lineRule="exact"/>
              <w:rPr>
                <w:sz w:val="20"/>
                <w:szCs w:val="20"/>
                <w:color w:val="auto"/>
              </w:rPr>
            </w:pPr>
            <w:r>
              <w:rPr>
                <w:rFonts w:ascii="Arial" w:cs="Arial" w:eastAsia="Arial" w:hAnsi="Arial"/>
                <w:sz w:val="18"/>
                <w:szCs w:val="18"/>
                <w:color w:val="auto"/>
              </w:rPr>
              <w:t>Chairman, Chief</w:t>
            </w: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80"/>
              <w:spacing w:after="0"/>
              <w:rPr>
                <w:sz w:val="20"/>
                <w:szCs w:val="20"/>
                <w:color w:val="auto"/>
              </w:rPr>
            </w:pPr>
            <w:r>
              <w:rPr>
                <w:rFonts w:ascii="Arial" w:cs="Arial" w:eastAsia="Arial" w:hAnsi="Arial"/>
                <w:sz w:val="18"/>
                <w:szCs w:val="18"/>
                <w:color w:val="auto"/>
              </w:rPr>
              <w:t>Executive Officer,</w:t>
            </w: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80"/>
              <w:spacing w:after="0"/>
              <w:rPr>
                <w:sz w:val="20"/>
                <w:szCs w:val="20"/>
                <w:color w:val="auto"/>
              </w:rPr>
            </w:pPr>
            <w:r>
              <w:rPr>
                <w:rFonts w:ascii="Arial" w:cs="Arial" w:eastAsia="Arial" w:hAnsi="Arial"/>
                <w:sz w:val="18"/>
                <w:szCs w:val="18"/>
                <w:color w:val="auto"/>
              </w:rPr>
              <w:t>Chief Strategic</w:t>
            </w:r>
          </w:p>
        </w:tc>
      </w:tr>
      <w:tr>
        <w:trPr>
          <w:trHeight w:val="230"/>
        </w:trPr>
        <w:tc>
          <w:tcPr>
            <w:tcW w:w="1800" w:type="dxa"/>
            <w:vAlign w:val="bottom"/>
            <w:gridSpan w:val="2"/>
          </w:tcPr>
          <w:p>
            <w:pPr>
              <w:ind w:left="80"/>
              <w:spacing w:after="0"/>
              <w:rPr>
                <w:sz w:val="20"/>
                <w:szCs w:val="20"/>
                <w:color w:val="auto"/>
              </w:rPr>
            </w:pPr>
            <w:r>
              <w:rPr>
                <w:rFonts w:ascii="Arial" w:cs="Arial" w:eastAsia="Arial" w:hAnsi="Arial"/>
                <w:sz w:val="18"/>
                <w:szCs w:val="18"/>
                <w:color w:val="auto"/>
              </w:rPr>
              <w:t>David A. Harrell</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0"/>
                <w:szCs w:val="20"/>
                <w:color w:val="auto"/>
              </w:rPr>
            </w:pPr>
          </w:p>
        </w:tc>
        <w:tc>
          <w:tcPr>
            <w:tcW w:w="1620" w:type="dxa"/>
            <w:vAlign w:val="bottom"/>
          </w:tcPr>
          <w:p>
            <w:pPr>
              <w:ind w:left="80"/>
              <w:spacing w:after="0"/>
              <w:rPr>
                <w:sz w:val="20"/>
                <w:szCs w:val="20"/>
                <w:color w:val="auto"/>
              </w:rPr>
            </w:pPr>
            <w:r>
              <w:rPr>
                <w:rFonts w:ascii="Arial" w:cs="Arial" w:eastAsia="Arial" w:hAnsi="Arial"/>
                <w:sz w:val="18"/>
                <w:szCs w:val="18"/>
                <w:color w:val="auto"/>
                <w:w w:val="97"/>
              </w:rPr>
              <w:t>Officer and Director</w:t>
            </w:r>
          </w:p>
        </w:tc>
      </w:tr>
      <w:tr>
        <w:trPr>
          <w:trHeight w:val="202"/>
        </w:trPr>
        <w:tc>
          <w:tcPr>
            <w:tcW w:w="17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5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62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Director and VP of</w:t>
            </w:r>
          </w:p>
        </w:tc>
      </w:tr>
      <w:tr>
        <w:trPr>
          <w:trHeight w:val="230"/>
        </w:trPr>
        <w:tc>
          <w:tcPr>
            <w:tcW w:w="18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Terence J. Hamilton</w:t>
            </w:r>
          </w:p>
        </w:tc>
        <w:tc>
          <w:tcPr>
            <w:tcW w:w="15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shd w:val="clear" w:color="auto" w:fill="CCEECC"/>
          </w:tcPr>
          <w:p>
            <w:pPr>
              <w:spacing w:after="0"/>
              <w:rPr>
                <w:sz w:val="20"/>
                <w:szCs w:val="20"/>
                <w:color w:val="auto"/>
              </w:rPr>
            </w:pPr>
          </w:p>
        </w:tc>
        <w:tc>
          <w:tcPr>
            <w:tcW w:w="1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Sales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three (3)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ectPr>
          <w:pgSz w:w="11900" w:h="16838" w:orient="portrait"/>
          <w:cols w:equalWidth="0" w:num="1">
            <w:col w:w="11420"/>
          </w:cols>
          <w:pgMar w:left="240" w:top="233"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the best of our knowledge, during the past ten years, none of the following occurred with respect to a present or former director, executive officer, or employee: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have an audit committee financial expert because of the size of our company and our board of directors at this time. We believe that we do not require an audit committee financial expert at this time because we retain outside consultants who possess these attributes as needed.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2013, the board of directors:</w:t>
      </w:r>
    </w:p>
    <w:p>
      <w:pPr>
        <w:spacing w:after="0" w:line="225" w:lineRule="exact"/>
        <w:rPr>
          <w:sz w:val="20"/>
          <w:szCs w:val="20"/>
          <w:color w:val="auto"/>
        </w:rPr>
      </w:pPr>
    </w:p>
    <w:p>
      <w:pPr>
        <w:ind w:left="540" w:hanging="16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3" w:lineRule="exact"/>
        <w:rPr>
          <w:rFonts w:ascii="Arial" w:cs="Arial" w:eastAsia="Arial" w:hAnsi="Arial"/>
          <w:sz w:val="18"/>
          <w:szCs w:val="18"/>
          <w:color w:val="auto"/>
        </w:rPr>
      </w:pPr>
    </w:p>
    <w:p>
      <w:pPr>
        <w:ind w:left="540" w:hanging="167"/>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3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2013 to be included in this Annual Report on Form 10-K and filed with the Securities and Exchange Commission.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2013:</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8"/>
              </w:rPr>
              <w:t>Known</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89"/>
              </w:rPr>
              <w:t>Transactions</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failures</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of</w:t>
            </w:r>
          </w:p>
        </w:tc>
        <w:tc>
          <w:tcPr>
            <w:tcW w:w="4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not</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to file a</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late</w:t>
            </w:r>
          </w:p>
        </w:tc>
        <w:tc>
          <w:tcPr>
            <w:tcW w:w="40" w:type="dxa"/>
            <w:vAlign w:val="bottom"/>
          </w:tcPr>
          <w:p>
            <w:pPr>
              <w:spacing w:after="0"/>
              <w:rPr>
                <w:sz w:val="18"/>
                <w:szCs w:val="18"/>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timely</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required</w:t>
            </w: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Name and principal position</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reports</w:t>
            </w:r>
          </w:p>
        </w:tc>
        <w:tc>
          <w:tcPr>
            <w:tcW w:w="4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reported</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form</w:t>
            </w:r>
          </w:p>
        </w:tc>
      </w:tr>
      <w:tr>
        <w:trPr>
          <w:trHeight w:val="195"/>
        </w:trPr>
        <w:tc>
          <w:tcPr>
            <w:tcW w:w="20" w:type="dxa"/>
            <w:vAlign w:val="bottom"/>
          </w:tcPr>
          <w:p>
            <w:pPr>
              <w:spacing w:after="0"/>
              <w:rPr>
                <w:sz w:val="16"/>
                <w:szCs w:val="16"/>
                <w:color w:val="auto"/>
              </w:rPr>
            </w:pPr>
          </w:p>
        </w:tc>
        <w:tc>
          <w:tcPr>
            <w:tcW w:w="3280" w:type="dxa"/>
            <w:vAlign w:val="bottom"/>
            <w:tcBorders>
              <w:top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rPr>
              <w:t>Shad Stastney</w:t>
            </w:r>
          </w:p>
        </w:tc>
        <w:tc>
          <w:tcPr>
            <w:tcW w:w="60" w:type="dxa"/>
            <w:vAlign w:val="bottom"/>
            <w:tcBorders>
              <w:top w:val="single" w:sz="8" w:color="CCEECC"/>
            </w:tcBorders>
            <w:shd w:val="clear" w:color="auto" w:fill="CCEECC"/>
          </w:tcPr>
          <w:p>
            <w:pPr>
              <w:spacing w:after="0"/>
              <w:rPr>
                <w:sz w:val="16"/>
                <w:szCs w:val="16"/>
                <w:color w:val="auto"/>
              </w:rPr>
            </w:pPr>
          </w:p>
        </w:tc>
        <w:tc>
          <w:tcPr>
            <w:tcW w:w="6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80" w:type="dxa"/>
            <w:vAlign w:val="bottom"/>
            <w:tcBorders>
              <w:top w:val="single" w:sz="8" w:color="auto"/>
            </w:tcBorders>
            <w:shd w:val="clear" w:color="auto" w:fill="CCEEC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Former Chairman, President, CEO and</w:t>
            </w:r>
          </w:p>
        </w:tc>
        <w:tc>
          <w:tcPr>
            <w:tcW w:w="6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r>
      <w:tr>
        <w:trPr>
          <w:trHeight w:val="202"/>
        </w:trPr>
        <w:tc>
          <w:tcPr>
            <w:tcW w:w="20" w:type="dxa"/>
            <w:vAlign w:val="bottom"/>
          </w:tcPr>
          <w:p>
            <w:pPr>
              <w:spacing w:after="0"/>
              <w:rPr>
                <w:sz w:val="17"/>
                <w:szCs w:val="17"/>
                <w:color w:val="auto"/>
              </w:rPr>
            </w:pPr>
          </w:p>
        </w:tc>
        <w:tc>
          <w:tcPr>
            <w:tcW w:w="33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David Lester</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COO, Secretary, Treasurer and Director</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David A. Harrell</w:t>
            </w:r>
          </w:p>
        </w:tc>
        <w:tc>
          <w:tcPr>
            <w:tcW w:w="6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CEO, Vice Chairman, Chief Strategic</w:t>
            </w:r>
          </w:p>
        </w:tc>
        <w:tc>
          <w:tcPr>
            <w:tcW w:w="6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Officer and Director</w:t>
            </w:r>
          </w:p>
        </w:tc>
        <w:tc>
          <w:tcPr>
            <w:tcW w:w="6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r>
      <w:tr>
        <w:trPr>
          <w:trHeight w:val="202"/>
        </w:trPr>
        <w:tc>
          <w:tcPr>
            <w:tcW w:w="20" w:type="dxa"/>
            <w:vAlign w:val="bottom"/>
          </w:tcPr>
          <w:p>
            <w:pPr>
              <w:spacing w:after="0"/>
              <w:rPr>
                <w:sz w:val="17"/>
                <w:szCs w:val="17"/>
                <w:color w:val="auto"/>
              </w:rPr>
            </w:pPr>
          </w:p>
        </w:tc>
        <w:tc>
          <w:tcPr>
            <w:tcW w:w="33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Terence J. Hamilton</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VP of Sales and Director</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Richard Kraniak</w:t>
            </w:r>
          </w:p>
        </w:tc>
        <w:tc>
          <w:tcPr>
            <w:tcW w:w="6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10% Holder</w:t>
            </w:r>
          </w:p>
        </w:tc>
        <w:tc>
          <w:tcPr>
            <w:tcW w:w="6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2013, we had not adopted a Code of Ethics for Financial Executives, which would include our principal executive officer, principal financial officer, principal accounting officer or controller, or persons performing similar functions.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2013 and 2012.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1820" w:type="dxa"/>
        <w:tblCellMar>
          <w:top w:w="0" w:type="dxa"/>
          <w:left w:w="0" w:type="dxa"/>
          <w:bottom w:w="0" w:type="dxa"/>
          <w:right w:w="0" w:type="dxa"/>
        </w:tblCellMar>
      </w:tblPr>
      <w:tr>
        <w:trPr>
          <w:trHeight w:val="209"/>
        </w:trPr>
        <w:tc>
          <w:tcPr>
            <w:tcW w:w="8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Name</w:t>
            </w: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8"/>
                <w:szCs w:val="18"/>
                <w:color w:val="auto"/>
                <w:w w:val="94"/>
              </w:rPr>
              <w:t>Option</w:t>
            </w:r>
          </w:p>
        </w:tc>
        <w:tc>
          <w:tcPr>
            <w:tcW w:w="11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6"/>
              </w:rPr>
              <w:t>Non-Equity</w:t>
            </w:r>
          </w:p>
        </w:tc>
        <w:tc>
          <w:tcPr>
            <w:tcW w:w="11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3"/>
              </w:rPr>
              <w:t>Nonqualified</w:t>
            </w: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Stock</w:t>
            </w:r>
          </w:p>
        </w:tc>
        <w:tc>
          <w:tcPr>
            <w:tcW w:w="640" w:type="dxa"/>
            <w:vAlign w:val="bottom"/>
            <w:gridSpan w:val="2"/>
            <w:vMerge w:val="continue"/>
          </w:tcPr>
          <w:p>
            <w:pPr>
              <w:spacing w:after="0"/>
              <w:rPr>
                <w:sz w:val="15"/>
                <w:szCs w:val="15"/>
                <w:color w:val="auto"/>
              </w:rPr>
            </w:pPr>
          </w:p>
        </w:tc>
        <w:tc>
          <w:tcPr>
            <w:tcW w:w="11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Incentive Plan</w:t>
            </w:r>
          </w:p>
        </w:tc>
        <w:tc>
          <w:tcPr>
            <w:tcW w:w="11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Deferred</w:t>
            </w:r>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97"/>
              </w:rPr>
              <w:t>All Other</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principal</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Salary</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Bonus</w:t>
            </w:r>
          </w:p>
        </w:tc>
        <w:tc>
          <w:tcPr>
            <w:tcW w:w="4580" w:type="dxa"/>
            <w:vAlign w:val="bottom"/>
            <w:gridSpan w:val="9"/>
          </w:tcPr>
          <w:p>
            <w:pPr>
              <w:ind w:left="20"/>
              <w:spacing w:after="0" w:line="230" w:lineRule="exact"/>
              <w:rPr>
                <w:sz w:val="20"/>
                <w:szCs w:val="20"/>
                <w:color w:val="auto"/>
              </w:rPr>
            </w:pPr>
            <w:r>
              <w:rPr>
                <w:rFonts w:ascii="Arial" w:cs="Arial" w:eastAsia="Arial" w:hAnsi="Arial"/>
                <w:sz w:val="15"/>
                <w:szCs w:val="15"/>
                <w:color w:val="auto"/>
              </w:rPr>
              <w:t xml:space="preserve">Awards </w:t>
            </w:r>
            <w:r>
              <w:rPr>
                <w:rFonts w:ascii="Arial" w:cs="Arial" w:eastAsia="Arial" w:hAnsi="Arial"/>
                <w:sz w:val="26"/>
                <w:szCs w:val="26"/>
                <w:color w:val="auto"/>
                <w:vertAlign w:val="superscript"/>
              </w:rPr>
              <w:t>Awards</w:t>
            </w:r>
            <w:r>
              <w:rPr>
                <w:rFonts w:ascii="Arial" w:cs="Arial" w:eastAsia="Arial" w:hAnsi="Arial"/>
                <w:sz w:val="15"/>
                <w:szCs w:val="15"/>
                <w:color w:val="auto"/>
              </w:rPr>
              <w:t xml:space="preserve"> Compensation Compensation Compensation</w:t>
            </w:r>
          </w:p>
        </w:tc>
        <w:tc>
          <w:tcPr>
            <w:tcW w:w="60" w:type="dxa"/>
            <w:vAlign w:val="bottom"/>
          </w:tcPr>
          <w:p>
            <w:pPr>
              <w:spacing w:after="0"/>
              <w:rPr>
                <w:sz w:val="19"/>
                <w:szCs w:val="19"/>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0"/>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position</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w w:val="99"/>
              </w:rPr>
              <w:t>Year</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80" w:type="dxa"/>
            <w:vAlign w:val="bottom"/>
          </w:tcPr>
          <w:p>
            <w:pPr>
              <w:jc w:val="center"/>
              <w:spacing w:after="0" w:line="269" w:lineRule="exact"/>
              <w:rPr>
                <w:sz w:val="20"/>
                <w:szCs w:val="20"/>
                <w:color w:val="auto"/>
              </w:rPr>
            </w:pPr>
            <w:r>
              <w:rPr>
                <w:rFonts w:ascii="Arial" w:cs="Arial" w:eastAsia="Arial" w:hAnsi="Arial"/>
                <w:sz w:val="18"/>
                <w:szCs w:val="18"/>
                <w:color w:val="auto"/>
                <w:w w:val="98"/>
              </w:rPr>
              <w:t>($)</w:t>
            </w:r>
            <w:r>
              <w:rPr>
                <w:rFonts w:ascii="Arial" w:cs="Arial" w:eastAsia="Arial" w:hAnsi="Arial"/>
                <w:sz w:val="30"/>
                <w:szCs w:val="30"/>
                <w:color w:val="auto"/>
                <w:w w:val="98"/>
                <w:vertAlign w:val="superscript"/>
              </w:rPr>
              <w:t>(2)</w:t>
            </w:r>
          </w:p>
        </w:tc>
        <w:tc>
          <w:tcPr>
            <w:tcW w:w="6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Earnings ($)</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780" w:type="dxa"/>
            <w:vAlign w:val="bottom"/>
            <w:tcBorders>
              <w:top w:val="single" w:sz="8" w:color="auto"/>
            </w:tcBorders>
            <w:shd w:val="clear" w:color="auto" w:fill="CCEECC"/>
          </w:tcPr>
          <w:p>
            <w:pPr>
              <w:ind w:left="20"/>
              <w:spacing w:after="0" w:line="195" w:lineRule="exact"/>
              <w:rPr>
                <w:sz w:val="20"/>
                <w:szCs w:val="20"/>
                <w:color w:val="auto"/>
              </w:rPr>
            </w:pPr>
            <w:r>
              <w:rPr>
                <w:rFonts w:ascii="Arial" w:cs="Arial" w:eastAsia="Arial" w:hAnsi="Arial"/>
                <w:sz w:val="18"/>
                <w:szCs w:val="18"/>
                <w:color w:val="auto"/>
              </w:rPr>
              <w:t>Shad</w:t>
            </w:r>
          </w:p>
        </w:tc>
        <w:tc>
          <w:tcPr>
            <w:tcW w:w="60" w:type="dxa"/>
            <w:vAlign w:val="bottom"/>
            <w:tcBorders>
              <w:top w:val="single" w:sz="8" w:color="CCEECC"/>
            </w:tcBorders>
            <w:shd w:val="clear" w:color="auto" w:fill="CCEECC"/>
          </w:tcPr>
          <w:p>
            <w:pPr>
              <w:spacing w:after="0"/>
              <w:rPr>
                <w:sz w:val="16"/>
                <w:szCs w:val="16"/>
                <w:color w:val="auto"/>
              </w:rPr>
            </w:pPr>
          </w:p>
        </w:tc>
        <w:tc>
          <w:tcPr>
            <w:tcW w:w="38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0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50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58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58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2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Stastney</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Former</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w w:val="96"/>
              </w:rPr>
              <w:t>Chairman,</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w w:val="98"/>
              </w:rPr>
              <w:t>President,</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CEO and</w:t>
            </w:r>
          </w:p>
        </w:tc>
        <w:tc>
          <w:tcPr>
            <w:tcW w:w="380" w:type="dxa"/>
            <w:vAlign w:val="bottom"/>
            <w:shd w:val="clear" w:color="auto" w:fill="CCEECC"/>
          </w:tcPr>
          <w:p>
            <w:pPr>
              <w:ind w:left="20"/>
              <w:spacing w:after="0"/>
              <w:rPr>
                <w:sz w:val="20"/>
                <w:szCs w:val="20"/>
                <w:color w:val="auto"/>
              </w:rPr>
            </w:pPr>
            <w:r>
              <w:rPr>
                <w:rFonts w:ascii="Arial" w:cs="Arial" w:eastAsia="Arial" w:hAnsi="Arial"/>
                <w:sz w:val="18"/>
                <w:szCs w:val="18"/>
                <w:color w:val="auto"/>
                <w:w w:val="84"/>
              </w:rPr>
              <w:t>2012</w:t>
            </w: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8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Director</w:t>
            </w:r>
          </w:p>
        </w:tc>
        <w:tc>
          <w:tcPr>
            <w:tcW w:w="1040" w:type="dxa"/>
            <w:vAlign w:val="bottom"/>
            <w:gridSpan w:val="3"/>
            <w:shd w:val="clear" w:color="auto" w:fill="CCEECC"/>
          </w:tcPr>
          <w:p>
            <w:pPr>
              <w:ind w:left="20"/>
              <w:spacing w:after="0"/>
              <w:rPr>
                <w:sz w:val="20"/>
                <w:szCs w:val="20"/>
                <w:color w:val="auto"/>
              </w:rPr>
            </w:pPr>
            <w:r>
              <w:rPr>
                <w:rFonts w:ascii="Arial" w:cs="Arial" w:eastAsia="Arial" w:hAnsi="Arial"/>
                <w:sz w:val="18"/>
                <w:szCs w:val="18"/>
                <w:color w:val="auto"/>
                <w:w w:val="90"/>
              </w:rPr>
              <w:t>2013 126,762</w:t>
            </w:r>
          </w:p>
        </w:tc>
        <w:tc>
          <w:tcPr>
            <w:tcW w:w="40" w:type="dxa"/>
            <w:vAlign w:val="bottom"/>
            <w:shd w:val="clear" w:color="auto" w:fill="CCEECC"/>
          </w:tcPr>
          <w:p>
            <w:pPr>
              <w:spacing w:after="0"/>
              <w:rPr>
                <w:sz w:val="21"/>
                <w:szCs w:val="21"/>
                <w:color w:val="auto"/>
              </w:rPr>
            </w:pPr>
          </w:p>
        </w:tc>
        <w:tc>
          <w:tcPr>
            <w:tcW w:w="50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58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58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10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10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1060" w:type="dxa"/>
            <w:vAlign w:val="bottom"/>
            <w:shd w:val="clear" w:color="auto" w:fill="CCEECC"/>
          </w:tcPr>
          <w:p>
            <w:pPr>
              <w:spacing w:after="0"/>
              <w:rPr>
                <w:sz w:val="21"/>
                <w:szCs w:val="21"/>
                <w:color w:val="auto"/>
              </w:rPr>
            </w:pPr>
          </w:p>
        </w:tc>
        <w:tc>
          <w:tcPr>
            <w:tcW w:w="6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5"/>
              </w:rPr>
              <w:t>126,762</w:t>
            </w: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David</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Lester</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COO,</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w w:val="97"/>
              </w:rPr>
              <w:t>Secretary,</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Treasurer</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and</w:t>
            </w:r>
          </w:p>
        </w:tc>
        <w:tc>
          <w:tcPr>
            <w:tcW w:w="1580" w:type="dxa"/>
            <w:vAlign w:val="bottom"/>
            <w:gridSpan w:val="5"/>
          </w:tcPr>
          <w:p>
            <w:pPr>
              <w:ind w:left="20"/>
              <w:spacing w:after="0"/>
              <w:rPr>
                <w:sz w:val="20"/>
                <w:szCs w:val="20"/>
                <w:color w:val="auto"/>
              </w:rPr>
            </w:pPr>
            <w:r>
              <w:rPr>
                <w:rFonts w:ascii="Arial" w:cs="Arial" w:eastAsia="Arial" w:hAnsi="Arial"/>
                <w:sz w:val="18"/>
                <w:szCs w:val="18"/>
                <w:color w:val="auto"/>
                <w:w w:val="90"/>
              </w:rPr>
              <w:t>2012 157,500 10,000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167,500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gridSpan w:val="5"/>
          </w:tcPr>
          <w:p>
            <w:pPr>
              <w:ind w:left="20"/>
              <w:spacing w:after="0"/>
              <w:rPr>
                <w:sz w:val="20"/>
                <w:szCs w:val="20"/>
                <w:color w:val="auto"/>
              </w:rPr>
            </w:pPr>
            <w:r>
              <w:rPr>
                <w:rFonts w:ascii="Arial" w:cs="Arial" w:eastAsia="Arial" w:hAnsi="Arial"/>
                <w:sz w:val="18"/>
                <w:szCs w:val="18"/>
                <w:color w:val="auto"/>
                <w:w w:val="90"/>
              </w:rPr>
              <w:t>2013 157,500 15,000</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172,500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0" w:type="dxa"/>
            <w:vAlign w:val="bottom"/>
            <w:gridSpan w:val="2"/>
            <w:shd w:val="clear" w:color="auto" w:fill="CCEECC"/>
          </w:tcPr>
          <w:p>
            <w:pPr>
              <w:ind w:left="20"/>
              <w:spacing w:after="0" w:line="201" w:lineRule="exact"/>
              <w:rPr>
                <w:sz w:val="20"/>
                <w:szCs w:val="20"/>
                <w:color w:val="auto"/>
              </w:rPr>
            </w:pPr>
            <w:r>
              <w:rPr>
                <w:rFonts w:ascii="Arial" w:cs="Arial" w:eastAsia="Arial" w:hAnsi="Arial"/>
                <w:sz w:val="18"/>
                <w:szCs w:val="18"/>
                <w:color w:val="auto"/>
              </w:rPr>
              <w:t>David A.</w:t>
            </w:r>
          </w:p>
        </w:tc>
        <w:tc>
          <w:tcPr>
            <w:tcW w:w="3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5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5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5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Harrell</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w w:val="96"/>
              </w:rPr>
              <w:t>Chairman,</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Chief</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Executive</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Chief</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Strategic</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w:t>
            </w:r>
          </w:p>
        </w:tc>
        <w:tc>
          <w:tcPr>
            <w:tcW w:w="3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and</w:t>
            </w:r>
          </w:p>
        </w:tc>
        <w:tc>
          <w:tcPr>
            <w:tcW w:w="1580" w:type="dxa"/>
            <w:vAlign w:val="bottom"/>
            <w:gridSpan w:val="5"/>
            <w:shd w:val="clear" w:color="auto" w:fill="CCEECC"/>
          </w:tcPr>
          <w:p>
            <w:pPr>
              <w:ind w:left="20"/>
              <w:spacing w:after="0"/>
              <w:rPr>
                <w:sz w:val="20"/>
                <w:szCs w:val="20"/>
                <w:color w:val="auto"/>
              </w:rPr>
            </w:pPr>
            <w:r>
              <w:rPr>
                <w:rFonts w:ascii="Arial" w:cs="Arial" w:eastAsia="Arial" w:hAnsi="Arial"/>
                <w:sz w:val="18"/>
                <w:szCs w:val="18"/>
                <w:color w:val="auto"/>
                <w:w w:val="90"/>
              </w:rPr>
              <w:t>2012 166,698 50,000</w:t>
            </w: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5"/>
              </w:rPr>
              <w:t>216,698</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4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gridSpan w:val="5"/>
            <w:shd w:val="clear" w:color="auto" w:fill="CCEECC"/>
          </w:tcPr>
          <w:p>
            <w:pPr>
              <w:ind w:left="20"/>
              <w:spacing w:after="0"/>
              <w:rPr>
                <w:sz w:val="20"/>
                <w:szCs w:val="20"/>
                <w:color w:val="auto"/>
              </w:rPr>
            </w:pPr>
            <w:r>
              <w:rPr>
                <w:rFonts w:ascii="Arial" w:cs="Arial" w:eastAsia="Arial" w:hAnsi="Arial"/>
                <w:sz w:val="18"/>
                <w:szCs w:val="18"/>
                <w:color w:val="auto"/>
                <w:w w:val="90"/>
              </w:rPr>
              <w:t>2013 180,104 19,151</w:t>
            </w:r>
          </w:p>
        </w:tc>
        <w:tc>
          <w:tcPr>
            <w:tcW w:w="60" w:type="dxa"/>
            <w:vAlign w:val="bottom"/>
            <w:shd w:val="clear" w:color="auto" w:fill="CCEECC"/>
          </w:tcPr>
          <w:p>
            <w:pPr>
              <w:spacing w:after="0"/>
              <w:rPr>
                <w:sz w:val="21"/>
                <w:szCs w:val="21"/>
                <w:color w:val="auto"/>
              </w:rPr>
            </w:pPr>
          </w:p>
        </w:tc>
        <w:tc>
          <w:tcPr>
            <w:tcW w:w="58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58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10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10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1060" w:type="dxa"/>
            <w:vAlign w:val="bottom"/>
            <w:shd w:val="clear" w:color="auto" w:fill="CCEECC"/>
          </w:tcPr>
          <w:p>
            <w:pPr>
              <w:spacing w:after="0"/>
              <w:rPr>
                <w:sz w:val="21"/>
                <w:szCs w:val="21"/>
                <w:color w:val="auto"/>
              </w:rPr>
            </w:pPr>
          </w:p>
        </w:tc>
        <w:tc>
          <w:tcPr>
            <w:tcW w:w="68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199,255</w:t>
            </w: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4"/>
              </w:rPr>
              <w:t>Terence J.</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Hamilton</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VP of</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w w:val="99"/>
              </w:rPr>
              <w:t>Sales and</w:t>
            </w:r>
          </w:p>
        </w:tc>
        <w:tc>
          <w:tcPr>
            <w:tcW w:w="1040" w:type="dxa"/>
            <w:vAlign w:val="bottom"/>
            <w:gridSpan w:val="3"/>
          </w:tcPr>
          <w:p>
            <w:pPr>
              <w:ind w:left="20"/>
              <w:spacing w:after="0"/>
              <w:rPr>
                <w:sz w:val="20"/>
                <w:szCs w:val="20"/>
                <w:color w:val="auto"/>
              </w:rPr>
            </w:pPr>
            <w:r>
              <w:rPr>
                <w:rFonts w:ascii="Arial" w:cs="Arial" w:eastAsia="Arial" w:hAnsi="Arial"/>
                <w:sz w:val="18"/>
                <w:szCs w:val="18"/>
                <w:color w:val="auto"/>
                <w:w w:val="90"/>
              </w:rPr>
              <w:t>2012 157,500</w:t>
            </w: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7,000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164,500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gridSpan w:val="5"/>
          </w:tcPr>
          <w:p>
            <w:pPr>
              <w:ind w:left="20"/>
              <w:spacing w:after="0"/>
              <w:rPr>
                <w:sz w:val="20"/>
                <w:szCs w:val="20"/>
                <w:color w:val="auto"/>
              </w:rPr>
            </w:pPr>
            <w:r>
              <w:rPr>
                <w:rFonts w:ascii="Arial" w:cs="Arial" w:eastAsia="Arial" w:hAnsi="Arial"/>
                <w:sz w:val="18"/>
                <w:szCs w:val="18"/>
                <w:color w:val="auto"/>
                <w:w w:val="90"/>
              </w:rPr>
              <w:t>2013 157,500 11,000</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168,500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14, 2013, we entered into a written Employment Agreement with Shad Stastney. Pursuant to the terms and conditions of the Employment Agreement:</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Stastney will serve as Chairman and Chief Executive Officer of our company for a period of twelve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Stastney will earn a base salary of $175,000;</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issue to Mr. Stastney an option to acquire two million (2,000,000) shares of our common stock at an exercise price per share of $1.00 with a term of 5 years;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Stastney will be entitled to participate in any employee benefit plans, as established by our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Stastney also agreed to keep certain information confidential and not compete with or solicit from our company for a period of time.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Stastney. Pursuant to the terms and conditions of the Amendment to Employment Agreement with Shad Stastney:</w:t>
      </w:r>
    </w:p>
    <w:p>
      <w:pPr>
        <w:spacing w:after="0" w:line="170"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Stastney agreed to non-competition and non-solicitation restrictions with our company during the term of his employment and two years thereafter;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 of Mr. Stastney’s employment shall be for one year, and shall automatically renew for each year thereafter unless terminated on thirty day’s notice before the end of the term;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Stastney shall be entitled to two years of severance pay if he is terminated with or without cause.</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date of the Agreement, Mr. Stastney is no longer an officer or director of our company and all prior agreements with Mr. Stastney are terminated in their entirety;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Stastney shall receive 500,000 shares of our common stock, half now and the rest by January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agreed to use our best efforts to register Mr. Stastney’s shares on Form S-8 by March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agreed to pay Mr. Stastney $126,762 and his reasonable out of pocket expenses incurred on our behalf;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32"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Stastney will be involved with our company in a limited role as a consultant for one year to assist us on financing, strategic and legal initiatives and to help the transition with several ongoing projects.</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Hamilton. Pursuant to the terms and conditions of the Amendment to Employment Agreement with Terry Hamilton:</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14, 2013 we granted restricted stock awards under our 2013 Incentive Plan. Mr. Hamilton was awarded 215,625 shares of our common stock. The restricted stock awards will vest 50% on the date six months and one day after the date of grant, and the remaining 50% one year after the first vesting date.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 2008, we entered into an employment agreement with Mr. Harrell to serve as our CEO. The agreement was amended on January 14, 2013 to account for his new positions as CSO and Vice Chairman. The terms of his compensation,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Harrell Pursuant to the terms and conditions of the Amendment to Employment Agreement with David Harrell:</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The restricted stock awards will vest 50% on the date six months and one day after the date of grant, and the remaining 50% one year after the first vesting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2013.</w:t>
      </w:r>
    </w:p>
    <w:p>
      <w:pPr>
        <w:spacing w:after="0" w:line="16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7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OPTION AWARDS</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STOCK AWARDS</w:t>
            </w:r>
          </w:p>
        </w:tc>
        <w:tc>
          <w:tcPr>
            <w:tcW w:w="7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Equity</w:t>
            </w:r>
          </w:p>
        </w:tc>
        <w:tc>
          <w:tcPr>
            <w:tcW w:w="760" w:type="dxa"/>
            <w:vAlign w:val="bottom"/>
            <w:gridSpan w:val="2"/>
          </w:tcPr>
          <w:p>
            <w:pPr>
              <w:spacing w:after="0"/>
              <w:rPr>
                <w:sz w:val="20"/>
                <w:szCs w:val="20"/>
                <w:color w:val="auto"/>
              </w:rPr>
            </w:pPr>
            <w:r>
              <w:rPr>
                <w:rFonts w:ascii="Arial" w:cs="Arial" w:eastAsia="Arial" w:hAnsi="Arial"/>
                <w:sz w:val="18"/>
                <w:szCs w:val="18"/>
                <w:color w:val="auto"/>
              </w:rPr>
              <w:t>Incentive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Incentive</w:t>
            </w:r>
          </w:p>
        </w:tc>
        <w:tc>
          <w:tcPr>
            <w:tcW w:w="760" w:type="dxa"/>
            <w:vAlign w:val="bottom"/>
            <w:gridSpan w:val="2"/>
          </w:tcPr>
          <w:p>
            <w:pPr>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w w:val="90"/>
              </w:rPr>
              <w:t>Market</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Plan</w:t>
            </w:r>
          </w:p>
        </w:tc>
        <w:tc>
          <w:tcPr>
            <w:tcW w:w="760" w:type="dxa"/>
            <w:vAlign w:val="bottom"/>
            <w:gridSpan w:val="2"/>
          </w:tcPr>
          <w:p>
            <w:pPr>
              <w:spacing w:after="0"/>
              <w:rPr>
                <w:sz w:val="20"/>
                <w:szCs w:val="20"/>
                <w:color w:val="auto"/>
              </w:rPr>
            </w:pPr>
            <w:r>
              <w:rPr>
                <w:rFonts w:ascii="Arial" w:cs="Arial" w:eastAsia="Arial" w:hAnsi="Arial"/>
                <w:sz w:val="18"/>
                <w:szCs w:val="18"/>
                <w:color w:val="auto"/>
              </w:rPr>
              <w:t>Awards:</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9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Awards:</w:t>
            </w:r>
          </w:p>
        </w:tc>
        <w:tc>
          <w:tcPr>
            <w:tcW w:w="760" w:type="dxa"/>
            <w:vAlign w:val="bottom"/>
            <w:gridSpan w:val="2"/>
          </w:tcPr>
          <w:p>
            <w:pPr>
              <w:spacing w:after="0" w:line="202" w:lineRule="exact"/>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Value</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Number</w:t>
            </w:r>
          </w:p>
        </w:tc>
        <w:tc>
          <w:tcPr>
            <w:tcW w:w="760" w:type="dxa"/>
            <w:vAlign w:val="bottom"/>
            <w:gridSpan w:val="2"/>
          </w:tcPr>
          <w:p>
            <w:pPr>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Equity</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96"/>
              </w:rPr>
              <w:t>Number</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of</w:t>
            </w:r>
          </w:p>
        </w:tc>
        <w:tc>
          <w:tcPr>
            <w:tcW w:w="760" w:type="dxa"/>
            <w:vAlign w:val="bottom"/>
            <w:gridSpan w:val="2"/>
          </w:tcPr>
          <w:p>
            <w:pPr>
              <w:spacing w:after="0"/>
              <w:rPr>
                <w:sz w:val="20"/>
                <w:szCs w:val="20"/>
                <w:color w:val="auto"/>
              </w:rPr>
            </w:pPr>
            <w:r>
              <w:rPr>
                <w:rFonts w:ascii="Arial" w:cs="Arial" w:eastAsia="Arial" w:hAnsi="Arial"/>
                <w:sz w:val="18"/>
                <w:szCs w:val="18"/>
                <w:color w:val="auto"/>
              </w:rPr>
              <w:t>Payout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Incentive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w w:val="87"/>
              </w:rPr>
              <w:t>Shares</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Unearned</w:t>
            </w:r>
          </w:p>
        </w:tc>
        <w:tc>
          <w:tcPr>
            <w:tcW w:w="760" w:type="dxa"/>
            <w:vAlign w:val="bottom"/>
            <w:gridSpan w:val="2"/>
          </w:tcPr>
          <w:p>
            <w:pPr>
              <w:spacing w:after="0"/>
              <w:rPr>
                <w:sz w:val="20"/>
                <w:szCs w:val="20"/>
                <w:color w:val="auto"/>
              </w:rPr>
            </w:pPr>
            <w:r>
              <w:rPr>
                <w:rFonts w:ascii="Arial" w:cs="Arial" w:eastAsia="Arial" w:hAnsi="Arial"/>
                <w:sz w:val="18"/>
                <w:szCs w:val="18"/>
                <w:color w:val="auto"/>
              </w:rPr>
              <w:t>Value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Plan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620" w:type="dxa"/>
            <w:vAlign w:val="bottom"/>
          </w:tcPr>
          <w:p>
            <w:pPr>
              <w:ind w:left="100"/>
              <w:spacing w:after="0"/>
              <w:rPr>
                <w:sz w:val="20"/>
                <w:szCs w:val="20"/>
                <w:color w:val="auto"/>
              </w:rPr>
            </w:pPr>
            <w:r>
              <w:rPr>
                <w:rFonts w:ascii="Arial" w:cs="Arial" w:eastAsia="Arial" w:hAnsi="Arial"/>
                <w:sz w:val="18"/>
                <w:szCs w:val="18"/>
                <w:color w:val="auto"/>
              </w:rPr>
              <w:t>or</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Shares,</w:t>
            </w:r>
          </w:p>
        </w:tc>
        <w:tc>
          <w:tcPr>
            <w:tcW w:w="760" w:type="dxa"/>
            <w:vAlign w:val="bottom"/>
            <w:gridSpan w:val="2"/>
          </w:tcPr>
          <w:p>
            <w:pPr>
              <w:spacing w:after="0"/>
              <w:rPr>
                <w:sz w:val="20"/>
                <w:szCs w:val="20"/>
                <w:color w:val="auto"/>
              </w:rPr>
            </w:pPr>
            <w:r>
              <w:rPr>
                <w:rFonts w:ascii="Arial" w:cs="Arial" w:eastAsia="Arial" w:hAnsi="Arial"/>
                <w:sz w:val="18"/>
                <w:szCs w:val="18"/>
                <w:color w:val="auto"/>
                <w:w w:val="93"/>
              </w:rPr>
              <w:t>Unearned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Awards: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99"/>
              </w:rPr>
              <w:t>or Units</w:t>
            </w:r>
          </w:p>
        </w:tc>
        <w:tc>
          <w:tcPr>
            <w:tcW w:w="620" w:type="dxa"/>
            <w:vAlign w:val="bottom"/>
          </w:tcPr>
          <w:p>
            <w:pPr>
              <w:ind w:left="100"/>
              <w:spacing w:after="0"/>
              <w:rPr>
                <w:sz w:val="20"/>
                <w:szCs w:val="20"/>
                <w:color w:val="auto"/>
              </w:rPr>
            </w:pPr>
            <w:r>
              <w:rPr>
                <w:rFonts w:ascii="Arial" w:cs="Arial" w:eastAsia="Arial" w:hAnsi="Arial"/>
                <w:sz w:val="18"/>
                <w:szCs w:val="18"/>
                <w:color w:val="auto"/>
              </w:rPr>
              <w:t>Units</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Units or</w:t>
            </w:r>
          </w:p>
        </w:tc>
        <w:tc>
          <w:tcPr>
            <w:tcW w:w="760" w:type="dxa"/>
            <w:vAlign w:val="bottom"/>
            <w:gridSpan w:val="2"/>
          </w:tcPr>
          <w:p>
            <w:pPr>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Other</w:t>
            </w:r>
          </w:p>
        </w:tc>
        <w:tc>
          <w:tcPr>
            <w:tcW w:w="760" w:type="dxa"/>
            <w:vAlign w:val="bottom"/>
            <w:gridSpan w:val="2"/>
          </w:tcPr>
          <w:p>
            <w:pPr>
              <w:spacing w:after="0"/>
              <w:rPr>
                <w:sz w:val="20"/>
                <w:szCs w:val="20"/>
                <w:color w:val="auto"/>
              </w:rPr>
            </w:pPr>
            <w:r>
              <w:rPr>
                <w:rFonts w:ascii="Arial" w:cs="Arial" w:eastAsia="Arial" w:hAnsi="Arial"/>
                <w:sz w:val="18"/>
                <w:szCs w:val="18"/>
                <w:color w:val="auto"/>
              </w:rPr>
              <w:t>Units or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Stock</w:t>
            </w:r>
          </w:p>
        </w:tc>
        <w:tc>
          <w:tcPr>
            <w:tcW w:w="620" w:type="dxa"/>
            <w:vAlign w:val="bottom"/>
          </w:tcPr>
          <w:p>
            <w:pPr>
              <w:ind w:left="100"/>
              <w:spacing w:after="0"/>
              <w:rPr>
                <w:sz w:val="20"/>
                <w:szCs w:val="20"/>
                <w:color w:val="auto"/>
              </w:rPr>
            </w:pPr>
            <w:r>
              <w:rPr>
                <w:rFonts w:ascii="Arial" w:cs="Arial" w:eastAsia="Arial" w:hAnsi="Arial"/>
                <w:sz w:val="18"/>
                <w:szCs w:val="18"/>
                <w:color w:val="auto"/>
              </w:rPr>
              <w:t>Stock</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Rights</w:t>
            </w:r>
          </w:p>
        </w:tc>
        <w:tc>
          <w:tcPr>
            <w:tcW w:w="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That</w:t>
            </w:r>
          </w:p>
        </w:tc>
        <w:tc>
          <w:tcPr>
            <w:tcW w:w="620" w:type="dxa"/>
            <w:vAlign w:val="bottom"/>
          </w:tcPr>
          <w:p>
            <w:pPr>
              <w:ind w:left="100"/>
              <w:spacing w:after="0"/>
              <w:rPr>
                <w:sz w:val="20"/>
                <w:szCs w:val="20"/>
                <w:color w:val="auto"/>
              </w:rPr>
            </w:pPr>
            <w:r>
              <w:rPr>
                <w:rFonts w:ascii="Arial" w:cs="Arial" w:eastAsia="Arial" w:hAnsi="Arial"/>
                <w:sz w:val="18"/>
                <w:szCs w:val="18"/>
                <w:color w:val="auto"/>
              </w:rPr>
              <w:t>That</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That</w:t>
            </w:r>
          </w:p>
        </w:tc>
        <w:tc>
          <w:tcPr>
            <w:tcW w:w="760" w:type="dxa"/>
            <w:vAlign w:val="bottom"/>
            <w:gridSpan w:val="2"/>
          </w:tcPr>
          <w:p>
            <w:pPr>
              <w:spacing w:after="0"/>
              <w:rPr>
                <w:sz w:val="20"/>
                <w:szCs w:val="20"/>
                <w:color w:val="auto"/>
              </w:rPr>
            </w:pPr>
            <w:r>
              <w:rPr>
                <w:rFonts w:ascii="Arial" w:cs="Arial" w:eastAsia="Arial" w:hAnsi="Arial"/>
                <w:sz w:val="18"/>
                <w:szCs w:val="18"/>
                <w:color w:val="auto"/>
              </w:rPr>
              <w:t>Rights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w w:val="93"/>
              </w:rPr>
              <w:t>Unexercised</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Unexercised</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9"/>
              </w:rPr>
              <w:t>Unexercised</w:t>
            </w:r>
          </w:p>
        </w:tc>
        <w:tc>
          <w:tcPr>
            <w:tcW w:w="7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Have</w:t>
            </w:r>
          </w:p>
        </w:tc>
        <w:tc>
          <w:tcPr>
            <w:tcW w:w="620" w:type="dxa"/>
            <w:vAlign w:val="bottom"/>
          </w:tcPr>
          <w:p>
            <w:pPr>
              <w:ind w:left="100"/>
              <w:spacing w:after="0"/>
              <w:rPr>
                <w:sz w:val="20"/>
                <w:szCs w:val="20"/>
                <w:color w:val="auto"/>
              </w:rPr>
            </w:pPr>
            <w:r>
              <w:rPr>
                <w:rFonts w:ascii="Arial" w:cs="Arial" w:eastAsia="Arial" w:hAnsi="Arial"/>
                <w:sz w:val="18"/>
                <w:szCs w:val="18"/>
                <w:color w:val="auto"/>
              </w:rPr>
              <w:t>Have</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Have</w:t>
            </w:r>
          </w:p>
        </w:tc>
        <w:tc>
          <w:tcPr>
            <w:tcW w:w="760" w:type="dxa"/>
            <w:vAlign w:val="bottom"/>
            <w:gridSpan w:val="2"/>
          </w:tcPr>
          <w:p>
            <w:pPr>
              <w:spacing w:after="0"/>
              <w:rPr>
                <w:sz w:val="20"/>
                <w:szCs w:val="20"/>
                <w:color w:val="auto"/>
              </w:rPr>
            </w:pPr>
            <w:r>
              <w:rPr>
                <w:rFonts w:ascii="Arial" w:cs="Arial" w:eastAsia="Arial" w:hAnsi="Arial"/>
                <w:sz w:val="18"/>
                <w:szCs w:val="18"/>
                <w:color w:val="auto"/>
              </w:rPr>
              <w:t>That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Unearned</w:t>
            </w:r>
          </w:p>
        </w:tc>
        <w:tc>
          <w:tcPr>
            <w:tcW w:w="720" w:type="dxa"/>
            <w:vAlign w:val="bottom"/>
            <w:gridSpan w:val="2"/>
          </w:tcPr>
          <w:p>
            <w:pPr>
              <w:spacing w:after="0"/>
              <w:rPr>
                <w:sz w:val="20"/>
                <w:szCs w:val="20"/>
                <w:color w:val="auto"/>
              </w:rPr>
            </w:pPr>
            <w:r>
              <w:rPr>
                <w:rFonts w:ascii="Arial" w:cs="Arial" w:eastAsia="Arial" w:hAnsi="Arial"/>
                <w:sz w:val="18"/>
                <w:szCs w:val="18"/>
                <w:color w:val="auto"/>
              </w:rPr>
              <w:t>Exercise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Option</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Not</w:t>
            </w:r>
          </w:p>
        </w:tc>
        <w:tc>
          <w:tcPr>
            <w:tcW w:w="620" w:type="dxa"/>
            <w:vAlign w:val="bottom"/>
          </w:tcPr>
          <w:p>
            <w:pPr>
              <w:ind w:left="100"/>
              <w:spacing w:after="0"/>
              <w:rPr>
                <w:sz w:val="20"/>
                <w:szCs w:val="20"/>
                <w:color w:val="auto"/>
              </w:rPr>
            </w:pPr>
            <w:r>
              <w:rPr>
                <w:rFonts w:ascii="Arial" w:cs="Arial" w:eastAsia="Arial" w:hAnsi="Arial"/>
                <w:sz w:val="18"/>
                <w:szCs w:val="18"/>
                <w:color w:val="auto"/>
              </w:rPr>
              <w:t>Not</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Not</w:t>
            </w:r>
          </w:p>
        </w:tc>
        <w:tc>
          <w:tcPr>
            <w:tcW w:w="760" w:type="dxa"/>
            <w:vAlign w:val="bottom"/>
            <w:gridSpan w:val="2"/>
          </w:tcPr>
          <w:p>
            <w:pPr>
              <w:spacing w:after="0"/>
              <w:rPr>
                <w:sz w:val="20"/>
                <w:szCs w:val="20"/>
                <w:color w:val="auto"/>
              </w:rPr>
            </w:pPr>
            <w:r>
              <w:rPr>
                <w:rFonts w:ascii="Arial" w:cs="Arial" w:eastAsia="Arial" w:hAnsi="Arial"/>
                <w:sz w:val="18"/>
                <w:szCs w:val="18"/>
                <w:color w:val="auto"/>
                <w:w w:val="98"/>
              </w:rPr>
              <w:t>Have Not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720" w:type="dxa"/>
            <w:vAlign w:val="bottom"/>
            <w:gridSpan w:val="2"/>
          </w:tcPr>
          <w:p>
            <w:pPr>
              <w:spacing w:after="0"/>
              <w:rPr>
                <w:sz w:val="20"/>
                <w:szCs w:val="20"/>
                <w:color w:val="auto"/>
              </w:rPr>
            </w:pPr>
            <w:r>
              <w:rPr>
                <w:rFonts w:ascii="Arial" w:cs="Arial" w:eastAsia="Arial" w:hAnsi="Arial"/>
                <w:sz w:val="18"/>
                <w:szCs w:val="18"/>
                <w:color w:val="auto"/>
              </w:rPr>
              <w:t>Price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Expiration</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Vested</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Vested</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Vested</w:t>
            </w:r>
          </w:p>
        </w:tc>
        <w:tc>
          <w:tcPr>
            <w:tcW w:w="7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0" w:type="dxa"/>
            <w:vAlign w:val="bottom"/>
          </w:tcPr>
          <w:p>
            <w:pPr>
              <w:spacing w:after="0"/>
              <w:rPr>
                <w:sz w:val="1"/>
                <w:szCs w:val="1"/>
                <w:color w:val="auto"/>
              </w:rPr>
            </w:pPr>
          </w:p>
        </w:tc>
      </w:tr>
      <w:tr>
        <w:trPr>
          <w:trHeight w:val="244"/>
        </w:trPr>
        <w:tc>
          <w:tcPr>
            <w:tcW w:w="820" w:type="dxa"/>
            <w:vAlign w:val="bottom"/>
            <w:gridSpan w:val="2"/>
          </w:tcPr>
          <w:p>
            <w:pPr>
              <w:ind w:left="80"/>
              <w:spacing w:after="0"/>
              <w:rPr>
                <w:sz w:val="20"/>
                <w:szCs w:val="20"/>
                <w:color w:val="auto"/>
              </w:rPr>
            </w:pPr>
            <w:r>
              <w:rPr>
                <w:rFonts w:ascii="Arial" w:cs="Arial" w:eastAsia="Arial" w:hAnsi="Arial"/>
                <w:sz w:val="18"/>
                <w:szCs w:val="18"/>
                <w:color w:val="auto"/>
              </w:rPr>
              <w:t>Name</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Exercisable</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2"/>
              </w:rPr>
              <w:t>Unexercisable</w:t>
            </w: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Date</w:t>
            </w:r>
          </w:p>
        </w:tc>
        <w:tc>
          <w:tcPr>
            <w:tcW w:w="700" w:type="dxa"/>
            <w:vAlign w:val="bottom"/>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0" w:type="dxa"/>
            <w:vAlign w:val="bottom"/>
            <w:tcBorders>
              <w:top w:val="single" w:sz="8" w:color="auto"/>
            </w:tcBorders>
            <w:shd w:val="clear" w:color="auto" w:fill="CCEECC"/>
          </w:tcPr>
          <w:p>
            <w:pPr>
              <w:spacing w:after="0"/>
              <w:rPr>
                <w:sz w:val="20"/>
                <w:szCs w:val="20"/>
                <w:color w:val="auto"/>
              </w:rPr>
            </w:pPr>
          </w:p>
        </w:tc>
        <w:tc>
          <w:tcPr>
            <w:tcW w:w="4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375,000</w:t>
            </w:r>
          </w:p>
        </w:tc>
        <w:tc>
          <w:tcPr>
            <w:tcW w:w="60" w:type="dxa"/>
            <w:vAlign w:val="bottom"/>
            <w:tcBorders>
              <w:top w:val="single" w:sz="8" w:color="CCEECC"/>
            </w:tcBorders>
            <w:shd w:val="clear" w:color="auto" w:fill="CCEECC"/>
          </w:tcPr>
          <w:p>
            <w:pPr>
              <w:spacing w:after="0"/>
              <w:rPr>
                <w:sz w:val="20"/>
                <w:szCs w:val="20"/>
                <w:color w:val="auto"/>
              </w:rPr>
            </w:pPr>
          </w:p>
        </w:tc>
        <w:tc>
          <w:tcPr>
            <w:tcW w:w="1140" w:type="dxa"/>
            <w:vAlign w:val="bottom"/>
            <w:tcBorders>
              <w:top w:val="single" w:sz="8" w:color="auto"/>
            </w:tcBorders>
            <w:shd w:val="clear" w:color="auto" w:fill="CCEECC"/>
          </w:tcPr>
          <w:p>
            <w:pPr>
              <w:ind w:left="100"/>
              <w:spacing w:after="0" w:line="240" w:lineRule="exact"/>
              <w:rPr>
                <w:sz w:val="20"/>
                <w:szCs w:val="20"/>
                <w:color w:val="auto"/>
              </w:rPr>
            </w:pPr>
            <w:r>
              <w:rPr>
                <w:rFonts w:ascii="Arial" w:cs="Arial" w:eastAsia="Arial" w:hAnsi="Arial"/>
                <w:sz w:val="17"/>
                <w:szCs w:val="17"/>
                <w:color w:val="auto"/>
              </w:rPr>
              <w:t>$0.35</w:t>
            </w:r>
            <w:r>
              <w:rPr>
                <w:rFonts w:ascii="Arial" w:cs="Arial" w:eastAsia="Arial" w:hAnsi="Arial"/>
                <w:sz w:val="27"/>
                <w:szCs w:val="27"/>
                <w:color w:val="auto"/>
                <w:vertAlign w:val="superscript"/>
              </w:rPr>
              <w:t>(1)</w:t>
            </w:r>
          </w:p>
        </w:tc>
        <w:tc>
          <w:tcPr>
            <w:tcW w:w="4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10/1/14</w:t>
            </w:r>
          </w:p>
        </w:tc>
        <w:tc>
          <w:tcPr>
            <w:tcW w:w="120" w:type="dxa"/>
            <w:vAlign w:val="bottom"/>
            <w:tcBorders>
              <w:top w:val="single" w:sz="8" w:color="CCEECC"/>
            </w:tcBorders>
            <w:shd w:val="clear" w:color="auto" w:fill="CCEECC"/>
          </w:tcPr>
          <w:p>
            <w:pPr>
              <w:spacing w:after="0"/>
              <w:rPr>
                <w:sz w:val="20"/>
                <w:szCs w:val="20"/>
                <w:color w:val="auto"/>
              </w:rPr>
            </w:pPr>
          </w:p>
        </w:tc>
        <w:tc>
          <w:tcPr>
            <w:tcW w:w="62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880" w:type="dxa"/>
            <w:vAlign w:val="bottom"/>
            <w:tcBorders>
              <w:top w:val="single" w:sz="8" w:color="auto"/>
            </w:tcBorders>
            <w:shd w:val="clear" w:color="auto" w:fill="CCEECC"/>
          </w:tcPr>
          <w:p>
            <w:pPr>
              <w:spacing w:after="0"/>
              <w:rPr>
                <w:sz w:val="20"/>
                <w:szCs w:val="20"/>
                <w:color w:val="auto"/>
              </w:rPr>
            </w:pPr>
          </w:p>
        </w:tc>
        <w:tc>
          <w:tcPr>
            <w:tcW w:w="4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spacing w:after="0"/>
              <w:rPr>
                <w:sz w:val="20"/>
                <w:szCs w:val="20"/>
                <w:color w:val="auto"/>
              </w:rPr>
            </w:pPr>
          </w:p>
        </w:tc>
        <w:tc>
          <w:tcPr>
            <w:tcW w:w="40" w:type="dxa"/>
            <w:vAlign w:val="bottom"/>
            <w:tcBorders>
              <w:top w:val="single" w:sz="8" w:color="CCEECC"/>
            </w:tcBorders>
            <w:shd w:val="clear" w:color="auto" w:fill="CCEECC"/>
          </w:tcPr>
          <w:p>
            <w:pPr>
              <w:spacing w:after="0"/>
              <w:rPr>
                <w:sz w:val="20"/>
                <w:szCs w:val="20"/>
                <w:color w:val="auto"/>
              </w:rPr>
            </w:pPr>
          </w:p>
        </w:tc>
        <w:tc>
          <w:tcPr>
            <w:tcW w:w="620" w:type="dxa"/>
            <w:vAlign w:val="bottom"/>
            <w:tcBorders>
              <w:top w:val="single" w:sz="8" w:color="auto"/>
            </w:tcBorders>
            <w:shd w:val="clear" w:color="auto" w:fill="CCEECC"/>
          </w:tcPr>
          <w:p>
            <w:pPr>
              <w:spacing w:after="0"/>
              <w:rPr>
                <w:sz w:val="20"/>
                <w:szCs w:val="20"/>
                <w:color w:val="auto"/>
              </w:rPr>
            </w:pPr>
          </w:p>
        </w:tc>
        <w:tc>
          <w:tcPr>
            <w:tcW w:w="12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spacing w:after="0"/>
              <w:rPr>
                <w:sz w:val="20"/>
                <w:szCs w:val="20"/>
                <w:color w:val="auto"/>
              </w:rPr>
            </w:pPr>
          </w:p>
        </w:tc>
        <w:tc>
          <w:tcPr>
            <w:tcW w:w="16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David</w:t>
            </w:r>
          </w:p>
        </w:tc>
        <w:tc>
          <w:tcPr>
            <w:tcW w:w="1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CC"/>
          </w:tcPr>
          <w:p>
            <w:pPr>
              <w:spacing w:after="0"/>
              <w:rPr>
                <w:sz w:val="21"/>
                <w:szCs w:val="21"/>
                <w:color w:val="auto"/>
              </w:rPr>
            </w:pPr>
          </w:p>
        </w:tc>
        <w:tc>
          <w:tcPr>
            <w:tcW w:w="1140" w:type="dxa"/>
            <w:vAlign w:val="bottom"/>
            <w:shd w:val="clear" w:color="auto" w:fill="CCEECC"/>
          </w:tcPr>
          <w:p>
            <w:pPr>
              <w:ind w:left="100"/>
              <w:spacing w:after="0" w:line="253" w:lineRule="exact"/>
              <w:rPr>
                <w:sz w:val="20"/>
                <w:szCs w:val="20"/>
                <w:color w:val="auto"/>
              </w:rPr>
            </w:pPr>
            <w:r>
              <w:rPr>
                <w:rFonts w:ascii="Arial" w:cs="Arial" w:eastAsia="Arial" w:hAnsi="Arial"/>
                <w:sz w:val="18"/>
                <w:szCs w:val="18"/>
                <w:color w:val="auto"/>
              </w:rPr>
              <w:t>$0.35</w:t>
            </w:r>
            <w:r>
              <w:rPr>
                <w:rFonts w:ascii="Arial" w:cs="Arial" w:eastAsia="Arial" w:hAnsi="Arial"/>
                <w:sz w:val="29"/>
                <w:szCs w:val="29"/>
                <w:color w:val="auto"/>
                <w:vertAlign w:val="superscript"/>
              </w:rPr>
              <w:t>(1)</w:t>
            </w:r>
          </w:p>
        </w:tc>
        <w:tc>
          <w:tcPr>
            <w:tcW w:w="40" w:type="dxa"/>
            <w:vAlign w:val="bottom"/>
            <w:shd w:val="clear" w:color="auto" w:fill="CCEECC"/>
          </w:tcPr>
          <w:p>
            <w:pPr>
              <w:spacing w:after="0"/>
              <w:rPr>
                <w:sz w:val="21"/>
                <w:szCs w:val="21"/>
                <w:color w:val="auto"/>
              </w:rPr>
            </w:pPr>
          </w:p>
        </w:tc>
        <w:tc>
          <w:tcPr>
            <w:tcW w:w="1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12/22/14</w:t>
            </w:r>
          </w:p>
        </w:tc>
        <w:tc>
          <w:tcPr>
            <w:tcW w:w="120" w:type="dxa"/>
            <w:vAlign w:val="bottom"/>
            <w:shd w:val="clear" w:color="auto" w:fill="CCEECC"/>
          </w:tcPr>
          <w:p>
            <w:pPr>
              <w:spacing w:after="0"/>
              <w:rPr>
                <w:sz w:val="21"/>
                <w:szCs w:val="21"/>
                <w:color w:val="auto"/>
              </w:rPr>
            </w:pPr>
          </w:p>
        </w:tc>
        <w:tc>
          <w:tcPr>
            <w:tcW w:w="620" w:type="dxa"/>
            <w:vAlign w:val="bottom"/>
            <w:shd w:val="clear" w:color="auto" w:fill="CCEECC"/>
          </w:tcPr>
          <w:p>
            <w:pPr>
              <w:spacing w:after="0"/>
              <w:rPr>
                <w:sz w:val="21"/>
                <w:szCs w:val="21"/>
                <w:color w:val="auto"/>
              </w:rPr>
            </w:pPr>
          </w:p>
        </w:tc>
        <w:tc>
          <w:tcPr>
            <w:tcW w:w="100" w:type="dxa"/>
            <w:vAlign w:val="bottom"/>
            <w:shd w:val="clear" w:color="auto" w:fill="CCEECC"/>
          </w:tcPr>
          <w:p>
            <w:pPr>
              <w:spacing w:after="0"/>
              <w:rPr>
                <w:sz w:val="21"/>
                <w:szCs w:val="21"/>
                <w:color w:val="auto"/>
              </w:rPr>
            </w:pPr>
          </w:p>
        </w:tc>
        <w:tc>
          <w:tcPr>
            <w:tcW w:w="880" w:type="dxa"/>
            <w:vAlign w:val="bottom"/>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700" w:type="dxa"/>
            <w:vAlign w:val="bottom"/>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6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700" w:type="dxa"/>
            <w:vAlign w:val="bottom"/>
            <w:shd w:val="clear" w:color="auto" w:fill="CCEECC"/>
          </w:tcPr>
          <w:p>
            <w:pPr>
              <w:spacing w:after="0"/>
              <w:rPr>
                <w:sz w:val="21"/>
                <w:szCs w:val="21"/>
                <w:color w:val="auto"/>
              </w:rPr>
            </w:pPr>
          </w:p>
        </w:tc>
        <w:tc>
          <w:tcPr>
            <w:tcW w:w="160" w:type="dxa"/>
            <w:vAlign w:val="bottom"/>
            <w:shd w:val="clear" w:color="auto" w:fill="CCEECC"/>
          </w:tcPr>
          <w:p>
            <w:pPr>
              <w:spacing w:after="0"/>
              <w:rPr>
                <w:sz w:val="21"/>
                <w:szCs w:val="21"/>
                <w:color w:val="auto"/>
              </w:rPr>
            </w:pPr>
          </w:p>
        </w:tc>
        <w:tc>
          <w:tcPr>
            <w:tcW w:w="70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2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Lester</w:t>
            </w:r>
          </w:p>
        </w:tc>
        <w:tc>
          <w:tcPr>
            <w:tcW w:w="1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55,000</w:t>
            </w:r>
          </w:p>
        </w:tc>
        <w:tc>
          <w:tcPr>
            <w:tcW w:w="60" w:type="dxa"/>
            <w:vAlign w:val="bottom"/>
            <w:shd w:val="clear" w:color="auto" w:fill="CCEECC"/>
          </w:tcPr>
          <w:p>
            <w:pPr>
              <w:spacing w:after="0"/>
              <w:rPr>
                <w:sz w:val="21"/>
                <w:szCs w:val="21"/>
                <w:color w:val="auto"/>
              </w:rPr>
            </w:pPr>
          </w:p>
        </w:tc>
        <w:tc>
          <w:tcPr>
            <w:tcW w:w="11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CC"/>
          </w:tcPr>
          <w:p>
            <w:pPr>
              <w:spacing w:after="0"/>
              <w:rPr>
                <w:sz w:val="21"/>
                <w:szCs w:val="21"/>
                <w:color w:val="auto"/>
              </w:rPr>
            </w:pPr>
          </w:p>
        </w:tc>
        <w:tc>
          <w:tcPr>
            <w:tcW w:w="1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5/31/16</w:t>
            </w:r>
          </w:p>
        </w:tc>
        <w:tc>
          <w:tcPr>
            <w:tcW w:w="120" w:type="dxa"/>
            <w:vAlign w:val="bottom"/>
            <w:shd w:val="clear" w:color="auto" w:fill="CCEECC"/>
          </w:tcPr>
          <w:p>
            <w:pPr>
              <w:spacing w:after="0"/>
              <w:rPr>
                <w:sz w:val="21"/>
                <w:szCs w:val="21"/>
                <w:color w:val="auto"/>
              </w:rPr>
            </w:pPr>
          </w:p>
        </w:tc>
        <w:tc>
          <w:tcPr>
            <w:tcW w:w="620" w:type="dxa"/>
            <w:vAlign w:val="bottom"/>
            <w:shd w:val="clear" w:color="auto" w:fill="CCEECC"/>
          </w:tcPr>
          <w:p>
            <w:pPr>
              <w:spacing w:after="0"/>
              <w:rPr>
                <w:sz w:val="21"/>
                <w:szCs w:val="21"/>
                <w:color w:val="auto"/>
              </w:rPr>
            </w:pPr>
          </w:p>
        </w:tc>
        <w:tc>
          <w:tcPr>
            <w:tcW w:w="100" w:type="dxa"/>
            <w:vAlign w:val="bottom"/>
            <w:shd w:val="clear" w:color="auto" w:fill="CCEECC"/>
          </w:tcPr>
          <w:p>
            <w:pPr>
              <w:spacing w:after="0"/>
              <w:rPr>
                <w:sz w:val="21"/>
                <w:szCs w:val="21"/>
                <w:color w:val="auto"/>
              </w:rPr>
            </w:pPr>
          </w:p>
        </w:tc>
        <w:tc>
          <w:tcPr>
            <w:tcW w:w="880" w:type="dxa"/>
            <w:vAlign w:val="bottom"/>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700" w:type="dxa"/>
            <w:vAlign w:val="bottom"/>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6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700" w:type="dxa"/>
            <w:vAlign w:val="bottom"/>
            <w:shd w:val="clear" w:color="auto" w:fill="CCEECC"/>
          </w:tcPr>
          <w:p>
            <w:pPr>
              <w:spacing w:after="0"/>
              <w:rPr>
                <w:sz w:val="21"/>
                <w:szCs w:val="21"/>
                <w:color w:val="auto"/>
              </w:rPr>
            </w:pPr>
          </w:p>
        </w:tc>
        <w:tc>
          <w:tcPr>
            <w:tcW w:w="160" w:type="dxa"/>
            <w:vAlign w:val="bottom"/>
            <w:shd w:val="clear" w:color="auto" w:fill="CCEECC"/>
          </w:tcPr>
          <w:p>
            <w:pPr>
              <w:spacing w:after="0"/>
              <w:rPr>
                <w:sz w:val="21"/>
                <w:szCs w:val="21"/>
                <w:color w:val="auto"/>
              </w:rPr>
            </w:pPr>
          </w:p>
        </w:tc>
        <w:tc>
          <w:tcPr>
            <w:tcW w:w="70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ind w:left="100"/>
              <w:spacing w:after="0" w:line="201" w:lineRule="exact"/>
              <w:rPr>
                <w:sz w:val="20"/>
                <w:szCs w:val="20"/>
                <w:color w:val="auto"/>
              </w:rPr>
            </w:pPr>
            <w:r>
              <w:rPr>
                <w:rFonts w:ascii="Arial" w:cs="Arial" w:eastAsia="Arial" w:hAnsi="Arial"/>
                <w:sz w:val="18"/>
                <w:szCs w:val="18"/>
                <w:color w:val="auto"/>
              </w:rPr>
              <w:t>100,000</w:t>
            </w:r>
          </w:p>
        </w:tc>
        <w:tc>
          <w:tcPr>
            <w:tcW w:w="60" w:type="dxa"/>
            <w:vAlign w:val="bottom"/>
          </w:tcPr>
          <w:p>
            <w:pPr>
              <w:spacing w:after="0"/>
              <w:rPr>
                <w:sz w:val="17"/>
                <w:szCs w:val="17"/>
                <w:color w:val="auto"/>
              </w:rPr>
            </w:pPr>
          </w:p>
        </w:tc>
        <w:tc>
          <w:tcPr>
            <w:tcW w:w="1140" w:type="dxa"/>
            <w:vAlign w:val="bottom"/>
          </w:tcPr>
          <w:p>
            <w:pPr>
              <w:ind w:left="100"/>
              <w:spacing w:after="0" w:line="201"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1000" w:type="dxa"/>
            <w:vAlign w:val="bottom"/>
          </w:tcPr>
          <w:p>
            <w:pPr>
              <w:ind w:left="100"/>
              <w:spacing w:after="0" w:line="201" w:lineRule="exact"/>
              <w:rPr>
                <w:sz w:val="20"/>
                <w:szCs w:val="20"/>
                <w:color w:val="auto"/>
              </w:rPr>
            </w:pPr>
            <w:r>
              <w:rPr>
                <w:rFonts w:ascii="Arial" w:cs="Arial" w:eastAsia="Arial" w:hAnsi="Arial"/>
                <w:sz w:val="18"/>
                <w:szCs w:val="18"/>
                <w:color w:val="auto"/>
              </w:rPr>
              <w:t>3/5/14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80"/>
              <w:spacing w:after="0"/>
              <w:rPr>
                <w:sz w:val="20"/>
                <w:szCs w:val="20"/>
                <w:color w:val="auto"/>
              </w:rPr>
            </w:pPr>
            <w:r>
              <w:rPr>
                <w:rFonts w:ascii="Arial" w:cs="Arial" w:eastAsia="Arial" w:hAnsi="Arial"/>
                <w:sz w:val="18"/>
                <w:szCs w:val="18"/>
                <w:color w:val="auto"/>
              </w:rPr>
              <w:t>David</w:t>
            </w:r>
          </w:p>
        </w:tc>
        <w:tc>
          <w:tcPr>
            <w:tcW w:w="1000" w:type="dxa"/>
            <w:vAlign w:val="bottom"/>
          </w:tcPr>
          <w:p>
            <w:pPr>
              <w:ind w:left="100"/>
              <w:spacing w:after="0"/>
              <w:rPr>
                <w:sz w:val="20"/>
                <w:szCs w:val="20"/>
                <w:color w:val="auto"/>
              </w:rPr>
            </w:pPr>
            <w:r>
              <w:rPr>
                <w:rFonts w:ascii="Arial" w:cs="Arial" w:eastAsia="Arial" w:hAnsi="Arial"/>
                <w:sz w:val="18"/>
                <w:szCs w:val="18"/>
                <w:color w:val="auto"/>
              </w:rPr>
              <w:t>200,000</w:t>
            </w:r>
          </w:p>
        </w:tc>
        <w:tc>
          <w:tcPr>
            <w:tcW w:w="6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4/26/15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gridSpan w:val="2"/>
          </w:tcPr>
          <w:p>
            <w:pPr>
              <w:ind w:left="80"/>
              <w:spacing w:after="0"/>
              <w:rPr>
                <w:sz w:val="20"/>
                <w:szCs w:val="20"/>
                <w:color w:val="auto"/>
              </w:rPr>
            </w:pPr>
            <w:r>
              <w:rPr>
                <w:rFonts w:ascii="Arial" w:cs="Arial" w:eastAsia="Arial" w:hAnsi="Arial"/>
                <w:sz w:val="18"/>
                <w:szCs w:val="18"/>
                <w:color w:val="auto"/>
              </w:rPr>
              <w:t>Harrell</w:t>
            </w:r>
          </w:p>
        </w:tc>
        <w:tc>
          <w:tcPr>
            <w:tcW w:w="1000" w:type="dxa"/>
            <w:vAlign w:val="bottom"/>
          </w:tcPr>
          <w:p>
            <w:pPr>
              <w:ind w:left="100"/>
              <w:spacing w:after="0"/>
              <w:rPr>
                <w:sz w:val="20"/>
                <w:szCs w:val="20"/>
                <w:color w:val="auto"/>
              </w:rPr>
            </w:pPr>
            <w:r>
              <w:rPr>
                <w:rFonts w:ascii="Arial" w:cs="Arial" w:eastAsia="Arial" w:hAnsi="Arial"/>
                <w:sz w:val="18"/>
                <w:szCs w:val="18"/>
                <w:color w:val="auto"/>
              </w:rPr>
              <w:t>102,500</w:t>
            </w:r>
          </w:p>
        </w:tc>
        <w:tc>
          <w:tcPr>
            <w:tcW w:w="60" w:type="dxa"/>
            <w:vAlign w:val="bottom"/>
          </w:tcPr>
          <w:p>
            <w:pPr>
              <w:spacing w:after="0"/>
              <w:rPr>
                <w:sz w:val="21"/>
                <w:szCs w:val="21"/>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5/31/16</w:t>
            </w:r>
          </w:p>
        </w:tc>
        <w:tc>
          <w:tcPr>
            <w:tcW w:w="120" w:type="dxa"/>
            <w:vAlign w:val="bottom"/>
          </w:tcPr>
          <w:p>
            <w:pPr>
              <w:spacing w:after="0"/>
              <w:rPr>
                <w:sz w:val="21"/>
                <w:szCs w:val="21"/>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121,875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225,468</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2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Terence</w:t>
            </w:r>
          </w:p>
        </w:tc>
        <w:tc>
          <w:tcPr>
            <w:tcW w:w="10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J.</w:t>
            </w:r>
          </w:p>
        </w:tc>
        <w:tc>
          <w:tcPr>
            <w:tcW w:w="1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150,000</w:t>
            </w:r>
          </w:p>
        </w:tc>
        <w:tc>
          <w:tcPr>
            <w:tcW w:w="60" w:type="dxa"/>
            <w:vAlign w:val="bottom"/>
            <w:shd w:val="clear" w:color="auto" w:fill="CCEECC"/>
          </w:tcPr>
          <w:p>
            <w:pPr>
              <w:spacing w:after="0"/>
              <w:rPr>
                <w:sz w:val="18"/>
                <w:szCs w:val="18"/>
                <w:color w:val="auto"/>
              </w:rPr>
            </w:pPr>
          </w:p>
        </w:tc>
        <w:tc>
          <w:tcPr>
            <w:tcW w:w="11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CC"/>
          </w:tcPr>
          <w:p>
            <w:pPr>
              <w:spacing w:after="0"/>
              <w:rPr>
                <w:sz w:val="18"/>
                <w:szCs w:val="18"/>
                <w:color w:val="auto"/>
              </w:rPr>
            </w:pPr>
          </w:p>
        </w:tc>
        <w:tc>
          <w:tcPr>
            <w:tcW w:w="1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3/5/14</w:t>
            </w:r>
          </w:p>
        </w:tc>
        <w:tc>
          <w:tcPr>
            <w:tcW w:w="12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Hamilton</w:t>
            </w:r>
          </w:p>
        </w:tc>
        <w:tc>
          <w:tcPr>
            <w:tcW w:w="1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127,500</w:t>
            </w:r>
          </w:p>
        </w:tc>
        <w:tc>
          <w:tcPr>
            <w:tcW w:w="60" w:type="dxa"/>
            <w:vAlign w:val="bottom"/>
            <w:shd w:val="clear" w:color="auto" w:fill="CCEECC"/>
          </w:tcPr>
          <w:p>
            <w:pPr>
              <w:spacing w:after="0"/>
              <w:rPr>
                <w:sz w:val="21"/>
                <w:szCs w:val="21"/>
                <w:color w:val="auto"/>
              </w:rPr>
            </w:pPr>
          </w:p>
        </w:tc>
        <w:tc>
          <w:tcPr>
            <w:tcW w:w="11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CC"/>
          </w:tcPr>
          <w:p>
            <w:pPr>
              <w:spacing w:after="0"/>
              <w:rPr>
                <w:sz w:val="21"/>
                <w:szCs w:val="21"/>
                <w:color w:val="auto"/>
              </w:rPr>
            </w:pPr>
          </w:p>
        </w:tc>
        <w:tc>
          <w:tcPr>
            <w:tcW w:w="1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5/31/16</w:t>
            </w:r>
          </w:p>
        </w:tc>
        <w:tc>
          <w:tcPr>
            <w:tcW w:w="120" w:type="dxa"/>
            <w:vAlign w:val="bottom"/>
            <w:shd w:val="clear" w:color="auto" w:fill="CCEECC"/>
          </w:tcPr>
          <w:p>
            <w:pPr>
              <w:spacing w:after="0"/>
              <w:rPr>
                <w:sz w:val="21"/>
                <w:szCs w:val="21"/>
                <w:color w:val="auto"/>
              </w:rPr>
            </w:pPr>
          </w:p>
        </w:tc>
        <w:tc>
          <w:tcPr>
            <w:tcW w:w="72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215,625</w:t>
            </w: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398,906</w:t>
            </w:r>
          </w:p>
        </w:tc>
        <w:tc>
          <w:tcPr>
            <w:tcW w:w="700" w:type="dxa"/>
            <w:vAlign w:val="bottom"/>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6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700" w:type="dxa"/>
            <w:vAlign w:val="bottom"/>
            <w:shd w:val="clear" w:color="auto" w:fill="CCEECC"/>
          </w:tcPr>
          <w:p>
            <w:pPr>
              <w:spacing w:after="0"/>
              <w:rPr>
                <w:sz w:val="21"/>
                <w:szCs w:val="21"/>
                <w:color w:val="auto"/>
              </w:rPr>
            </w:pPr>
          </w:p>
        </w:tc>
        <w:tc>
          <w:tcPr>
            <w:tcW w:w="160" w:type="dxa"/>
            <w:vAlign w:val="bottom"/>
            <w:shd w:val="clear" w:color="auto" w:fill="CCEECC"/>
          </w:tcPr>
          <w:p>
            <w:pPr>
              <w:spacing w:after="0"/>
              <w:rPr>
                <w:sz w:val="21"/>
                <w:szCs w:val="21"/>
                <w:color w:val="auto"/>
              </w:rPr>
            </w:pPr>
          </w:p>
        </w:tc>
        <w:tc>
          <w:tcPr>
            <w:tcW w:w="70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ind w:left="5620" w:right="5140" w:hanging="5574"/>
        <w:spacing w:after="0" w:line="773" w:lineRule="auto"/>
        <w:tabs>
          <w:tab w:leader="none" w:pos="262"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These are warrants that were revalued on October 1, 2009 to $0.35 per share.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233" w:right="6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as of March 31, 2014, the beneficial ownership of our common and preferred stock by each executive officer and director, by each person known by us to beneficially own more than 5% of the our common stock and by the executive officers and directors as a group. Unless otherwise noted, the address of each beneficial owner is located at 400 Water Street, Ste. 200, Rochester, MI 48307.</w:t>
      </w:r>
    </w:p>
    <w:p>
      <w:pPr>
        <w:spacing w:after="0" w:line="17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88"/>
              </w:rPr>
              <w:t>Name and address of</w:t>
            </w: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 of</w:t>
            </w:r>
          </w:p>
        </w:tc>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w w:val="93"/>
              </w:rPr>
              <w:t>Percent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160" w:type="dxa"/>
            <w:vAlign w:val="bottom"/>
            <w:gridSpan w:val="3"/>
          </w:tcPr>
          <w:p>
            <w:pPr>
              <w:ind w:left="100"/>
              <w:spacing w:after="0" w:line="181" w:lineRule="exact"/>
              <w:rPr>
                <w:sz w:val="20"/>
                <w:szCs w:val="20"/>
                <w:color w:val="auto"/>
              </w:rPr>
            </w:pPr>
            <w:r>
              <w:rPr>
                <w:rFonts w:ascii="Arial" w:cs="Arial" w:eastAsia="Arial" w:hAnsi="Arial"/>
                <w:sz w:val="18"/>
                <w:szCs w:val="18"/>
                <w:b w:val="1"/>
                <w:bCs w:val="1"/>
                <w:color w:val="auto"/>
              </w:rPr>
              <w:t>beneficial</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Title of class</w:t>
            </w:r>
          </w:p>
        </w:tc>
        <w:tc>
          <w:tcPr>
            <w:tcW w:w="1700" w:type="dxa"/>
            <w:vAlign w:val="bottom"/>
            <w:gridSpan w:val="2"/>
          </w:tcPr>
          <w:p>
            <w:pPr>
              <w:ind w:left="60"/>
              <w:spacing w:after="0" w:line="269" w:lineRule="exact"/>
              <w:rPr>
                <w:sz w:val="20"/>
                <w:szCs w:val="20"/>
                <w:color w:val="auto"/>
              </w:rPr>
            </w:pPr>
            <w:r>
              <w:rPr>
                <w:rFonts w:ascii="Arial" w:cs="Arial" w:eastAsia="Arial" w:hAnsi="Arial"/>
                <w:sz w:val="18"/>
                <w:szCs w:val="18"/>
                <w:b w:val="1"/>
                <w:bCs w:val="1"/>
                <w:color w:val="auto"/>
                <w:w w:val="97"/>
              </w:rPr>
              <w:t>beneficial owner</w:t>
            </w:r>
            <w:r>
              <w:rPr>
                <w:rFonts w:ascii="Arial" w:cs="Arial" w:eastAsia="Arial" w:hAnsi="Arial"/>
                <w:sz w:val="30"/>
                <w:szCs w:val="30"/>
                <w:b w:val="1"/>
                <w:bCs w:val="1"/>
                <w:color w:val="auto"/>
                <w:w w:val="97"/>
                <w:vertAlign w:val="superscript"/>
              </w:rPr>
              <w:t>(1)</w:t>
            </w: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ownership</w:t>
            </w:r>
          </w:p>
        </w:tc>
        <w:tc>
          <w:tcPr>
            <w:tcW w:w="840" w:type="dxa"/>
            <w:vAlign w:val="bottom"/>
          </w:tcPr>
          <w:p>
            <w:pPr>
              <w:spacing w:after="0" w:line="269" w:lineRule="exact"/>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-8255</wp:posOffset>
            </wp:positionV>
            <wp:extent cx="361886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0"/>
                    </a:xfrm>
                    <a:prstGeom prst="rect">
                      <a:avLst/>
                    </a:prstGeom>
                    <a:noFill/>
                  </pic:spPr>
                </pic:pic>
              </a:graphicData>
            </a:graphic>
          </wp:anchor>
        </w:drawing>
      </w:r>
    </w:p>
    <w:tbl>
      <w:tblPr>
        <w:tblLayout w:type="fixed"/>
        <w:tblInd w:w="2860" w:type="dxa"/>
        <w:tblCellMar>
          <w:top w:w="0" w:type="dxa"/>
          <w:left w:w="0" w:type="dxa"/>
          <w:bottom w:w="0" w:type="dxa"/>
          <w:right w:w="0" w:type="dxa"/>
        </w:tblCellMar>
      </w:tblPr>
      <w:tr>
        <w:trPr>
          <w:trHeight w:val="246"/>
        </w:trPr>
        <w:tc>
          <w:tcPr>
            <w:tcW w:w="720" w:type="dxa"/>
            <w:vAlign w:val="bottom"/>
            <w:gridSpan w:val="2"/>
          </w:tcPr>
          <w:p>
            <w:pPr>
              <w:spacing w:after="0"/>
              <w:rPr>
                <w:sz w:val="20"/>
                <w:szCs w:val="20"/>
                <w:color w:val="auto"/>
              </w:rPr>
            </w:pPr>
            <w:r>
              <w:rPr>
                <w:rFonts w:ascii="Arial" w:cs="Arial" w:eastAsia="Arial" w:hAnsi="Arial"/>
                <w:sz w:val="18"/>
                <w:szCs w:val="18"/>
                <w:color w:val="auto"/>
                <w:w w:val="95"/>
              </w:rPr>
              <w:t>Common</w:t>
            </w:r>
          </w:p>
        </w:tc>
        <w:tc>
          <w:tcPr>
            <w:tcW w:w="800" w:type="dxa"/>
            <w:vAlign w:val="bottom"/>
          </w:tcPr>
          <w:p>
            <w:pPr>
              <w:spacing w:after="0"/>
              <w:rPr>
                <w:sz w:val="21"/>
                <w:szCs w:val="21"/>
                <w:color w:val="auto"/>
              </w:rPr>
            </w:pPr>
          </w:p>
        </w:tc>
        <w:tc>
          <w:tcPr>
            <w:tcW w:w="2120" w:type="dxa"/>
            <w:vAlign w:val="bottom"/>
          </w:tcPr>
          <w:p>
            <w:pPr>
              <w:ind w:left="380"/>
              <w:spacing w:after="0" w:line="246" w:lineRule="exact"/>
              <w:rPr>
                <w:sz w:val="20"/>
                <w:szCs w:val="20"/>
                <w:color w:val="auto"/>
              </w:rPr>
            </w:pPr>
            <w:r>
              <w:rPr>
                <w:rFonts w:ascii="Arial" w:cs="Arial" w:eastAsia="Arial" w:hAnsi="Arial"/>
                <w:sz w:val="17"/>
                <w:szCs w:val="17"/>
                <w:color w:val="auto"/>
              </w:rPr>
              <w:t>David Lester</w:t>
            </w:r>
            <w:r>
              <w:rPr>
                <w:rFonts w:ascii="Arial" w:cs="Arial" w:eastAsia="Arial" w:hAnsi="Arial"/>
                <w:sz w:val="28"/>
                <w:szCs w:val="28"/>
                <w:color w:val="auto"/>
                <w:vertAlign w:val="superscript"/>
              </w:rPr>
              <w:t>(3)</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483,348</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7"/>
        </w:trPr>
        <w:tc>
          <w:tcPr>
            <w:tcW w:w="720" w:type="dxa"/>
            <w:vAlign w:val="bottom"/>
            <w:gridSpan w:val="2"/>
          </w:tcPr>
          <w:p>
            <w:pPr>
              <w:spacing w:after="0"/>
              <w:rPr>
                <w:sz w:val="20"/>
                <w:szCs w:val="20"/>
                <w:color w:val="auto"/>
              </w:rPr>
            </w:pPr>
            <w:r>
              <w:rPr>
                <w:rFonts w:ascii="Arial" w:cs="Arial" w:eastAsia="Arial" w:hAnsi="Arial"/>
                <w:sz w:val="18"/>
                <w:szCs w:val="18"/>
                <w:color w:val="auto"/>
                <w:w w:val="95"/>
              </w:rPr>
              <w:t>Common</w:t>
            </w:r>
          </w:p>
        </w:tc>
        <w:tc>
          <w:tcPr>
            <w:tcW w:w="800" w:type="dxa"/>
            <w:vAlign w:val="bottom"/>
          </w:tcPr>
          <w:p>
            <w:pPr>
              <w:spacing w:after="0"/>
              <w:rPr>
                <w:sz w:val="23"/>
                <w:szCs w:val="23"/>
                <w:color w:val="auto"/>
              </w:rPr>
            </w:pPr>
          </w:p>
        </w:tc>
        <w:tc>
          <w:tcPr>
            <w:tcW w:w="2120" w:type="dxa"/>
            <w:vAlign w:val="bottom"/>
          </w:tcPr>
          <w:p>
            <w:pPr>
              <w:ind w:left="380"/>
              <w:spacing w:after="0" w:line="266" w:lineRule="exact"/>
              <w:rPr>
                <w:sz w:val="20"/>
                <w:szCs w:val="20"/>
                <w:color w:val="auto"/>
              </w:rPr>
            </w:pPr>
            <w:r>
              <w:rPr>
                <w:rFonts w:ascii="Arial" w:cs="Arial" w:eastAsia="Arial" w:hAnsi="Arial"/>
                <w:sz w:val="18"/>
                <w:szCs w:val="18"/>
                <w:color w:val="auto"/>
              </w:rPr>
              <w:t>David Harrell</w:t>
            </w:r>
            <w:r>
              <w:rPr>
                <w:rFonts w:ascii="Arial" w:cs="Arial" w:eastAsia="Arial" w:hAnsi="Arial"/>
                <w:sz w:val="30"/>
                <w:szCs w:val="30"/>
                <w:color w:val="auto"/>
                <w:vertAlign w:val="superscript"/>
              </w:rPr>
              <w:t>(4)</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3,599,687</w:t>
            </w: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57"/>
        </w:trPr>
        <w:tc>
          <w:tcPr>
            <w:tcW w:w="20" w:type="dxa"/>
            <w:vAlign w:val="bottom"/>
          </w:tcPr>
          <w:p>
            <w:pPr>
              <w:spacing w:after="0"/>
              <w:rPr>
                <w:sz w:val="22"/>
                <w:szCs w:val="22"/>
                <w:color w:val="auto"/>
              </w:rPr>
            </w:pPr>
          </w:p>
        </w:tc>
        <w:tc>
          <w:tcPr>
            <w:tcW w:w="700" w:type="dxa"/>
            <w:vAlign w:val="bottom"/>
            <w:shd w:val="clear" w:color="auto" w:fill="CCEECC"/>
          </w:tcPr>
          <w:p>
            <w:pPr>
              <w:spacing w:after="0"/>
              <w:rPr>
                <w:sz w:val="20"/>
                <w:szCs w:val="20"/>
                <w:color w:val="auto"/>
              </w:rPr>
            </w:pPr>
            <w:r>
              <w:rPr>
                <w:rFonts w:ascii="Arial" w:cs="Arial" w:eastAsia="Arial" w:hAnsi="Arial"/>
                <w:sz w:val="18"/>
                <w:szCs w:val="18"/>
                <w:color w:val="auto"/>
                <w:w w:val="93"/>
              </w:rPr>
              <w:t>Common</w:t>
            </w:r>
          </w:p>
        </w:tc>
        <w:tc>
          <w:tcPr>
            <w:tcW w:w="800" w:type="dxa"/>
            <w:vAlign w:val="bottom"/>
            <w:shd w:val="clear" w:color="auto" w:fill="CCEECC"/>
          </w:tcPr>
          <w:p>
            <w:pPr>
              <w:spacing w:after="0"/>
              <w:rPr>
                <w:sz w:val="22"/>
                <w:szCs w:val="22"/>
                <w:color w:val="auto"/>
              </w:rPr>
            </w:pPr>
          </w:p>
        </w:tc>
        <w:tc>
          <w:tcPr>
            <w:tcW w:w="2120" w:type="dxa"/>
            <w:vAlign w:val="bottom"/>
            <w:shd w:val="clear" w:color="auto" w:fill="CCEECC"/>
          </w:tcPr>
          <w:p>
            <w:pPr>
              <w:ind w:left="380"/>
              <w:spacing w:after="0" w:line="256" w:lineRule="exact"/>
              <w:rPr>
                <w:sz w:val="20"/>
                <w:szCs w:val="20"/>
                <w:color w:val="auto"/>
              </w:rPr>
            </w:pPr>
            <w:r>
              <w:rPr>
                <w:rFonts w:ascii="Arial" w:cs="Arial" w:eastAsia="Arial" w:hAnsi="Arial"/>
                <w:sz w:val="18"/>
                <w:szCs w:val="18"/>
                <w:color w:val="auto"/>
                <w:w w:val="93"/>
              </w:rPr>
              <w:t>Terence J. Hamilton</w:t>
            </w:r>
            <w:r>
              <w:rPr>
                <w:rFonts w:ascii="Arial" w:cs="Arial" w:eastAsia="Arial" w:hAnsi="Arial"/>
                <w:sz w:val="29"/>
                <w:szCs w:val="29"/>
                <w:color w:val="auto"/>
                <w:w w:val="93"/>
                <w:vertAlign w:val="superscript"/>
              </w:rPr>
              <w:t>(5)</w:t>
            </w:r>
          </w:p>
        </w:tc>
        <w:tc>
          <w:tcPr>
            <w:tcW w:w="1300" w:type="dxa"/>
            <w:vAlign w:val="bottom"/>
            <w:shd w:val="clear" w:color="auto" w:fill="CCEECC"/>
          </w:tcPr>
          <w:p>
            <w:pPr>
              <w:jc w:val="right"/>
              <w:ind w:right="370"/>
              <w:spacing w:after="0"/>
              <w:rPr>
                <w:sz w:val="20"/>
                <w:szCs w:val="20"/>
                <w:color w:val="auto"/>
              </w:rPr>
            </w:pPr>
            <w:r>
              <w:rPr>
                <w:rFonts w:ascii="Arial" w:cs="Arial" w:eastAsia="Arial" w:hAnsi="Arial"/>
                <w:sz w:val="18"/>
                <w:szCs w:val="18"/>
                <w:color w:val="auto"/>
              </w:rPr>
              <w:t>754,812</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w:t>
            </w:r>
          </w:p>
        </w:tc>
      </w:tr>
      <w:tr>
        <w:trPr>
          <w:trHeight w:val="198"/>
        </w:trPr>
        <w:tc>
          <w:tcPr>
            <w:tcW w:w="20" w:type="dxa"/>
            <w:vAlign w:val="bottom"/>
          </w:tcPr>
          <w:p>
            <w:pPr>
              <w:spacing w:after="0"/>
              <w:rPr>
                <w:sz w:val="17"/>
                <w:szCs w:val="17"/>
                <w:color w:val="auto"/>
              </w:rPr>
            </w:pPr>
          </w:p>
        </w:tc>
        <w:tc>
          <w:tcPr>
            <w:tcW w:w="700" w:type="dxa"/>
            <w:vAlign w:val="bottom"/>
          </w:tcPr>
          <w:p>
            <w:pPr>
              <w:spacing w:after="0" w:line="198" w:lineRule="exact"/>
              <w:rPr>
                <w:sz w:val="20"/>
                <w:szCs w:val="20"/>
                <w:color w:val="auto"/>
              </w:rPr>
            </w:pPr>
            <w:r>
              <w:rPr>
                <w:rFonts w:ascii="Arial" w:cs="Arial" w:eastAsia="Arial" w:hAnsi="Arial"/>
                <w:sz w:val="18"/>
                <w:szCs w:val="18"/>
                <w:b w:val="1"/>
                <w:bCs w:val="1"/>
                <w:color w:val="auto"/>
              </w:rPr>
              <w:t>Total of</w:t>
            </w:r>
          </w:p>
        </w:tc>
        <w:tc>
          <w:tcPr>
            <w:tcW w:w="292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All Directors</w:t>
            </w: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36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and Executive Officers: </w:t>
            </w:r>
            <w:r>
              <w:rPr>
                <w:rFonts w:ascii="Arial" w:cs="Arial" w:eastAsia="Arial" w:hAnsi="Arial"/>
                <w:sz w:val="18"/>
                <w:szCs w:val="18"/>
                <w:color w:val="auto"/>
              </w:rPr>
              <w:t>4,837,847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20.5%</w:t>
            </w:r>
          </w:p>
        </w:tc>
        <w:tc>
          <w:tcPr>
            <w:tcW w:w="7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70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More</w:t>
            </w:r>
          </w:p>
        </w:tc>
        <w:tc>
          <w:tcPr>
            <w:tcW w:w="800" w:type="dxa"/>
            <w:vAlign w:val="bottom"/>
            <w:shd w:val="clear" w:color="auto" w:fill="CCEECC"/>
          </w:tcPr>
          <w:p>
            <w:pPr>
              <w:ind w:left="80"/>
              <w:spacing w:after="0" w:line="198" w:lineRule="exact"/>
              <w:rPr>
                <w:sz w:val="20"/>
                <w:szCs w:val="20"/>
                <w:color w:val="auto"/>
              </w:rPr>
            </w:pPr>
            <w:r>
              <w:rPr>
                <w:rFonts w:ascii="Arial" w:cs="Arial" w:eastAsia="Arial" w:hAnsi="Arial"/>
                <w:sz w:val="18"/>
                <w:szCs w:val="18"/>
                <w:b w:val="1"/>
                <w:bCs w:val="1"/>
                <w:color w:val="auto"/>
              </w:rPr>
              <w:t>Than</w:t>
            </w:r>
          </w:p>
        </w:tc>
        <w:tc>
          <w:tcPr>
            <w:tcW w:w="2120" w:type="dxa"/>
            <w:vAlign w:val="bottom"/>
            <w:shd w:val="clear" w:color="auto" w:fill="CCEECC"/>
          </w:tcPr>
          <w:p>
            <w:pPr>
              <w:ind w:left="40"/>
              <w:spacing w:after="0" w:line="198" w:lineRule="exact"/>
              <w:rPr>
                <w:sz w:val="20"/>
                <w:szCs w:val="20"/>
                <w:color w:val="auto"/>
              </w:rPr>
            </w:pPr>
            <w:r>
              <w:rPr>
                <w:rFonts w:ascii="Arial" w:cs="Arial" w:eastAsia="Arial" w:hAnsi="Arial"/>
                <w:sz w:val="18"/>
                <w:szCs w:val="18"/>
                <w:b w:val="1"/>
                <w:bCs w:val="1"/>
                <w:color w:val="auto"/>
              </w:rPr>
              <w:t>5%</w:t>
            </w:r>
          </w:p>
        </w:tc>
        <w:tc>
          <w:tcPr>
            <w:tcW w:w="130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500" w:type="dxa"/>
            <w:vAlign w:val="bottom"/>
            <w:gridSpan w:val="2"/>
            <w:shd w:val="clear" w:color="auto" w:fill="CCEECC"/>
          </w:tcPr>
          <w:p>
            <w:pPr>
              <w:spacing w:after="0"/>
              <w:rPr>
                <w:sz w:val="20"/>
                <w:szCs w:val="20"/>
                <w:color w:val="auto"/>
              </w:rPr>
            </w:pPr>
            <w:r>
              <w:rPr>
                <w:rFonts w:ascii="Arial" w:cs="Arial" w:eastAsia="Arial" w:hAnsi="Arial"/>
                <w:sz w:val="18"/>
                <w:szCs w:val="18"/>
                <w:b w:val="1"/>
                <w:bCs w:val="1"/>
                <w:color w:val="auto"/>
                <w:w w:val="91"/>
              </w:rPr>
              <w:t>Beneficial Owners:</w:t>
            </w:r>
          </w:p>
        </w:tc>
        <w:tc>
          <w:tcPr>
            <w:tcW w:w="2120" w:type="dxa"/>
            <w:vAlign w:val="bottom"/>
            <w:shd w:val="clear" w:color="auto" w:fill="CCEECC"/>
          </w:tcPr>
          <w:p>
            <w:pPr>
              <w:spacing w:after="0"/>
              <w:rPr>
                <w:sz w:val="20"/>
                <w:szCs w:val="20"/>
                <w:color w:val="auto"/>
              </w:rPr>
            </w:pPr>
          </w:p>
        </w:tc>
        <w:tc>
          <w:tcPr>
            <w:tcW w:w="130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20" w:type="dxa"/>
            <w:vAlign w:val="bottom"/>
          </w:tcPr>
          <w:p>
            <w:pPr>
              <w:ind w:left="380"/>
              <w:spacing w:after="0" w:line="201" w:lineRule="exact"/>
              <w:rPr>
                <w:sz w:val="20"/>
                <w:szCs w:val="20"/>
                <w:color w:val="auto"/>
              </w:rPr>
            </w:pPr>
            <w:r>
              <w:rPr>
                <w:rFonts w:ascii="Arial" w:cs="Arial" w:eastAsia="Arial" w:hAnsi="Arial"/>
                <w:sz w:val="18"/>
                <w:szCs w:val="18"/>
                <w:color w:val="auto"/>
              </w:rPr>
              <w:t>Bradley Louis Radoff</w:t>
            </w: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ind w:left="380"/>
              <w:spacing w:after="0"/>
              <w:rPr>
                <w:sz w:val="20"/>
                <w:szCs w:val="20"/>
                <w:color w:val="auto"/>
              </w:rPr>
            </w:pPr>
            <w:r>
              <w:rPr>
                <w:rFonts w:ascii="Arial" w:cs="Arial" w:eastAsia="Arial" w:hAnsi="Arial"/>
                <w:sz w:val="18"/>
                <w:szCs w:val="18"/>
                <w:color w:val="auto"/>
              </w:rPr>
              <w:t>117 W Loop S, Ste</w:t>
            </w: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ind w:left="380"/>
              <w:spacing w:after="0"/>
              <w:rPr>
                <w:sz w:val="20"/>
                <w:szCs w:val="20"/>
                <w:color w:val="auto"/>
              </w:rPr>
            </w:pPr>
            <w:r>
              <w:rPr>
                <w:rFonts w:ascii="Arial" w:cs="Arial" w:eastAsia="Arial" w:hAnsi="Arial"/>
                <w:sz w:val="18"/>
                <w:szCs w:val="18"/>
                <w:color w:val="auto"/>
              </w:rPr>
              <w:t>1625  Houston,  TX</w:t>
            </w: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20" w:type="dxa"/>
            <w:vAlign w:val="bottom"/>
            <w:gridSpan w:val="2"/>
          </w:tcPr>
          <w:p>
            <w:pPr>
              <w:spacing w:after="0"/>
              <w:rPr>
                <w:sz w:val="20"/>
                <w:szCs w:val="20"/>
                <w:color w:val="auto"/>
              </w:rPr>
            </w:pPr>
            <w:r>
              <w:rPr>
                <w:rFonts w:ascii="Arial" w:cs="Arial" w:eastAsia="Arial" w:hAnsi="Arial"/>
                <w:sz w:val="18"/>
                <w:szCs w:val="18"/>
                <w:color w:val="auto"/>
                <w:w w:val="95"/>
              </w:rPr>
              <w:t>Common</w:t>
            </w:r>
          </w:p>
        </w:tc>
        <w:tc>
          <w:tcPr>
            <w:tcW w:w="800" w:type="dxa"/>
            <w:vAlign w:val="bottom"/>
          </w:tcPr>
          <w:p>
            <w:pPr>
              <w:spacing w:after="0"/>
              <w:rPr>
                <w:sz w:val="20"/>
                <w:szCs w:val="20"/>
                <w:color w:val="auto"/>
              </w:rPr>
            </w:pPr>
          </w:p>
        </w:tc>
        <w:tc>
          <w:tcPr>
            <w:tcW w:w="2120" w:type="dxa"/>
            <w:vAlign w:val="bottom"/>
          </w:tcPr>
          <w:p>
            <w:pPr>
              <w:ind w:left="380"/>
              <w:spacing w:after="0"/>
              <w:rPr>
                <w:sz w:val="20"/>
                <w:szCs w:val="20"/>
                <w:color w:val="auto"/>
              </w:rPr>
            </w:pPr>
            <w:r>
              <w:rPr>
                <w:rFonts w:ascii="Arial" w:cs="Arial" w:eastAsia="Arial" w:hAnsi="Arial"/>
                <w:sz w:val="18"/>
                <w:szCs w:val="18"/>
                <w:color w:val="auto"/>
              </w:rPr>
              <w:t>77027</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3,250,000</w:t>
            </w: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2"/>
        </w:trPr>
        <w:tc>
          <w:tcPr>
            <w:tcW w:w="20" w:type="dxa"/>
            <w:vAlign w:val="bottom"/>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120" w:type="dxa"/>
            <w:vAlign w:val="bottom"/>
            <w:shd w:val="clear" w:color="auto" w:fill="CCEECC"/>
          </w:tcPr>
          <w:p>
            <w:pPr>
              <w:ind w:left="380"/>
              <w:spacing w:after="0" w:line="201" w:lineRule="exact"/>
              <w:rPr>
                <w:sz w:val="20"/>
                <w:szCs w:val="20"/>
                <w:color w:val="auto"/>
              </w:rPr>
            </w:pPr>
            <w:r>
              <w:rPr>
                <w:rFonts w:ascii="Arial" w:cs="Arial" w:eastAsia="Arial" w:hAnsi="Arial"/>
                <w:sz w:val="18"/>
                <w:szCs w:val="18"/>
                <w:color w:val="auto"/>
              </w:rPr>
              <w:t>Wolverine   Flagship</w:t>
            </w:r>
          </w:p>
        </w:tc>
        <w:tc>
          <w:tcPr>
            <w:tcW w:w="130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2120" w:type="dxa"/>
            <w:vAlign w:val="bottom"/>
            <w:shd w:val="clear" w:color="auto" w:fill="CCEECC"/>
          </w:tcPr>
          <w:p>
            <w:pPr>
              <w:ind w:left="380"/>
              <w:spacing w:after="0"/>
              <w:rPr>
                <w:sz w:val="20"/>
                <w:szCs w:val="20"/>
                <w:color w:val="auto"/>
              </w:rPr>
            </w:pPr>
            <w:r>
              <w:rPr>
                <w:rFonts w:ascii="Arial" w:cs="Arial" w:eastAsia="Arial" w:hAnsi="Arial"/>
                <w:sz w:val="18"/>
                <w:szCs w:val="18"/>
                <w:color w:val="auto"/>
              </w:rPr>
              <w:t>Fund</w:t>
            </w:r>
          </w:p>
        </w:tc>
        <w:tc>
          <w:tcPr>
            <w:tcW w:w="130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2120" w:type="dxa"/>
            <w:vAlign w:val="bottom"/>
            <w:shd w:val="clear" w:color="auto" w:fill="CCEECC"/>
          </w:tcPr>
          <w:p>
            <w:pPr>
              <w:ind w:left="380"/>
              <w:spacing w:after="0"/>
              <w:rPr>
                <w:sz w:val="20"/>
                <w:szCs w:val="20"/>
                <w:color w:val="auto"/>
              </w:rPr>
            </w:pPr>
            <w:r>
              <w:rPr>
                <w:rFonts w:ascii="Arial" w:cs="Arial" w:eastAsia="Arial" w:hAnsi="Arial"/>
                <w:sz w:val="18"/>
                <w:szCs w:val="18"/>
                <w:color w:val="auto"/>
              </w:rPr>
              <w:t>Trading Limited</w:t>
            </w:r>
          </w:p>
        </w:tc>
        <w:tc>
          <w:tcPr>
            <w:tcW w:w="130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2120" w:type="dxa"/>
            <w:vAlign w:val="bottom"/>
            <w:shd w:val="clear" w:color="auto" w:fill="CCEECC"/>
          </w:tcPr>
          <w:p>
            <w:pPr>
              <w:ind w:left="380"/>
              <w:spacing w:after="0"/>
              <w:rPr>
                <w:sz w:val="20"/>
                <w:szCs w:val="20"/>
                <w:color w:val="auto"/>
              </w:rPr>
            </w:pPr>
            <w:r>
              <w:rPr>
                <w:rFonts w:ascii="Arial" w:cs="Arial" w:eastAsia="Arial" w:hAnsi="Arial"/>
                <w:sz w:val="18"/>
                <w:szCs w:val="18"/>
                <w:color w:val="auto"/>
              </w:rPr>
              <w:t>175 W Jackson Blvd,</w:t>
            </w:r>
          </w:p>
        </w:tc>
        <w:tc>
          <w:tcPr>
            <w:tcW w:w="130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2120" w:type="dxa"/>
            <w:vAlign w:val="bottom"/>
            <w:shd w:val="clear" w:color="auto" w:fill="CCEECC"/>
          </w:tcPr>
          <w:p>
            <w:pPr>
              <w:ind w:left="380"/>
              <w:spacing w:after="0"/>
              <w:rPr>
                <w:sz w:val="20"/>
                <w:szCs w:val="20"/>
                <w:color w:val="auto"/>
              </w:rPr>
            </w:pPr>
            <w:r>
              <w:rPr>
                <w:rFonts w:ascii="Arial" w:cs="Arial" w:eastAsia="Arial" w:hAnsi="Arial"/>
                <w:sz w:val="18"/>
                <w:szCs w:val="18"/>
                <w:color w:val="auto"/>
              </w:rPr>
              <w:t>3rd Flr</w:t>
            </w:r>
          </w:p>
        </w:tc>
        <w:tc>
          <w:tcPr>
            <w:tcW w:w="130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CC"/>
          </w:tcPr>
          <w:p>
            <w:pPr>
              <w:spacing w:after="0"/>
              <w:rPr>
                <w:sz w:val="20"/>
                <w:szCs w:val="20"/>
                <w:color w:val="auto"/>
              </w:rPr>
            </w:pPr>
            <w:r>
              <w:rPr>
                <w:rFonts w:ascii="Arial" w:cs="Arial" w:eastAsia="Arial" w:hAnsi="Arial"/>
                <w:sz w:val="18"/>
                <w:szCs w:val="18"/>
                <w:color w:val="auto"/>
                <w:w w:val="93"/>
              </w:rPr>
              <w:t>Common</w:t>
            </w:r>
          </w:p>
        </w:tc>
        <w:tc>
          <w:tcPr>
            <w:tcW w:w="800" w:type="dxa"/>
            <w:vAlign w:val="bottom"/>
            <w:shd w:val="clear" w:color="auto" w:fill="CCEECC"/>
          </w:tcPr>
          <w:p>
            <w:pPr>
              <w:spacing w:after="0"/>
              <w:rPr>
                <w:sz w:val="20"/>
                <w:szCs w:val="20"/>
                <w:color w:val="auto"/>
              </w:rPr>
            </w:pPr>
          </w:p>
        </w:tc>
        <w:tc>
          <w:tcPr>
            <w:tcW w:w="2120" w:type="dxa"/>
            <w:vAlign w:val="bottom"/>
            <w:shd w:val="clear" w:color="auto" w:fill="CCEECC"/>
          </w:tcPr>
          <w:p>
            <w:pPr>
              <w:ind w:left="380"/>
              <w:spacing w:after="0"/>
              <w:rPr>
                <w:sz w:val="20"/>
                <w:szCs w:val="20"/>
                <w:color w:val="auto"/>
              </w:rPr>
            </w:pPr>
            <w:r>
              <w:rPr>
                <w:rFonts w:ascii="Arial" w:cs="Arial" w:eastAsia="Arial" w:hAnsi="Arial"/>
                <w:sz w:val="18"/>
                <w:szCs w:val="18"/>
                <w:color w:val="auto"/>
              </w:rPr>
              <w:t>Chicago, IL 60604</w:t>
            </w:r>
          </w:p>
        </w:tc>
        <w:tc>
          <w:tcPr>
            <w:tcW w:w="1300" w:type="dxa"/>
            <w:vAlign w:val="bottom"/>
            <w:shd w:val="clear" w:color="auto" w:fill="CCEECC"/>
          </w:tcPr>
          <w:p>
            <w:pPr>
              <w:jc w:val="right"/>
              <w:ind w:right="370"/>
              <w:spacing w:after="0"/>
              <w:rPr>
                <w:sz w:val="20"/>
                <w:szCs w:val="20"/>
                <w:color w:val="auto"/>
              </w:rPr>
            </w:pPr>
            <w:r>
              <w:rPr>
                <w:rFonts w:ascii="Arial" w:cs="Arial" w:eastAsia="Arial" w:hAnsi="Arial"/>
                <w:sz w:val="18"/>
                <w:szCs w:val="18"/>
                <w:color w:val="auto"/>
              </w:rPr>
              <w:t>2,083,500</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9.1%</w:t>
            </w:r>
          </w:p>
        </w:tc>
      </w:tr>
    </w:tbl>
    <w:p>
      <w:pPr>
        <w:spacing w:after="0" w:line="229" w:lineRule="exact"/>
        <w:rPr>
          <w:sz w:val="20"/>
          <w:szCs w:val="20"/>
          <w:color w:val="auto"/>
        </w:rPr>
      </w:pPr>
    </w:p>
    <w:p>
      <w:pPr>
        <w:jc w:val="both"/>
        <w:ind w:left="920" w:hanging="912"/>
        <w:spacing w:after="0" w:line="218" w:lineRule="auto"/>
        <w:tabs>
          <w:tab w:leader="none" w:pos="9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As used in this table, "beneficial ownership" means the sole or shared power to vote, or to direct the voting of, a security, or the sole or shared investment power with respect to a security (i.e., the power to dispose of, or to direct the disposition of, a security). In addition, for purposes of this table, a person is deemed, as of any date, to have "beneficial ownership" of any security that such person has the right to acquire within 60 days after such date.</w:t>
      </w:r>
    </w:p>
    <w:p>
      <w:pPr>
        <w:spacing w:after="0" w:line="1" w:lineRule="exact"/>
        <w:rPr>
          <w:rFonts w:ascii="Arial" w:cs="Arial" w:eastAsia="Arial" w:hAnsi="Arial"/>
          <w:sz w:val="30"/>
          <w:szCs w:val="30"/>
          <w:color w:val="auto"/>
          <w:vertAlign w:val="superscript"/>
        </w:rPr>
      </w:pPr>
    </w:p>
    <w:p>
      <w:pPr>
        <w:ind w:left="920" w:hanging="912"/>
        <w:spacing w:after="0" w:line="180" w:lineRule="auto"/>
        <w:tabs>
          <w:tab w:leader="none" w:pos="92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The percent of class is based on 22,809,586 voting shares as of March 31, 2014.</w:t>
      </w:r>
    </w:p>
    <w:p>
      <w:pPr>
        <w:spacing w:after="0" w:line="2" w:lineRule="exact"/>
        <w:rPr>
          <w:rFonts w:ascii="Arial" w:cs="Arial" w:eastAsia="Arial" w:hAnsi="Arial"/>
          <w:sz w:val="25"/>
          <w:szCs w:val="25"/>
          <w:color w:val="auto"/>
          <w:vertAlign w:val="superscript"/>
        </w:rPr>
      </w:pPr>
    </w:p>
    <w:p>
      <w:pPr>
        <w:ind w:left="920" w:hanging="912"/>
        <w:spacing w:after="0" w:line="186" w:lineRule="auto"/>
        <w:tabs>
          <w:tab w:leader="none" w:pos="92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Includes 428,348 shares held in his name and options to purchase 55,000 shares of common stock at $1.00 per share.</w:t>
      </w:r>
    </w:p>
    <w:p>
      <w:pPr>
        <w:spacing w:after="0" w:line="2" w:lineRule="exact"/>
        <w:rPr>
          <w:rFonts w:ascii="Arial" w:cs="Arial" w:eastAsia="Arial" w:hAnsi="Arial"/>
          <w:sz w:val="24"/>
          <w:szCs w:val="24"/>
          <w:color w:val="auto"/>
          <w:vertAlign w:val="superscript"/>
        </w:rPr>
      </w:pPr>
    </w:p>
    <w:p>
      <w:pPr>
        <w:ind w:left="920" w:hanging="912"/>
        <w:spacing w:after="0" w:line="187" w:lineRule="auto"/>
        <w:tabs>
          <w:tab w:leader="none" w:pos="9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Includes 3,197,187 shares held in his name, options to purchase 402,500 shares of common stock at prices ranging from of $1.00 to $1.81 per share.</w:t>
      </w:r>
    </w:p>
    <w:p>
      <w:pPr>
        <w:ind w:left="920" w:hanging="912"/>
        <w:spacing w:after="0" w:line="180" w:lineRule="auto"/>
        <w:tabs>
          <w:tab w:leader="none" w:pos="92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Includes 527,312 shares held in his name and options to purchase 227,500 shares of common stock at a price of $1.00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the transactions described under the heading “Executive Compensation” (or with respect to which such information is omitted in accordance with SEC regulations), since January 1, 2013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Redemption Option Agreement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17, 2014, we raised gross proceeds of $10,000,000 in an unregistered offering (the “Offering”) with certain accredited investors. We used a portion of the net proceeds of the Offering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our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for the years ended:</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Financial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Statements for</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the 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4"/>
              </w:rPr>
              <w:t>Audit Related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December 31</w:t>
            </w:r>
          </w:p>
        </w:tc>
        <w:tc>
          <w:tcPr>
            <w:tcW w:w="60" w:type="dxa"/>
            <w:vAlign w:val="bottom"/>
            <w:tcBorders>
              <w:bottom w:val="single" w:sz="8" w:color="CCEECC"/>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Audit Services</w:t>
            </w:r>
          </w:p>
        </w:tc>
        <w:tc>
          <w:tcPr>
            <w:tcW w:w="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Fees</w:t>
            </w:r>
          </w:p>
        </w:tc>
        <w:tc>
          <w:tcPr>
            <w:tcW w:w="4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Tax Fees</w:t>
            </w:r>
          </w:p>
        </w:tc>
        <w:tc>
          <w:tcPr>
            <w:tcW w:w="6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6"/>
              </w:rPr>
              <w:t>Other Fees</w:t>
            </w:r>
          </w:p>
        </w:tc>
      </w:tr>
      <w:tr>
        <w:trPr>
          <w:trHeight w:val="210"/>
        </w:trPr>
        <w:tc>
          <w:tcPr>
            <w:tcW w:w="20" w:type="dxa"/>
            <w:vAlign w:val="bottom"/>
          </w:tcPr>
          <w:p>
            <w:pPr>
              <w:spacing w:after="0"/>
              <w:rPr>
                <w:sz w:val="18"/>
                <w:szCs w:val="18"/>
                <w:color w:val="auto"/>
              </w:rPr>
            </w:pPr>
          </w:p>
        </w:tc>
        <w:tc>
          <w:tcPr>
            <w:tcW w:w="11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3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33,900</w:t>
            </w: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5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2,800</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6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24,650</w:t>
            </w:r>
          </w:p>
        </w:tc>
        <w:tc>
          <w:tcPr>
            <w:tcW w:w="28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ectPr>
          <w:pgSz w:w="11900" w:h="16838" w:orient="portrait"/>
          <w:cols w:equalWidth="0" w:num="1">
            <w:col w:w="11420"/>
          </w:cols>
          <w:pgMar w:left="240" w:top="233" w:right="239" w:bottom="649"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649"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29" w:lineRule="exact"/>
        <w:rPr>
          <w:sz w:val="20"/>
          <w:szCs w:val="20"/>
          <w:color w:val="auto"/>
        </w:rPr>
      </w:pPr>
    </w:p>
    <w:p>
      <w:pPr>
        <w:ind w:left="1560" w:hanging="742"/>
        <w:spacing w:after="0"/>
        <w:tabs>
          <w:tab w:leader="none" w:pos="15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and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and schedules listed below are included in this Form 10-K.</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ectPr>
          <w:pgSz w:w="11900" w:h="16838" w:orient="portrait"/>
          <w:cols w:equalWidth="0" w:num="1">
            <w:col w:w="10260"/>
          </w:cols>
          <w:pgMar w:left="240" w:top="23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u w:val="single" w:color="auto"/>
          <w:color w:val="auto"/>
        </w:rPr>
        <w:t xml:space="preserve">Exhibit Number </w:t>
      </w:r>
      <w:r>
        <w:rPr>
          <w:rFonts w:ascii="Arial" w:cs="Arial" w:eastAsia="Arial" w:hAnsi="Arial"/>
          <w:sz w:val="16"/>
          <w:szCs w:val="16"/>
          <w:color w:val="auto"/>
        </w:rPr>
        <w:t>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860" w:hanging="759"/>
        <w:spacing w:after="0"/>
        <w:tabs>
          <w:tab w:leader="none" w:pos="8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7" w:lineRule="exact"/>
        <w:rPr>
          <w:sz w:val="20"/>
          <w:szCs w:val="20"/>
          <w:color w:val="auto"/>
        </w:rPr>
      </w:pPr>
    </w:p>
    <w:p>
      <w:pPr>
        <w:ind w:right="4100"/>
        <w:spacing w:after="0" w:line="223" w:lineRule="auto"/>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Amended and Restated Bylaws of the Company</w:t>
      </w:r>
      <w:r>
        <w:rPr>
          <w:rFonts w:ascii="Arial" w:cs="Arial" w:eastAsia="Arial" w:hAnsi="Arial"/>
          <w:sz w:val="30"/>
          <w:szCs w:val="30"/>
          <w:color w:val="auto"/>
          <w:vertAlign w:val="superscript"/>
        </w:rPr>
        <w:t>1</w:t>
      </w:r>
    </w:p>
    <w:p>
      <w:pPr>
        <w:spacing w:after="0" w:line="222" w:lineRule="auto"/>
        <w:rPr>
          <w:sz w:val="20"/>
          <w:szCs w:val="20"/>
          <w:color w:val="auto"/>
        </w:rPr>
      </w:pPr>
      <w:r>
        <w:rPr>
          <w:rFonts w:ascii="Arial" w:cs="Arial" w:eastAsia="Arial" w:hAnsi="Arial"/>
          <w:sz w:val="17"/>
          <w:szCs w:val="17"/>
          <w:color w:val="auto"/>
        </w:rPr>
        <w:t>Certificate of Designation, filed on September 5, 2008, with the Secretary of State of the State of Nevada by the Company</w:t>
      </w:r>
      <w:r>
        <w:rPr>
          <w:rFonts w:ascii="Arial" w:cs="Arial" w:eastAsia="Arial" w:hAnsi="Arial"/>
          <w:sz w:val="28"/>
          <w:szCs w:val="28"/>
          <w:color w:val="auto"/>
          <w:vertAlign w:val="superscript"/>
        </w:rPr>
        <w:t>1</w:t>
      </w:r>
    </w:p>
    <w:p>
      <w:pPr>
        <w:spacing w:after="0" w:line="185" w:lineRule="auto"/>
        <w:rPr>
          <w:sz w:val="20"/>
          <w:szCs w:val="20"/>
          <w:color w:val="auto"/>
        </w:rPr>
      </w:pPr>
      <w:r>
        <w:rPr>
          <w:rFonts w:ascii="Arial" w:cs="Arial" w:eastAsia="Arial" w:hAnsi="Arial"/>
          <w:sz w:val="18"/>
          <w:szCs w:val="18"/>
          <w:color w:val="auto"/>
        </w:rPr>
        <w:t>Termination Agreement and Release, dated September 16, 2011</w:t>
      </w:r>
      <w:r>
        <w:rPr>
          <w:rFonts w:ascii="Arial" w:cs="Arial" w:eastAsia="Arial" w:hAnsi="Arial"/>
          <w:sz w:val="29"/>
          <w:szCs w:val="29"/>
          <w:color w:val="auto"/>
          <w:vertAlign w:val="superscript"/>
        </w:rPr>
        <w:t>2</w:t>
      </w:r>
    </w:p>
    <w:p>
      <w:pPr>
        <w:spacing w:after="0" w:line="180" w:lineRule="auto"/>
        <w:rPr>
          <w:sz w:val="20"/>
          <w:szCs w:val="20"/>
          <w:color w:val="auto"/>
        </w:rPr>
      </w:pPr>
      <w:r>
        <w:rPr>
          <w:rFonts w:ascii="Arial" w:cs="Arial" w:eastAsia="Arial" w:hAnsi="Arial"/>
          <w:sz w:val="16"/>
          <w:szCs w:val="16"/>
          <w:color w:val="auto"/>
        </w:rPr>
        <w:t>Securities Purchase Agreement, dated September 16, 2011</w:t>
      </w:r>
      <w:r>
        <w:rPr>
          <w:rFonts w:ascii="Arial" w:cs="Arial" w:eastAsia="Arial" w:hAnsi="Arial"/>
          <w:sz w:val="25"/>
          <w:szCs w:val="25"/>
          <w:color w:val="auto"/>
          <w:vertAlign w:val="superscript"/>
        </w:rPr>
        <w:t>2</w:t>
      </w:r>
    </w:p>
    <w:p>
      <w:pPr>
        <w:spacing w:after="0" w:line="185" w:lineRule="auto"/>
        <w:rPr>
          <w:sz w:val="20"/>
          <w:szCs w:val="20"/>
          <w:color w:val="auto"/>
        </w:rPr>
      </w:pPr>
      <w:r>
        <w:rPr>
          <w:rFonts w:ascii="Arial" w:cs="Arial" w:eastAsia="Arial" w:hAnsi="Arial"/>
          <w:sz w:val="18"/>
          <w:szCs w:val="18"/>
          <w:color w:val="auto"/>
        </w:rPr>
        <w:t>Amended and Restated Guarantee Agreement, dated September 16, 2011</w:t>
      </w:r>
      <w:r>
        <w:rPr>
          <w:rFonts w:ascii="Arial" w:cs="Arial" w:eastAsia="Arial" w:hAnsi="Arial"/>
          <w:sz w:val="29"/>
          <w:szCs w:val="29"/>
          <w:color w:val="auto"/>
          <w:vertAlign w:val="superscript"/>
        </w:rPr>
        <w:t>2</w:t>
      </w:r>
    </w:p>
    <w:p>
      <w:pPr>
        <w:spacing w:after="0" w:line="1" w:lineRule="exact"/>
        <w:rPr>
          <w:sz w:val="20"/>
          <w:szCs w:val="20"/>
          <w:color w:val="auto"/>
        </w:rPr>
      </w:pPr>
    </w:p>
    <w:p>
      <w:pPr>
        <w:ind w:right="2720"/>
        <w:spacing w:after="0" w:line="238" w:lineRule="auto"/>
        <w:rPr>
          <w:sz w:val="20"/>
          <w:szCs w:val="20"/>
          <w:color w:val="auto"/>
        </w:rPr>
      </w:pPr>
      <w:r>
        <w:rPr>
          <w:rFonts w:ascii="Arial" w:cs="Arial" w:eastAsia="Arial" w:hAnsi="Arial"/>
          <w:sz w:val="17"/>
          <w:szCs w:val="17"/>
          <w:color w:val="auto"/>
        </w:rPr>
        <w:t>Second Amended and Restated Registration Rights Agreement, dated September 16, 2011</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Third Amended and Restated Security Agreement, dated September 16, 2011</w:t>
      </w:r>
      <w:r>
        <w:rPr>
          <w:rFonts w:ascii="Arial" w:cs="Arial" w:eastAsia="Arial" w:hAnsi="Arial"/>
          <w:sz w:val="28"/>
          <w:szCs w:val="28"/>
          <w:color w:val="auto"/>
          <w:vertAlign w:val="superscript"/>
        </w:rPr>
        <w:t>2</w:t>
      </w:r>
    </w:p>
    <w:p>
      <w:pPr>
        <w:ind w:right="2880"/>
        <w:spacing w:after="0" w:line="223" w:lineRule="auto"/>
        <w:rPr>
          <w:sz w:val="20"/>
          <w:szCs w:val="20"/>
          <w:color w:val="auto"/>
        </w:rPr>
      </w:pPr>
      <w:r>
        <w:rPr>
          <w:rFonts w:ascii="Arial" w:cs="Arial" w:eastAsia="Arial" w:hAnsi="Arial"/>
          <w:sz w:val="18"/>
          <w:szCs w:val="18"/>
          <w:color w:val="auto"/>
        </w:rPr>
        <w:t>Third Amended and Restated Guarantor Security Agreement, dated September 16, 2011</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Employment Agreement, dated January 14, 2013</w:t>
      </w:r>
      <w:r>
        <w:rPr>
          <w:rFonts w:ascii="Arial" w:cs="Arial" w:eastAsia="Arial" w:hAnsi="Arial"/>
          <w:sz w:val="30"/>
          <w:szCs w:val="30"/>
          <w:color w:val="auto"/>
          <w:vertAlign w:val="superscript"/>
        </w:rPr>
        <w:t>3</w:t>
      </w:r>
    </w:p>
    <w:p>
      <w:pPr>
        <w:spacing w:after="0" w:line="207" w:lineRule="auto"/>
        <w:rPr>
          <w:sz w:val="20"/>
          <w:szCs w:val="20"/>
          <w:color w:val="auto"/>
        </w:rPr>
      </w:pPr>
      <w:r>
        <w:rPr>
          <w:rFonts w:ascii="Arial" w:cs="Arial" w:eastAsia="Arial" w:hAnsi="Arial"/>
          <w:sz w:val="18"/>
          <w:szCs w:val="18"/>
          <w:color w:val="auto"/>
        </w:rPr>
        <w:t>Securities Redemption Option Agreement, dated January 10, 2013</w:t>
      </w:r>
      <w:r>
        <w:rPr>
          <w:rFonts w:ascii="Arial" w:cs="Arial" w:eastAsia="Arial" w:hAnsi="Arial"/>
          <w:sz w:val="30"/>
          <w:szCs w:val="30"/>
          <w:color w:val="auto"/>
          <w:vertAlign w:val="superscript"/>
        </w:rPr>
        <w:t>4</w:t>
      </w:r>
    </w:p>
    <w:p>
      <w:pPr>
        <w:spacing w:after="0" w:line="184" w:lineRule="auto"/>
        <w:rPr>
          <w:sz w:val="20"/>
          <w:szCs w:val="20"/>
          <w:color w:val="auto"/>
        </w:rPr>
      </w:pPr>
      <w:r>
        <w:rPr>
          <w:rFonts w:ascii="Arial" w:cs="Arial" w:eastAsia="Arial" w:hAnsi="Arial"/>
          <w:sz w:val="18"/>
          <w:szCs w:val="18"/>
          <w:color w:val="auto"/>
        </w:rPr>
        <w:t>Amendment No. 1 to Securities Redemption Option Agreement</w:t>
      </w:r>
      <w:r>
        <w:rPr>
          <w:rFonts w:ascii="Arial" w:cs="Arial" w:eastAsia="Arial" w:hAnsi="Arial"/>
          <w:sz w:val="29"/>
          <w:szCs w:val="29"/>
          <w:color w:val="auto"/>
          <w:vertAlign w:val="superscript"/>
        </w:rPr>
        <w:t>5</w:t>
      </w:r>
    </w:p>
    <w:p>
      <w:pPr>
        <w:spacing w:after="0" w:line="181" w:lineRule="auto"/>
        <w:rPr>
          <w:sz w:val="20"/>
          <w:szCs w:val="20"/>
          <w:color w:val="auto"/>
        </w:rPr>
      </w:pPr>
      <w:r>
        <w:rPr>
          <w:rFonts w:ascii="Arial" w:cs="Arial" w:eastAsia="Arial" w:hAnsi="Arial"/>
          <w:sz w:val="16"/>
          <w:szCs w:val="16"/>
          <w:color w:val="auto"/>
        </w:rPr>
        <w:t>Separation Agreement, dated September 20, 2013</w:t>
      </w:r>
      <w:r>
        <w:rPr>
          <w:rFonts w:ascii="Arial" w:cs="Arial" w:eastAsia="Arial" w:hAnsi="Arial"/>
          <w:sz w:val="25"/>
          <w:szCs w:val="25"/>
          <w:color w:val="auto"/>
          <w:vertAlign w:val="superscript"/>
        </w:rPr>
        <w:t>6</w:t>
      </w:r>
    </w:p>
    <w:p>
      <w:pPr>
        <w:spacing w:after="0" w:line="207" w:lineRule="auto"/>
        <w:rPr>
          <w:sz w:val="20"/>
          <w:szCs w:val="20"/>
          <w:color w:val="auto"/>
        </w:rPr>
      </w:pPr>
      <w:r>
        <w:rPr>
          <w:rFonts w:ascii="Arial" w:cs="Arial" w:eastAsia="Arial" w:hAnsi="Arial"/>
          <w:sz w:val="18"/>
          <w:szCs w:val="18"/>
          <w:color w:val="auto"/>
        </w:rPr>
        <w:t>Shad Stastney Amendment to Employment Agreement, dated August 14, 2013</w:t>
      </w:r>
      <w:r>
        <w:rPr>
          <w:rFonts w:ascii="Arial" w:cs="Arial" w:eastAsia="Arial" w:hAnsi="Arial"/>
          <w:sz w:val="30"/>
          <w:szCs w:val="30"/>
          <w:color w:val="auto"/>
          <w:vertAlign w:val="superscript"/>
        </w:rPr>
        <w:t>7</w:t>
      </w:r>
    </w:p>
    <w:p>
      <w:pPr>
        <w:spacing w:after="0" w:line="184" w:lineRule="auto"/>
        <w:rPr>
          <w:sz w:val="20"/>
          <w:szCs w:val="20"/>
          <w:color w:val="auto"/>
        </w:rPr>
      </w:pPr>
      <w:r>
        <w:rPr>
          <w:rFonts w:ascii="Arial" w:cs="Arial" w:eastAsia="Arial" w:hAnsi="Arial"/>
          <w:sz w:val="18"/>
          <w:szCs w:val="18"/>
          <w:color w:val="auto"/>
        </w:rPr>
        <w:t>David Lester Amendment to Employment Agreement, dated August 14, 2013</w:t>
      </w:r>
      <w:r>
        <w:rPr>
          <w:rFonts w:ascii="Arial" w:cs="Arial" w:eastAsia="Arial" w:hAnsi="Arial"/>
          <w:sz w:val="29"/>
          <w:szCs w:val="29"/>
          <w:color w:val="auto"/>
          <w:vertAlign w:val="superscript"/>
        </w:rPr>
        <w:t>7</w:t>
      </w:r>
    </w:p>
    <w:p>
      <w:pPr>
        <w:spacing w:after="0" w:line="185" w:lineRule="auto"/>
        <w:rPr>
          <w:sz w:val="20"/>
          <w:szCs w:val="20"/>
          <w:color w:val="auto"/>
        </w:rPr>
      </w:pPr>
      <w:r>
        <w:rPr>
          <w:rFonts w:ascii="Arial" w:cs="Arial" w:eastAsia="Arial" w:hAnsi="Arial"/>
          <w:sz w:val="18"/>
          <w:szCs w:val="18"/>
          <w:color w:val="auto"/>
        </w:rPr>
        <w:t>David Harrell Amendment to Employment Agreement, dated August 14, 2013</w:t>
      </w:r>
      <w:r>
        <w:rPr>
          <w:rFonts w:ascii="Arial" w:cs="Arial" w:eastAsia="Arial" w:hAnsi="Arial"/>
          <w:sz w:val="29"/>
          <w:szCs w:val="29"/>
          <w:color w:val="auto"/>
          <w:vertAlign w:val="superscript"/>
        </w:rPr>
        <w:t>7</w:t>
      </w:r>
    </w:p>
    <w:p>
      <w:pPr>
        <w:spacing w:after="0" w:line="180" w:lineRule="auto"/>
        <w:rPr>
          <w:sz w:val="20"/>
          <w:szCs w:val="20"/>
          <w:color w:val="auto"/>
        </w:rPr>
      </w:pPr>
      <w:r>
        <w:rPr>
          <w:rFonts w:ascii="Arial" w:cs="Arial" w:eastAsia="Arial" w:hAnsi="Arial"/>
          <w:sz w:val="16"/>
          <w:szCs w:val="16"/>
          <w:color w:val="auto"/>
        </w:rPr>
        <w:t>Terrance Hamilton Amendment to Employment Agreement, dated August 14, 2013</w:t>
      </w:r>
      <w:r>
        <w:rPr>
          <w:rFonts w:ascii="Arial" w:cs="Arial" w:eastAsia="Arial" w:hAnsi="Arial"/>
          <w:sz w:val="25"/>
          <w:szCs w:val="25"/>
          <w:color w:val="auto"/>
          <w:vertAlign w:val="superscript"/>
        </w:rPr>
        <w:t>7</w:t>
      </w:r>
    </w:p>
    <w:p>
      <w:pPr>
        <w:spacing w:after="0" w:line="185" w:lineRule="auto"/>
        <w:rPr>
          <w:sz w:val="20"/>
          <w:szCs w:val="20"/>
          <w:color w:val="auto"/>
        </w:rPr>
      </w:pPr>
      <w:r>
        <w:rPr>
          <w:rFonts w:ascii="Arial" w:cs="Arial" w:eastAsia="Arial" w:hAnsi="Arial"/>
          <w:sz w:val="18"/>
          <w:szCs w:val="18"/>
          <w:color w:val="auto"/>
        </w:rPr>
        <w:t>List of Subsidiaries</w:t>
      </w:r>
      <w:r>
        <w:rPr>
          <w:rFonts w:ascii="Arial" w:cs="Arial" w:eastAsia="Arial" w:hAnsi="Arial"/>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u w:val="single" w:color="auto"/>
          <w:color w:val="0000EE"/>
        </w:rPr>
        <w:t>Certification of Chief Executive Officer pursuant to Securities Exchange Act Rule 13a-14(a)/15d-14(a), as adopted pursuant to Section 302 of the Sarbanes-Oxley Act of 2002</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u w:val="single" w:color="auto"/>
          <w:color w:val="0000EE"/>
        </w:rPr>
        <w:t>Certification of Chief Financial Officer pursuant to Securities Exchange Act Rule 13a-14(a)/15d-14(a), as adopted pursuant to Section 302 of the Sarbanes-Oxley Act of 2002</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0000EE"/>
        </w:rPr>
        <w:t>Certification of Chief Executive Officer and Chief Financial Officer pursuant to 18 U.S.C. Section 1350, as adopted pursuant to Section 906 of the Sarbanes-Oxley Act of 2002</w:t>
      </w:r>
    </w:p>
    <w:p>
      <w:pPr>
        <w:spacing w:after="0" w:line="156" w:lineRule="exact"/>
        <w:rPr>
          <w:sz w:val="20"/>
          <w:szCs w:val="20"/>
          <w:color w:val="auto"/>
        </w:rPr>
      </w:pPr>
    </w:p>
    <w:p>
      <w:pPr>
        <w:sectPr>
          <w:pgSz w:w="11900" w:h="16838" w:orient="portrait"/>
          <w:cols w:equalWidth="0" w:num="2">
            <w:col w:w="640" w:space="320"/>
            <w:col w:w="9300"/>
          </w:cols>
          <w:pgMar w:left="240" w:top="233" w:right="1399" w:bottom="1440" w:gutter="0" w:footer="0" w:header="0"/>
          <w:type w:val="continuous"/>
        </w:sectPr>
      </w:pPr>
    </w:p>
    <w:p>
      <w:pPr>
        <w:ind w:left="120" w:hanging="112"/>
        <w:spacing w:after="0"/>
        <w:tabs>
          <w:tab w:leader="none" w:pos="12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spacing w:after="0" w:line="42" w:lineRule="exact"/>
        <w:rPr>
          <w:rFonts w:ascii="Arial" w:cs="Arial" w:eastAsia="Arial" w:hAnsi="Arial"/>
          <w:sz w:val="26"/>
          <w:szCs w:val="26"/>
          <w:color w:val="auto"/>
          <w:vertAlign w:val="superscript"/>
        </w:rPr>
      </w:pPr>
    </w:p>
    <w:p>
      <w:pPr>
        <w:ind w:right="260"/>
        <w:spacing w:after="0" w:line="25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Incorporated by reference to the Form 8-K, filed by the Company with the Securities and Exchange Commission on September 21, 2011.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Incorporated by reference to the Form 8-K, filed by the Company with the Securities and Exchange Commission on January 18, 2013.</w:t>
      </w: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4</w:t>
      </w:r>
      <w:r>
        <w:rPr>
          <w:rFonts w:ascii="Arial" w:cs="Arial" w:eastAsia="Arial" w:hAnsi="Arial"/>
          <w:sz w:val="16"/>
          <w:szCs w:val="16"/>
          <w:color w:val="auto"/>
        </w:rPr>
        <w:t xml:space="preserve"> Incorporated by reference to the Form 8-K, filed by the Company with the Securities and Exchange Commission on January 11, 2013.</w:t>
      </w:r>
    </w:p>
    <w:p>
      <w:pPr>
        <w:spacing w:after="0" w:line="1"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5</w:t>
      </w:r>
      <w:r>
        <w:rPr>
          <w:rFonts w:ascii="Arial" w:cs="Arial" w:eastAsia="Arial" w:hAnsi="Arial"/>
          <w:sz w:val="16"/>
          <w:szCs w:val="16"/>
          <w:color w:val="auto"/>
        </w:rPr>
        <w:t xml:space="preserve"> Incorporated by reference to the Form 8-K, filed by the Company with the Securities and Exchange Commission on January 2, 2014.</w:t>
      </w:r>
    </w:p>
    <w:p>
      <w:pPr>
        <w:spacing w:after="0" w:line="1" w:lineRule="exact"/>
        <w:rPr>
          <w:rFonts w:ascii="Arial" w:cs="Arial" w:eastAsia="Arial" w:hAnsi="Arial"/>
          <w:sz w:val="26"/>
          <w:szCs w:val="26"/>
          <w:color w:val="auto"/>
          <w:vertAlign w:val="superscript"/>
        </w:rPr>
      </w:pPr>
    </w:p>
    <w:p>
      <w:pPr>
        <w:ind w:right="240"/>
        <w:spacing w:after="0" w:line="384"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6</w:t>
      </w:r>
      <w:r>
        <w:rPr>
          <w:rFonts w:ascii="Arial" w:cs="Arial" w:eastAsia="Arial" w:hAnsi="Arial"/>
          <w:sz w:val="16"/>
          <w:szCs w:val="16"/>
          <w:color w:val="auto"/>
        </w:rPr>
        <w:t xml:space="preserve"> Incorporated by reference to the Form 8-K, filed by the Company with the Securities and Exchange Commission on September 20, 2013. </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Incorporated by reference to the Form 8-K, filed by the Company with the Securities and Exchange Commission on August 15, 2013</w:t>
      </w:r>
    </w:p>
    <w:p>
      <w:pPr>
        <w:spacing w:after="0" w:line="1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60"/>
          </w:cols>
          <w:pgMar w:left="240" w:top="233" w:right="13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6440" w:type="dxa"/>
            <w:vAlign w:val="bottom"/>
            <w:gridSpan w:val="3"/>
          </w:tcPr>
          <w:p>
            <w:pPr>
              <w:spacing w:after="0"/>
              <w:rPr>
                <w:sz w:val="20"/>
                <w:szCs w:val="20"/>
                <w:color w:val="auto"/>
              </w:rPr>
            </w:pPr>
            <w:r>
              <w:rPr>
                <w:rFonts w:ascii="Arial" w:cs="Arial" w:eastAsia="Arial" w:hAnsi="Arial"/>
                <w:sz w:val="18"/>
                <w:szCs w:val="18"/>
                <w:color w:val="auto"/>
              </w:rPr>
              <w:t>/s/ David Harrell</w:t>
            </w:r>
          </w:p>
        </w:tc>
      </w:tr>
      <w:tr>
        <w:trPr>
          <w:trHeight w:val="222"/>
        </w:trPr>
        <w:tc>
          <w:tcPr>
            <w:tcW w:w="82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Shad Stastney</w:t>
            </w:r>
          </w:p>
        </w:tc>
        <w:tc>
          <w:tcPr>
            <w:tcW w:w="5240" w:type="dxa"/>
            <w:vAlign w:val="bottom"/>
            <w:gridSpan w:val="2"/>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Chief Executive Officer, Principal Executive Officer and Director</w:t>
            </w:r>
          </w:p>
        </w:tc>
      </w:tr>
      <w:tr>
        <w:trPr>
          <w:trHeight w:val="230"/>
        </w:trPr>
        <w:tc>
          <w:tcPr>
            <w:tcW w:w="82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March 31, 2014</w:t>
            </w:r>
          </w:p>
        </w:tc>
      </w:tr>
      <w:tr>
        <w:trPr>
          <w:trHeight w:val="432"/>
        </w:trPr>
        <w:tc>
          <w:tcPr>
            <w:tcW w:w="820" w:type="dxa"/>
            <w:vAlign w:val="bottom"/>
          </w:tcPr>
          <w:p>
            <w:pPr>
              <w:spacing w:after="0"/>
              <w:rPr>
                <w:sz w:val="24"/>
                <w:szCs w:val="24"/>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6440" w:type="dxa"/>
            <w:vAlign w:val="bottom"/>
            <w:gridSpan w:val="3"/>
          </w:tcPr>
          <w:p>
            <w:pPr>
              <w:spacing w:after="0"/>
              <w:rPr>
                <w:sz w:val="20"/>
                <w:szCs w:val="20"/>
                <w:color w:val="auto"/>
              </w:rPr>
            </w:pPr>
            <w:r>
              <w:rPr>
                <w:rFonts w:ascii="Arial" w:cs="Arial" w:eastAsia="Arial" w:hAnsi="Arial"/>
                <w:sz w:val="18"/>
                <w:szCs w:val="18"/>
                <w:color w:val="auto"/>
              </w:rPr>
              <w:t>/s/ H. David Lester</w:t>
            </w:r>
          </w:p>
        </w:tc>
      </w:tr>
      <w:tr>
        <w:trPr>
          <w:trHeight w:val="222"/>
        </w:trPr>
        <w:tc>
          <w:tcPr>
            <w:tcW w:w="820" w:type="dxa"/>
            <w:vAlign w:val="bottom"/>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 David Lester</w:t>
            </w:r>
          </w:p>
        </w:tc>
        <w:tc>
          <w:tcPr>
            <w:tcW w:w="508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w w:val="93"/>
              </w:rPr>
              <w:t>Chief Operating Officer, Chief Financial Officer, Principal Financial Officer and Director</w:t>
            </w:r>
          </w:p>
        </w:tc>
      </w:tr>
      <w:tr>
        <w:trPr>
          <w:trHeight w:val="230"/>
        </w:trPr>
        <w:tc>
          <w:tcPr>
            <w:tcW w:w="82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March 31, 2014</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3"/>
          </w:tcPr>
          <w:p>
            <w:pPr>
              <w:spacing w:after="0"/>
              <w:rPr>
                <w:sz w:val="20"/>
                <w:szCs w:val="20"/>
                <w:color w:val="auto"/>
              </w:rPr>
            </w:pPr>
            <w:r>
              <w:rPr>
                <w:rFonts w:ascii="Arial" w:cs="Arial" w:eastAsia="Arial" w:hAnsi="Arial"/>
                <w:sz w:val="18"/>
                <w:szCs w:val="18"/>
                <w:color w:val="auto"/>
              </w:rPr>
              <w:t>/s/ David Harrell</w:t>
            </w:r>
          </w:p>
        </w:tc>
      </w:tr>
      <w:tr>
        <w:trPr>
          <w:trHeight w:val="222"/>
        </w:trPr>
        <w:tc>
          <w:tcPr>
            <w:tcW w:w="820" w:type="dxa"/>
            <w:vAlign w:val="bottom"/>
          </w:tcPr>
          <w:p>
            <w:pPr>
              <w:spacing w:after="0"/>
              <w:rPr>
                <w:sz w:val="19"/>
                <w:szCs w:val="19"/>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Harrell</w:t>
            </w:r>
          </w:p>
        </w:tc>
        <w:tc>
          <w:tcPr>
            <w:tcW w:w="46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1660" w:type="dxa"/>
            <w:vAlign w:val="bottom"/>
            <w:gridSpan w:val="3"/>
          </w:tcPr>
          <w:p>
            <w:pPr>
              <w:spacing w:after="0"/>
              <w:rPr>
                <w:sz w:val="20"/>
                <w:szCs w:val="20"/>
                <w:color w:val="auto"/>
              </w:rPr>
            </w:pPr>
            <w:r>
              <w:rPr>
                <w:rFonts w:ascii="Arial" w:cs="Arial" w:eastAsia="Arial" w:hAnsi="Arial"/>
                <w:sz w:val="18"/>
                <w:szCs w:val="18"/>
                <w:color w:val="auto"/>
              </w:rPr>
              <w:t>March 31, 2014</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3"/>
          </w:tcPr>
          <w:p>
            <w:pPr>
              <w:spacing w:after="0"/>
              <w:rPr>
                <w:sz w:val="20"/>
                <w:szCs w:val="20"/>
                <w:color w:val="auto"/>
              </w:rPr>
            </w:pPr>
            <w:r>
              <w:rPr>
                <w:rFonts w:ascii="Arial" w:cs="Arial" w:eastAsia="Arial" w:hAnsi="Arial"/>
                <w:sz w:val="18"/>
                <w:szCs w:val="18"/>
                <w:color w:val="auto"/>
              </w:rPr>
              <w:t>/s/ David Lester</w:t>
            </w:r>
          </w:p>
        </w:tc>
      </w:tr>
      <w:tr>
        <w:trPr>
          <w:trHeight w:val="222"/>
        </w:trPr>
        <w:tc>
          <w:tcPr>
            <w:tcW w:w="8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520" w:type="dxa"/>
            <w:vAlign w:val="bottom"/>
            <w:gridSpan w:val="2"/>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1660" w:type="dxa"/>
            <w:vAlign w:val="bottom"/>
            <w:gridSpan w:val="3"/>
          </w:tcPr>
          <w:p>
            <w:pPr>
              <w:spacing w:after="0"/>
              <w:rPr>
                <w:sz w:val="20"/>
                <w:szCs w:val="20"/>
                <w:color w:val="auto"/>
              </w:rPr>
            </w:pPr>
            <w:r>
              <w:rPr>
                <w:rFonts w:ascii="Arial" w:cs="Arial" w:eastAsia="Arial" w:hAnsi="Arial"/>
                <w:sz w:val="18"/>
                <w:szCs w:val="18"/>
                <w:color w:val="auto"/>
              </w:rPr>
              <w:t>March 31, 2014</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Terence J. Hamilton</w:t>
            </w:r>
          </w:p>
        </w:tc>
      </w:tr>
      <w:tr>
        <w:trPr>
          <w:trHeight w:val="222"/>
        </w:trPr>
        <w:tc>
          <w:tcPr>
            <w:tcW w:w="820" w:type="dxa"/>
            <w:vAlign w:val="bottom"/>
          </w:tcPr>
          <w:p>
            <w:pPr>
              <w:spacing w:after="0"/>
              <w:rPr>
                <w:sz w:val="19"/>
                <w:szCs w:val="19"/>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Terence J. Hamilton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1660" w:type="dxa"/>
            <w:vAlign w:val="bottom"/>
            <w:gridSpan w:val="3"/>
          </w:tcPr>
          <w:p>
            <w:pPr>
              <w:spacing w:after="0"/>
              <w:rPr>
                <w:sz w:val="20"/>
                <w:szCs w:val="20"/>
                <w:color w:val="auto"/>
              </w:rPr>
            </w:pPr>
            <w:r>
              <w:rPr>
                <w:rFonts w:ascii="Arial" w:cs="Arial" w:eastAsia="Arial" w:hAnsi="Arial"/>
                <w:sz w:val="18"/>
                <w:szCs w:val="18"/>
                <w:color w:val="auto"/>
              </w:rPr>
              <w:t>March 31, 2014</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Harrell, certify that;</w:t>
      </w:r>
    </w:p>
    <w:p>
      <w:pPr>
        <w:spacing w:after="0" w:line="225"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Harrell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00"/>
          </w:cols>
          <w:pgMar w:left="240" w:top="121"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David Lester, certify that;</w:t>
      </w:r>
    </w:p>
    <w:p>
      <w:pPr>
        <w:spacing w:after="0" w:line="225"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OptimizeRx Corp (the “Company”) on Form 10-K for the year ended December 31, 2013 filed with the Securities and Exchange Commission (the “Report”), We, David Harrell and H. David Lester, Chief Executive Officer and Chief Financial Officer, respectively, of the Company, certify, pursuant to 18 U.S.C. Section 1350, as adopted pursuant to Section 906 of the Sarbanes-Oxley Act of 2002, that: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4580" w:type="dxa"/>
        <w:tblCellMar>
          <w:top w:w="0" w:type="dxa"/>
          <w:left w:w="0" w:type="dxa"/>
          <w:bottom w:w="0" w:type="dxa"/>
          <w:right w:w="0" w:type="dxa"/>
        </w:tblCellMar>
      </w:tblPr>
      <w:tr>
        <w:trPr>
          <w:trHeight w:val="207"/>
        </w:trPr>
        <w:tc>
          <w:tcPr>
            <w:tcW w:w="206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gridSpan w:val="3"/>
          </w:tcPr>
          <w:p>
            <w:pPr>
              <w:spacing w:after="0"/>
              <w:rPr>
                <w:sz w:val="20"/>
                <w:szCs w:val="20"/>
                <w:color w:val="auto"/>
              </w:rPr>
            </w:pPr>
            <w:r>
              <w:rPr>
                <w:rFonts w:ascii="Arial" w:cs="Arial" w:eastAsia="Arial" w:hAnsi="Arial"/>
                <w:sz w:val="18"/>
                <w:szCs w:val="18"/>
                <w:color w:val="auto"/>
              </w:rPr>
              <w:t>/s/ David Harrell</w:t>
            </w:r>
          </w:p>
        </w:tc>
      </w:tr>
      <w:tr>
        <w:trPr>
          <w:trHeight w:val="222"/>
        </w:trPr>
        <w:tc>
          <w:tcPr>
            <w:tcW w:w="2060" w:type="dxa"/>
            <w:vAlign w:val="bottom"/>
          </w:tcPr>
          <w:p>
            <w:pPr>
              <w:spacing w:after="0"/>
              <w:rPr>
                <w:sz w:val="20"/>
                <w:szCs w:val="20"/>
                <w:color w:val="auto"/>
              </w:rPr>
            </w:pPr>
            <w:r>
              <w:rPr>
                <w:rFonts w:ascii="Arial" w:cs="Arial" w:eastAsia="Arial" w:hAnsi="Arial"/>
                <w:sz w:val="18"/>
                <w:szCs w:val="18"/>
                <w:color w:val="auto"/>
              </w:rPr>
              <w:t>Name:</w:t>
            </w: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Harrell</w:t>
            </w:r>
          </w:p>
        </w:tc>
        <w:tc>
          <w:tcPr>
            <w:tcW w:w="1720" w:type="dxa"/>
            <w:vAlign w:val="bottom"/>
            <w:gridSpan w:val="2"/>
          </w:tcPr>
          <w:p>
            <w:pPr>
              <w:spacing w:after="0"/>
              <w:rPr>
                <w:sz w:val="19"/>
                <w:szCs w:val="19"/>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3"/>
          </w:tcPr>
          <w:p>
            <w:pPr>
              <w:spacing w:after="0"/>
              <w:rPr>
                <w:sz w:val="20"/>
                <w:szCs w:val="20"/>
                <w:color w:val="auto"/>
              </w:rPr>
            </w:pPr>
            <w:r>
              <w:rPr>
                <w:rFonts w:ascii="Arial" w:cs="Arial" w:eastAsia="Arial" w:hAnsi="Arial"/>
                <w:sz w:val="18"/>
                <w:szCs w:val="18"/>
                <w:color w:val="auto"/>
                <w:w w:val="92"/>
              </w:rPr>
              <w:t>Principal Executive Officer and Director</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gridSpan w:val="3"/>
          </w:tcPr>
          <w:p>
            <w:pPr>
              <w:spacing w:after="0"/>
              <w:rPr>
                <w:sz w:val="20"/>
                <w:szCs w:val="20"/>
                <w:color w:val="auto"/>
              </w:rPr>
            </w:pPr>
            <w:r>
              <w:rPr>
                <w:rFonts w:ascii="Arial" w:cs="Arial" w:eastAsia="Arial" w:hAnsi="Arial"/>
                <w:sz w:val="18"/>
                <w:szCs w:val="18"/>
                <w:color w:val="auto"/>
              </w:rPr>
              <w:t>March 31, 2014</w:t>
            </w:r>
          </w:p>
        </w:tc>
      </w:tr>
      <w:tr>
        <w:trPr>
          <w:trHeight w:val="378"/>
        </w:trPr>
        <w:tc>
          <w:tcPr>
            <w:tcW w:w="206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gridSpan w:val="3"/>
          </w:tcPr>
          <w:p>
            <w:pPr>
              <w:spacing w:after="0"/>
              <w:rPr>
                <w:sz w:val="20"/>
                <w:szCs w:val="20"/>
                <w:color w:val="auto"/>
              </w:rPr>
            </w:pPr>
            <w:r>
              <w:rPr>
                <w:rFonts w:ascii="Arial" w:cs="Arial" w:eastAsia="Arial" w:hAnsi="Arial"/>
                <w:sz w:val="18"/>
                <w:szCs w:val="18"/>
                <w:color w:val="auto"/>
              </w:rPr>
              <w:t>/s/ H. David Lester</w:t>
            </w:r>
          </w:p>
        </w:tc>
      </w:tr>
      <w:tr>
        <w:trPr>
          <w:trHeight w:val="222"/>
        </w:trPr>
        <w:tc>
          <w:tcPr>
            <w:tcW w:w="2060" w:type="dxa"/>
            <w:vAlign w:val="bottom"/>
          </w:tcPr>
          <w:p>
            <w:pPr>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 David Lester</w:t>
            </w:r>
          </w:p>
        </w:tc>
        <w:tc>
          <w:tcPr>
            <w:tcW w:w="1560" w:type="dxa"/>
            <w:vAlign w:val="bottom"/>
          </w:tcPr>
          <w:p>
            <w:pPr>
              <w:spacing w:after="0"/>
              <w:rPr>
                <w:sz w:val="19"/>
                <w:szCs w:val="19"/>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3"/>
          </w:tcPr>
          <w:p>
            <w:pPr>
              <w:spacing w:after="0"/>
              <w:rPr>
                <w:sz w:val="20"/>
                <w:szCs w:val="20"/>
                <w:color w:val="auto"/>
              </w:rPr>
            </w:pPr>
            <w:r>
              <w:rPr>
                <w:rFonts w:ascii="Arial" w:cs="Arial" w:eastAsia="Arial" w:hAnsi="Arial"/>
                <w:sz w:val="18"/>
                <w:szCs w:val="18"/>
                <w:color w:val="auto"/>
                <w:w w:val="94"/>
              </w:rPr>
              <w:t>Principal Financial Officer and Director</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gridSpan w:val="3"/>
          </w:tcPr>
          <w:p>
            <w:pPr>
              <w:spacing w:after="0"/>
              <w:rPr>
                <w:sz w:val="20"/>
                <w:szCs w:val="20"/>
                <w:color w:val="auto"/>
              </w:rPr>
            </w:pPr>
            <w:r>
              <w:rPr>
                <w:rFonts w:ascii="Arial" w:cs="Arial" w:eastAsia="Arial" w:hAnsi="Arial"/>
                <w:sz w:val="18"/>
                <w:szCs w:val="18"/>
                <w:color w:val="auto"/>
              </w:rPr>
              <w:t>March 31, 2014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2019-12-07T20:26:10Z</dcterms:created>
  <dcterms:modified xsi:type="dcterms:W3CDTF">2019-12-07T20:26:10Z</dcterms:modified>
</cp:coreProperties>
</file>