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OPTIMIZERX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Common Stock, Par Value $0.001 Per Share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68401U105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Barry L. Fischer</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Thompson Coburn LLP</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55 East Monroe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Suite 3700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Chicago, IL 60603</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(312) 346-7500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March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314960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right="48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(f) or (g),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0" w:lineRule="exact"/>
        <w:rPr>
          <w:sz w:val="24"/>
          <w:szCs w:val="24"/>
          <w:color w:val="auto"/>
        </w:rPr>
      </w:pPr>
    </w:p>
    <w:p>
      <w:pPr>
        <w:ind w:right="40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13d-7(b)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being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4"/>
          <w:szCs w:val="24"/>
          <w:color w:val="auto"/>
        </w:rPr>
      </w:pPr>
    </w:p>
    <w:p>
      <w:pPr>
        <w:ind w:left="460" w:right="4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CUSIP No. </w:t>
      </w:r>
      <w:r>
        <w:rPr>
          <w:rFonts w:ascii="Arial" w:cs="Arial" w:eastAsia="Arial" w:hAnsi="Arial"/>
          <w:sz w:val="18"/>
          <w:szCs w:val="18"/>
          <w:b w:val="1"/>
          <w:bCs w:val="1"/>
          <w:color w:val="auto"/>
        </w:rPr>
        <w:t>68401U105</w:t>
      </w:r>
    </w:p>
    <w:p>
      <w:pPr>
        <w:spacing w:after="0" w:line="148" w:lineRule="exact"/>
        <w:rPr>
          <w:sz w:val="20"/>
          <w:szCs w:val="20"/>
          <w:color w:val="auto"/>
        </w:rPr>
      </w:pPr>
    </w:p>
    <w:p>
      <w:pPr>
        <w:ind w:left="780" w:hanging="525"/>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6165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165850"/>
                    </a:xfrm>
                    <a:prstGeom prst="rect">
                      <a:avLst/>
                    </a:prstGeom>
                    <a:noFill/>
                  </pic:spPr>
                </pic:pic>
              </a:graphicData>
            </a:graphic>
          </wp:anchor>
        </w:drawing>
      </w:r>
    </w:p>
    <w:p>
      <w:pPr>
        <w:spacing w:after="0" w:line="225" w:lineRule="exact"/>
        <w:rPr>
          <w:sz w:val="20"/>
          <w:szCs w:val="20"/>
          <w:color w:val="auto"/>
        </w:rPr>
      </w:pPr>
    </w:p>
    <w:p>
      <w:pPr>
        <w:ind w:left="780" w:right="600"/>
        <w:spacing w:after="0" w:line="245" w:lineRule="auto"/>
        <w:rPr>
          <w:sz w:val="20"/>
          <w:szCs w:val="20"/>
          <w:color w:val="auto"/>
        </w:rPr>
      </w:pPr>
      <w:r>
        <w:rPr>
          <w:rFonts w:ascii="Arial" w:cs="Arial" w:eastAsia="Arial" w:hAnsi="Arial"/>
          <w:sz w:val="22"/>
          <w:szCs w:val="22"/>
          <w:color w:val="auto"/>
        </w:rPr>
        <w:t>Individual Retirement Accounts for the benefit of Ronald L. Chez, the Chez Family Foundation and Ronald L. Chez Individually</w:t>
      </w:r>
    </w:p>
    <w:p>
      <w:pPr>
        <w:spacing w:after="0" w:line="4" w:lineRule="exact"/>
        <w:rPr>
          <w:sz w:val="20"/>
          <w:szCs w:val="20"/>
          <w:color w:val="auto"/>
        </w:rPr>
      </w:pPr>
    </w:p>
    <w:p>
      <w:pPr>
        <w:ind w:left="780" w:hanging="525"/>
        <w:spacing w:after="0"/>
        <w:tabs>
          <w:tab w:leader="none" w:pos="7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780"/>
        <w:spacing w:after="0" w:line="207" w:lineRule="exact"/>
        <w:tabs>
          <w:tab w:leader="none" w:pos="15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780" w:hanging="525"/>
        <w:spacing w:after="0"/>
        <w:tabs>
          <w:tab w:leader="none" w:pos="78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780" w:hanging="525"/>
        <w:spacing w:after="0"/>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SOURCE OF FUNDS (See Instructions)</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PF</w:t>
      </w:r>
    </w:p>
    <w:p>
      <w:pPr>
        <w:spacing w:after="0" w:line="22" w:lineRule="exact"/>
        <w:rPr>
          <w:sz w:val="20"/>
          <w:szCs w:val="20"/>
          <w:color w:val="auto"/>
        </w:rPr>
      </w:pPr>
    </w:p>
    <w:p>
      <w:pPr>
        <w:ind w:left="780" w:hanging="525"/>
        <w:spacing w:after="0" w:line="207" w:lineRule="exact"/>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 xml:space="preserve">CHECK BOX IF DISCLOSURE OF LEGAL PROCEEDINGS IS REQUIRED PURSUANT TO ITEMS 2(d) or 2(e) </w:t>
      </w:r>
      <w:r>
        <w:rPr>
          <w:rFonts w:ascii="MS PGothic" w:cs="MS PGothic" w:eastAsia="MS PGothic" w:hAnsi="MS PGothic"/>
          <w:sz w:val="18"/>
          <w:szCs w:val="18"/>
          <w:color w:val="auto"/>
        </w:rPr>
        <w:t>☐</w:t>
      </w:r>
    </w:p>
    <w:p>
      <w:pPr>
        <w:spacing w:after="0" w:line="282" w:lineRule="exact"/>
        <w:rPr>
          <w:sz w:val="20"/>
          <w:szCs w:val="20"/>
          <w:color w:val="auto"/>
        </w:rPr>
      </w:pPr>
    </w:p>
    <w:p>
      <w:pPr>
        <w:ind w:left="780" w:hanging="525"/>
        <w:spacing w:after="0"/>
        <w:tabs>
          <w:tab w:leader="none" w:pos="78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United States of America</w:t>
      </w:r>
    </w:p>
    <w:p>
      <w:pPr>
        <w:spacing w:after="0" w:line="24" w:lineRule="exact"/>
        <w:rPr>
          <w:sz w:val="20"/>
          <w:szCs w:val="20"/>
          <w:color w:val="auto"/>
        </w:rPr>
      </w:pPr>
    </w:p>
    <w:p>
      <w:pPr>
        <w:ind w:left="1860" w:hanging="249"/>
        <w:spacing w:after="0"/>
        <w:tabs>
          <w:tab w:leader="none" w:pos="18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SOLE VOTING POWER</w:t>
      </w:r>
    </w:p>
    <w:p>
      <w:pPr>
        <w:spacing w:after="0" w:line="229"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00" w:type="dxa"/>
            <w:vAlign w:val="bottom"/>
          </w:tcPr>
          <w:p>
            <w:pPr>
              <w:spacing w:after="0"/>
              <w:rPr>
                <w:sz w:val="21"/>
                <w:szCs w:val="21"/>
                <w:color w:val="auto"/>
              </w:rPr>
            </w:pPr>
          </w:p>
        </w:tc>
        <w:tc>
          <w:tcPr>
            <w:tcW w:w="9660" w:type="dxa"/>
            <w:vAlign w:val="bottom"/>
          </w:tcPr>
          <w:p>
            <w:pPr>
              <w:ind w:left="80"/>
              <w:spacing w:after="0"/>
              <w:rPr>
                <w:sz w:val="20"/>
                <w:szCs w:val="20"/>
                <w:color w:val="auto"/>
              </w:rPr>
            </w:pPr>
            <w:r>
              <w:rPr>
                <w:rFonts w:ascii="Arial" w:cs="Arial" w:eastAsia="Arial" w:hAnsi="Arial"/>
                <w:sz w:val="22"/>
                <w:szCs w:val="22"/>
                <w:b w:val="1"/>
                <w:bCs w:val="1"/>
                <w:color w:val="auto"/>
              </w:rPr>
              <w:t>2,361,532</w:t>
            </w:r>
          </w:p>
        </w:tc>
        <w:tc>
          <w:tcPr>
            <w:tcW w:w="0" w:type="dxa"/>
            <w:vAlign w:val="bottom"/>
          </w:tcPr>
          <w:p>
            <w:pPr>
              <w:spacing w:after="0"/>
              <w:rPr>
                <w:sz w:val="1"/>
                <w:szCs w:val="1"/>
                <w:color w:val="auto"/>
              </w:rPr>
            </w:pPr>
          </w:p>
        </w:tc>
      </w:tr>
      <w:tr>
        <w:trPr>
          <w:trHeight w:val="4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2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9660" w:type="dxa"/>
            <w:vAlign w:val="bottom"/>
          </w:tcPr>
          <w:p>
            <w:pPr>
              <w:ind w:left="80"/>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rPr>
              <w:t>BENEFICIALLY</w:t>
            </w:r>
          </w:p>
        </w:tc>
        <w:tc>
          <w:tcPr>
            <w:tcW w:w="300" w:type="dxa"/>
            <w:vAlign w:val="bottom"/>
          </w:tcPr>
          <w:p>
            <w:pPr>
              <w:spacing w:after="0"/>
              <w:rPr>
                <w:sz w:val="18"/>
                <w:szCs w:val="18"/>
                <w:color w:val="auto"/>
              </w:rPr>
            </w:pPr>
          </w:p>
        </w:tc>
        <w:tc>
          <w:tcPr>
            <w:tcW w:w="9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21"/>
        </w:trPr>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12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966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4"/>
        </w:trPr>
        <w:tc>
          <w:tcPr>
            <w:tcW w:w="132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3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PERSON</w:t>
            </w:r>
          </w:p>
        </w:tc>
        <w:tc>
          <w:tcPr>
            <w:tcW w:w="300" w:type="dxa"/>
            <w:vAlign w:val="bottom"/>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Arial" w:cs="Arial" w:eastAsia="Arial" w:hAnsi="Arial"/>
                <w:sz w:val="22"/>
                <w:szCs w:val="22"/>
                <w:b w:val="1"/>
                <w:bCs w:val="1"/>
                <w:color w:val="auto"/>
              </w:rPr>
              <w:t>2,361,532</w:t>
            </w:r>
          </w:p>
        </w:tc>
        <w:tc>
          <w:tcPr>
            <w:tcW w:w="0" w:type="dxa"/>
            <w:vAlign w:val="bottom"/>
          </w:tcPr>
          <w:p>
            <w:pPr>
              <w:spacing w:after="0"/>
              <w:rPr>
                <w:sz w:val="1"/>
                <w:szCs w:val="1"/>
                <w:color w:val="auto"/>
              </w:rPr>
            </w:pPr>
          </w:p>
        </w:tc>
      </w:tr>
      <w:tr>
        <w:trPr>
          <w:trHeight w:val="203"/>
        </w:trPr>
        <w:tc>
          <w:tcPr>
            <w:tcW w:w="1320" w:type="dxa"/>
            <w:vAlign w:val="bottom"/>
            <w:gridSpan w:val="2"/>
          </w:tcPr>
          <w:p>
            <w:pPr>
              <w:jc w:val="center"/>
              <w:ind w:right="40"/>
              <w:spacing w:after="0" w:line="203" w:lineRule="exact"/>
              <w:rPr>
                <w:sz w:val="20"/>
                <w:szCs w:val="20"/>
                <w:color w:val="auto"/>
              </w:rPr>
            </w:pPr>
            <w:r>
              <w:rPr>
                <w:rFonts w:ascii="Arial" w:cs="Arial" w:eastAsia="Arial" w:hAnsi="Arial"/>
                <w:sz w:val="18"/>
                <w:szCs w:val="18"/>
                <w:color w:val="auto"/>
              </w:rPr>
              <w:t>WITH</w:t>
            </w:r>
          </w:p>
        </w:tc>
        <w:tc>
          <w:tcPr>
            <w:tcW w:w="300" w:type="dxa"/>
            <w:vAlign w:val="bottom"/>
          </w:tcPr>
          <w:p>
            <w:pPr>
              <w:spacing w:after="0"/>
              <w:rPr>
                <w:sz w:val="17"/>
                <w:szCs w:val="17"/>
                <w:color w:val="auto"/>
              </w:rPr>
            </w:pPr>
          </w:p>
        </w:tc>
        <w:tc>
          <w:tcPr>
            <w:tcW w:w="9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w:t>
            </w:r>
          </w:p>
        </w:tc>
        <w:tc>
          <w:tcPr>
            <w:tcW w:w="966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ind w:left="780" w:hanging="615"/>
        <w:spacing w:after="0"/>
        <w:tabs>
          <w:tab w:leader="none" w:pos="7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2,361,532</w:t>
      </w:r>
    </w:p>
    <w:p>
      <w:pPr>
        <w:spacing w:after="0" w:line="28" w:lineRule="exact"/>
        <w:rPr>
          <w:sz w:val="20"/>
          <w:szCs w:val="20"/>
          <w:color w:val="auto"/>
        </w:rPr>
      </w:pPr>
    </w:p>
    <w:p>
      <w:pPr>
        <w:ind w:left="780" w:hanging="615"/>
        <w:spacing w:after="0" w:line="207" w:lineRule="exact"/>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81" w:lineRule="exact"/>
        <w:rPr>
          <w:rFonts w:ascii="Arial" w:cs="Arial" w:eastAsia="Arial" w:hAnsi="Arial"/>
          <w:sz w:val="18"/>
          <w:szCs w:val="18"/>
          <w:b w:val="1"/>
          <w:bCs w:val="1"/>
          <w:color w:val="auto"/>
        </w:rPr>
      </w:pPr>
    </w:p>
    <w:p>
      <w:pPr>
        <w:ind w:left="780" w:hanging="615"/>
        <w:spacing w:after="0"/>
        <w:tabs>
          <w:tab w:leader="none" w:pos="7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(11)</w:t>
      </w:r>
    </w:p>
    <w:p>
      <w:pPr>
        <w:spacing w:after="0" w:line="239" w:lineRule="exact"/>
        <w:rPr>
          <w:sz w:val="20"/>
          <w:szCs w:val="20"/>
          <w:color w:val="auto"/>
        </w:rPr>
      </w:pPr>
    </w:p>
    <w:p>
      <w:pPr>
        <w:ind w:left="780"/>
        <w:spacing w:after="0"/>
        <w:rPr>
          <w:sz w:val="20"/>
          <w:szCs w:val="20"/>
          <w:color w:val="auto"/>
        </w:rPr>
      </w:pPr>
      <w:r>
        <w:rPr>
          <w:rFonts w:ascii="Arial" w:cs="Arial" w:eastAsia="Arial" w:hAnsi="Arial"/>
          <w:sz w:val="22"/>
          <w:szCs w:val="22"/>
          <w:b w:val="1"/>
          <w:bCs w:val="1"/>
          <w:color w:val="auto"/>
        </w:rPr>
        <w:t>9.8%</w:t>
      </w:r>
      <w:r>
        <w:rPr>
          <w:rFonts w:ascii="Arial" w:cs="Arial" w:eastAsia="Arial" w:hAnsi="Arial"/>
          <w:sz w:val="18"/>
          <w:szCs w:val="18"/>
          <w:color w:val="auto"/>
        </w:rPr>
        <w:t>(1)</w:t>
      </w:r>
    </w:p>
    <w:p>
      <w:pPr>
        <w:spacing w:after="0" w:line="30" w:lineRule="exact"/>
        <w:rPr>
          <w:sz w:val="20"/>
          <w:szCs w:val="20"/>
          <w:color w:val="auto"/>
        </w:rPr>
      </w:pPr>
    </w:p>
    <w:p>
      <w:pPr>
        <w:ind w:left="780" w:hanging="615"/>
        <w:spacing w:after="0"/>
        <w:tabs>
          <w:tab w:leader="none" w:pos="7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TYPE OF REPORTING PERSON (See Instructions)</w:t>
      </w:r>
    </w:p>
    <w:p>
      <w:pPr>
        <w:spacing w:after="0" w:line="245" w:lineRule="exact"/>
        <w:rPr>
          <w:sz w:val="20"/>
          <w:szCs w:val="20"/>
          <w:color w:val="auto"/>
        </w:rPr>
      </w:pPr>
    </w:p>
    <w:p>
      <w:pPr>
        <w:ind w:left="780"/>
        <w:spacing w:after="0"/>
        <w:rPr>
          <w:sz w:val="20"/>
          <w:szCs w:val="20"/>
          <w:color w:val="auto"/>
        </w:rPr>
      </w:pPr>
      <w:r>
        <w:rPr>
          <w:rFonts w:ascii="Arial" w:cs="Arial" w:eastAsia="Arial" w:hAnsi="Arial"/>
          <w:sz w:val="22"/>
          <w:szCs w:val="22"/>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See Item 5.</w:t>
      </w:r>
    </w:p>
    <w:p>
      <w:pPr>
        <w:sectPr>
          <w:pgSz w:w="11900" w:h="16838" w:orient="portrait"/>
          <w:cols w:equalWidth="0" w:num="1">
            <w:col w:w="11440"/>
          </w:cols>
          <w:pgMar w:left="240" w:top="270" w:right="219" w:bottom="1440" w:gutter="0" w:footer="0" w:header="0"/>
        </w:sectPr>
      </w:pPr>
    </w:p>
    <w:bookmarkStart w:id="2" w:name="page3"/>
    <w:bookmarkEnd w:id="2"/>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Rule 13d-2 of Regulation 13D-G of the General Rules and Regulations under the Securities Exchange Act of 1934, as amended, the undersigned Ronald L. Chez (the “Reporting Person”) hereby amends his statement on Schedule 13D dated as of February 5, 2015 (the “Schedule 13D”). This Statement constitutes Amendment No. 1 to the Schedule 13D. Unless otherwise indicated herein, there are no material changes to the information set forth in the Schedule 13D.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r>
        <w:rPr>
          <w:rFonts w:ascii="Arial" w:cs="Arial" w:eastAsia="Arial" w:hAnsi="Arial"/>
          <w:sz w:val="18"/>
          <w:szCs w:val="18"/>
          <w:color w:val="auto"/>
        </w:rPr>
        <w:t>: is hereby amended by adding the following to the end of the section:</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Reporting Person continues to believe there is significant potential in the Issuer’s electronic solutions that address patients, doctors and pharmaceutical companies; and has and intends to continue to actively work with management to assist them in reaching this potential.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Interest in Securities of the Issuer </w:t>
      </w:r>
      <w:r>
        <w:rPr>
          <w:rFonts w:ascii="Arial" w:cs="Arial" w:eastAsia="Arial" w:hAnsi="Arial"/>
          <w:sz w:val="18"/>
          <w:szCs w:val="18"/>
          <w:color w:val="auto"/>
        </w:rPr>
        <w:t>is hereby amended and restated in its entirety as follows:</w:t>
      </w:r>
    </w:p>
    <w:p>
      <w:pPr>
        <w:spacing w:after="0" w:line="121" w:lineRule="exact"/>
        <w:rPr>
          <w:sz w:val="20"/>
          <w:szCs w:val="20"/>
          <w:color w:val="auto"/>
        </w:rPr>
      </w:pPr>
    </w:p>
    <w:p>
      <w:pPr>
        <w:ind w:firstLine="464"/>
        <w:spacing w:after="0" w:line="290" w:lineRule="auto"/>
        <w:tabs>
          <w:tab w:leader="none" w:pos="7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This statement relates to 1,769,919 shares of Common Stock, as well as warrants to purchase an additional 591,613 shares of Common Stock owned by the Reporting Person more fully described in Item 5(c) below. Based on the Company’s Form 10-Q for the quarterly period ended September 30, 2014, 23,404,819 shares of Common Stock were outstanding as of November 12, 2014. Pursuant to Rule 13d-3(1)(i) under the Securities Exchange Act of 1943, as amended, for purposes of determining the percentage of beneficial ownership, reportable securities which a reporting person has the right to acquire upon a conversion of securities within 60 days are deemed to be reportable securities beneficially owned with respect to that person, as well as reportable securities issued and outstanding with respect to that issuer. Accordingly, the ownership percentage with respect to Shares the Reporting Person owns or has the right to acquire assumes that there are 23,996,432 shares of Common Stock issued and outstanding. Therefore, the 2,361,532 shares of Common Stock reported on this Schedule 13D represent approximately 9.8% of the Company’s shares issued and outstanding.</w:t>
      </w:r>
    </w:p>
    <w:p>
      <w:pPr>
        <w:spacing w:after="0" w:line="166" w:lineRule="exact"/>
        <w:rPr>
          <w:rFonts w:ascii="Arial" w:cs="Arial" w:eastAsia="Arial" w:hAnsi="Arial"/>
          <w:sz w:val="16"/>
          <w:szCs w:val="16"/>
          <w:color w:val="auto"/>
        </w:rPr>
      </w:pPr>
    </w:p>
    <w:p>
      <w:pPr>
        <w:ind w:right="400" w:firstLine="464"/>
        <w:spacing w:after="0" w:line="277"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Reporting Person has the sole power (and no shared power) to vote, dispose of or direct the disposition of the Securities and any Common Stock resulting from the exercise or conversion thereof.</w:t>
      </w:r>
    </w:p>
    <w:p>
      <w:pPr>
        <w:spacing w:after="0" w:line="170" w:lineRule="exact"/>
        <w:rPr>
          <w:rFonts w:ascii="Arial" w:cs="Arial" w:eastAsia="Arial" w:hAnsi="Arial"/>
          <w:sz w:val="18"/>
          <w:szCs w:val="18"/>
          <w:color w:val="auto"/>
        </w:rPr>
      </w:pPr>
    </w:p>
    <w:p>
      <w:pPr>
        <w:ind w:right="180" w:firstLine="464"/>
        <w:spacing w:after="0" w:line="312" w:lineRule="auto"/>
        <w:tabs>
          <w:tab w:leader="none" w:pos="7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On March 23, 2015, the Reporting Person’s individual retirement account purchased, in a private transaction, warrants to purchase 591,613 shares of Common Stock, at an exercise price of $1.20 per share. The warrants are exercisable until March 17, 2019. On March 23, 2015, the Reporting Person’s individual retirement account also purchased, in a private transaction, 45,000 shares of Common Stock at a price of $1.19 per share.</w:t>
      </w:r>
    </w:p>
    <w:p>
      <w:pPr>
        <w:spacing w:after="0" w:line="147" w:lineRule="exact"/>
        <w:rPr>
          <w:sz w:val="20"/>
          <w:szCs w:val="20"/>
          <w:color w:val="auto"/>
        </w:rPr>
      </w:pPr>
    </w:p>
    <w:p>
      <w:pPr>
        <w:ind w:right="640" w:firstLine="456"/>
        <w:spacing w:after="0" w:line="308" w:lineRule="auto"/>
        <w:rPr>
          <w:sz w:val="20"/>
          <w:szCs w:val="20"/>
          <w:color w:val="auto"/>
        </w:rPr>
      </w:pPr>
      <w:r>
        <w:rPr>
          <w:rFonts w:ascii="Arial" w:cs="Arial" w:eastAsia="Arial" w:hAnsi="Arial"/>
          <w:sz w:val="17"/>
          <w:szCs w:val="17"/>
          <w:color w:val="auto"/>
        </w:rPr>
        <w:t>In addition, since the filing of the Schedule 13D on February 5, 2015, the Reporting Person effected the following purchases of the Company’s securities, each through open market transactions, on the dates, in the amounts, and at the prices per share shown below:</w:t>
      </w:r>
    </w:p>
    <w:p>
      <w:pPr>
        <w:sectPr>
          <w:pgSz w:w="11900" w:h="16838" w:orient="portrait"/>
          <w:cols w:equalWidth="0" w:num="1">
            <w:col w:w="114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by Reporting Person’s individual retirement account: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gridSpan w:val="3"/>
            <w:vMerge w:val="restart"/>
          </w:tcPr>
          <w:p>
            <w:pPr>
              <w:jc w:val="right"/>
              <w:ind w:right="6720"/>
              <w:spacing w:after="0"/>
              <w:rPr>
                <w:sz w:val="20"/>
                <w:szCs w:val="20"/>
                <w:color w:val="auto"/>
              </w:rPr>
            </w:pPr>
            <w:r>
              <w:rPr>
                <w:rFonts w:ascii="Arial" w:cs="Arial" w:eastAsia="Arial" w:hAnsi="Arial"/>
                <w:sz w:val="14"/>
                <w:szCs w:val="14"/>
                <w:b w:val="1"/>
                <w:bCs w:val="1"/>
                <w:color w:val="auto"/>
              </w:rPr>
              <w:t>Date</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42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58"/>
        </w:trPr>
        <w:tc>
          <w:tcPr>
            <w:tcW w:w="838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7000" w:type="dxa"/>
            <w:vAlign w:val="bottom"/>
            <w:gridSpan w:val="2"/>
            <w:shd w:val="clear" w:color="auto" w:fill="CCEEFF"/>
          </w:tcPr>
          <w:p>
            <w:pPr>
              <w:jc w:val="right"/>
              <w:ind w:right="6280"/>
              <w:spacing w:after="0" w:line="203" w:lineRule="exact"/>
              <w:rPr>
                <w:sz w:val="20"/>
                <w:szCs w:val="20"/>
                <w:color w:val="auto"/>
              </w:rPr>
            </w:pPr>
            <w:r>
              <w:rPr>
                <w:rFonts w:ascii="Arial" w:cs="Arial" w:eastAsia="Arial" w:hAnsi="Arial"/>
                <w:sz w:val="18"/>
                <w:szCs w:val="18"/>
                <w:color w:val="auto"/>
                <w:w w:val="99"/>
              </w:rPr>
              <w:t>2/5/2015</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40,806</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tcPr>
          <w:p>
            <w:pPr>
              <w:jc w:val="right"/>
              <w:ind w:right="6280"/>
              <w:spacing w:after="0"/>
              <w:rPr>
                <w:sz w:val="20"/>
                <w:szCs w:val="20"/>
                <w:color w:val="auto"/>
              </w:rPr>
            </w:pPr>
            <w:r>
              <w:rPr>
                <w:rFonts w:ascii="Arial" w:cs="Arial" w:eastAsia="Arial" w:hAnsi="Arial"/>
                <w:sz w:val="18"/>
                <w:szCs w:val="18"/>
                <w:color w:val="auto"/>
                <w:w w:val="99"/>
              </w:rPr>
              <w:t>2/6/2015</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shd w:val="clear" w:color="auto" w:fill="CCEEFF"/>
          </w:tcPr>
          <w:p>
            <w:pPr>
              <w:jc w:val="right"/>
              <w:ind w:right="6280"/>
              <w:spacing w:after="0"/>
              <w:rPr>
                <w:sz w:val="20"/>
                <w:szCs w:val="20"/>
                <w:color w:val="auto"/>
              </w:rPr>
            </w:pPr>
            <w:r>
              <w:rPr>
                <w:rFonts w:ascii="Arial" w:cs="Arial" w:eastAsia="Arial" w:hAnsi="Arial"/>
                <w:sz w:val="18"/>
                <w:szCs w:val="18"/>
                <w:color w:val="auto"/>
                <w:w w:val="87"/>
              </w:rPr>
              <w:t>2/13/2015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tcPr>
          <w:p>
            <w:pPr>
              <w:jc w:val="right"/>
              <w:ind w:right="6280"/>
              <w:spacing w:after="0"/>
              <w:rPr>
                <w:sz w:val="20"/>
                <w:szCs w:val="20"/>
                <w:color w:val="auto"/>
              </w:rPr>
            </w:pPr>
            <w:r>
              <w:rPr>
                <w:rFonts w:ascii="Arial" w:cs="Arial" w:eastAsia="Arial" w:hAnsi="Arial"/>
                <w:sz w:val="18"/>
                <w:szCs w:val="18"/>
                <w:color w:val="auto"/>
                <w:w w:val="87"/>
              </w:rPr>
              <w:t>2/17/2015</w:t>
            </w:r>
          </w:p>
        </w:tc>
        <w:tc>
          <w:tcPr>
            <w:tcW w:w="560" w:type="dxa"/>
            <w:vAlign w:val="bottom"/>
          </w:tcPr>
          <w:p>
            <w:pPr>
              <w:jc w:val="right"/>
              <w:spacing w:after="0"/>
              <w:rPr>
                <w:sz w:val="20"/>
                <w:szCs w:val="20"/>
                <w:color w:val="auto"/>
              </w:rPr>
            </w:pPr>
            <w:r>
              <w:rPr>
                <w:rFonts w:ascii="Arial" w:cs="Arial" w:eastAsia="Arial" w:hAnsi="Arial"/>
                <w:sz w:val="18"/>
                <w:szCs w:val="18"/>
                <w:color w:val="auto"/>
              </w:rPr>
              <w:t>4,105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shd w:val="clear" w:color="auto" w:fill="CCEEFF"/>
          </w:tcPr>
          <w:p>
            <w:pPr>
              <w:jc w:val="right"/>
              <w:ind w:right="6280"/>
              <w:spacing w:after="0"/>
              <w:rPr>
                <w:sz w:val="20"/>
                <w:szCs w:val="20"/>
                <w:color w:val="auto"/>
              </w:rPr>
            </w:pPr>
            <w:r>
              <w:rPr>
                <w:rFonts w:ascii="Arial" w:cs="Arial" w:eastAsia="Arial" w:hAnsi="Arial"/>
                <w:sz w:val="18"/>
                <w:szCs w:val="18"/>
                <w:color w:val="auto"/>
                <w:w w:val="87"/>
              </w:rPr>
              <w:t>2/20/2015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24,600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tcPr>
          <w:p>
            <w:pPr>
              <w:jc w:val="right"/>
              <w:ind w:right="6280"/>
              <w:spacing w:after="0"/>
              <w:rPr>
                <w:sz w:val="20"/>
                <w:szCs w:val="20"/>
                <w:color w:val="auto"/>
              </w:rPr>
            </w:pPr>
            <w:r>
              <w:rPr>
                <w:rFonts w:ascii="Arial" w:cs="Arial" w:eastAsia="Arial" w:hAnsi="Arial"/>
                <w:sz w:val="18"/>
                <w:szCs w:val="18"/>
                <w:color w:val="auto"/>
                <w:w w:val="87"/>
              </w:rPr>
              <w:t>2/25/2015</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10,700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7000" w:type="dxa"/>
            <w:vAlign w:val="bottom"/>
            <w:gridSpan w:val="2"/>
            <w:shd w:val="clear" w:color="auto" w:fill="CCEEFF"/>
          </w:tcPr>
          <w:p>
            <w:pPr>
              <w:jc w:val="right"/>
              <w:ind w:right="6280"/>
              <w:spacing w:after="0"/>
              <w:rPr>
                <w:sz w:val="20"/>
                <w:szCs w:val="20"/>
                <w:color w:val="auto"/>
              </w:rPr>
            </w:pPr>
            <w:r>
              <w:rPr>
                <w:rFonts w:ascii="Arial" w:cs="Arial" w:eastAsia="Arial" w:hAnsi="Arial"/>
                <w:sz w:val="18"/>
                <w:szCs w:val="18"/>
                <w:color w:val="auto"/>
                <w:w w:val="87"/>
              </w:rPr>
              <w:t>3/13/2015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7000" w:type="dxa"/>
            <w:vAlign w:val="bottom"/>
            <w:gridSpan w:val="2"/>
          </w:tcPr>
          <w:p>
            <w:pPr>
              <w:jc w:val="right"/>
              <w:ind w:right="6280"/>
              <w:spacing w:after="0"/>
              <w:rPr>
                <w:sz w:val="20"/>
                <w:szCs w:val="20"/>
                <w:color w:val="auto"/>
              </w:rPr>
            </w:pPr>
            <w:r>
              <w:rPr>
                <w:rFonts w:ascii="Arial" w:cs="Arial" w:eastAsia="Arial" w:hAnsi="Arial"/>
                <w:sz w:val="18"/>
                <w:szCs w:val="18"/>
                <w:color w:val="auto"/>
                <w:w w:val="87"/>
              </w:rPr>
              <w:t>3/16/2015</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380" w:type="dxa"/>
            <w:vAlign w:val="bottom"/>
            <w:gridSpan w:val="3"/>
          </w:tcPr>
          <w:p>
            <w:pPr>
              <w:jc w:val="right"/>
              <w:ind w:right="4940"/>
              <w:spacing w:after="0"/>
              <w:rPr>
                <w:sz w:val="20"/>
                <w:szCs w:val="20"/>
                <w:color w:val="auto"/>
              </w:rPr>
            </w:pPr>
            <w:r>
              <w:rPr>
                <w:rFonts w:ascii="Arial" w:cs="Arial" w:eastAsia="Arial" w:hAnsi="Arial"/>
                <w:sz w:val="18"/>
                <w:szCs w:val="18"/>
                <w:color w:val="auto"/>
                <w:w w:val="90"/>
              </w:rPr>
              <w:t>Transactions by Reporting Person’s foundation:</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380" w:type="dxa"/>
            <w:vAlign w:val="bottom"/>
            <w:gridSpan w:val="3"/>
            <w:vMerge w:val="restart"/>
          </w:tcPr>
          <w:p>
            <w:pPr>
              <w:jc w:val="right"/>
              <w:ind w:right="6720"/>
              <w:spacing w:after="0"/>
              <w:rPr>
                <w:sz w:val="20"/>
                <w:szCs w:val="20"/>
                <w:color w:val="auto"/>
              </w:rPr>
            </w:pPr>
            <w:r>
              <w:rPr>
                <w:rFonts w:ascii="Arial" w:cs="Arial" w:eastAsia="Arial" w:hAnsi="Arial"/>
                <w:sz w:val="14"/>
                <w:szCs w:val="14"/>
                <w:b w:val="1"/>
                <w:bCs w:val="1"/>
                <w:color w:val="auto"/>
              </w:rPr>
              <w:t>Date</w:t>
            </w: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Shares</w:t>
            </w:r>
          </w:p>
        </w:tc>
        <w:tc>
          <w:tcPr>
            <w:tcW w:w="420" w:type="dxa"/>
            <w:vAlign w:val="bottom"/>
          </w:tcPr>
          <w:p>
            <w:pPr>
              <w:spacing w:after="0"/>
              <w:rPr>
                <w:sz w:val="24"/>
                <w:szCs w:val="2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w:t>
            </w:r>
          </w:p>
        </w:tc>
        <w:tc>
          <w:tcPr>
            <w:tcW w:w="0" w:type="dxa"/>
            <w:vAlign w:val="bottom"/>
          </w:tcPr>
          <w:p>
            <w:pPr>
              <w:spacing w:after="0"/>
              <w:rPr>
                <w:sz w:val="1"/>
                <w:szCs w:val="1"/>
                <w:color w:val="auto"/>
              </w:rPr>
            </w:pPr>
          </w:p>
        </w:tc>
      </w:tr>
      <w:tr>
        <w:trPr>
          <w:trHeight w:val="158"/>
        </w:trPr>
        <w:tc>
          <w:tcPr>
            <w:tcW w:w="8380" w:type="dxa"/>
            <w:vAlign w:val="bottom"/>
            <w:gridSpan w:val="3"/>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80" w:type="dxa"/>
            <w:vAlign w:val="bottom"/>
          </w:tcPr>
          <w:p>
            <w:pPr>
              <w:spacing w:after="0"/>
              <w:rPr>
                <w:sz w:val="17"/>
                <w:szCs w:val="17"/>
                <w:color w:val="auto"/>
              </w:rPr>
            </w:pPr>
          </w:p>
        </w:tc>
        <w:tc>
          <w:tcPr>
            <w:tcW w:w="7000" w:type="dxa"/>
            <w:vAlign w:val="bottom"/>
            <w:gridSpan w:val="2"/>
            <w:shd w:val="clear" w:color="auto" w:fill="CCEEFF"/>
          </w:tcPr>
          <w:p>
            <w:pPr>
              <w:jc w:val="right"/>
              <w:ind w:right="6280"/>
              <w:spacing w:after="0" w:line="203" w:lineRule="exact"/>
              <w:rPr>
                <w:sz w:val="20"/>
                <w:szCs w:val="20"/>
                <w:color w:val="auto"/>
              </w:rPr>
            </w:pPr>
            <w:r>
              <w:rPr>
                <w:rFonts w:ascii="Arial" w:cs="Arial" w:eastAsia="Arial" w:hAnsi="Arial"/>
                <w:sz w:val="18"/>
                <w:szCs w:val="18"/>
                <w:color w:val="auto"/>
                <w:w w:val="99"/>
              </w:rPr>
              <w:t>2/5/2015</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20,000</w:t>
            </w: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$1.1414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7000" w:type="dxa"/>
            <w:vAlign w:val="bottom"/>
            <w:gridSpan w:val="2"/>
          </w:tcPr>
          <w:p>
            <w:pPr>
              <w:jc w:val="right"/>
              <w:ind w:right="6280"/>
              <w:spacing w:after="0"/>
              <w:rPr>
                <w:sz w:val="20"/>
                <w:szCs w:val="20"/>
                <w:color w:val="auto"/>
              </w:rPr>
            </w:pPr>
            <w:r>
              <w:rPr>
                <w:rFonts w:ascii="Arial" w:cs="Arial" w:eastAsia="Arial" w:hAnsi="Arial"/>
                <w:sz w:val="18"/>
                <w:szCs w:val="18"/>
                <w:color w:val="auto"/>
                <w:w w:val="87"/>
              </w:rPr>
              <w:t>2/23/2015</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Not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 Not applicable.</w:t>
      </w:r>
    </w:p>
    <w:p>
      <w:pPr>
        <w:spacing w:after="0" w:line="32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March 25,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Barry L. Fischer</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Barry L. Fischer, attorney-in-fact for 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sectPr>
      <w:pgSz w:w="11900" w:h="16838" w:orient="portrait"/>
      <w:cols w:equalWidth="0" w:num="1">
        <w:col w:w="11240"/>
      </w:cols>
      <w:pgMar w:left="240" w:top="27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7"/>
      <w:numFmt w:val="bullet"/>
      <w:start w:val="1"/>
    </w:lvl>
  </w:abstractNum>
  <w:abstractNum w:abstractNumId="8">
    <w:nsid w:val="1F16E9E8"/>
    <w:multiLevelType w:val="hybridMultilevel"/>
    <w:lvl w:ilvl="0">
      <w:lvlJc w:val="left"/>
      <w:lvlText w:val="%1"/>
      <w:numFmt w:val="decimal"/>
      <w:start w:val="11"/>
    </w:lvl>
  </w:abstractNum>
  <w:abstractNum w:abstractNumId="9">
    <w:nsid w:val="1190CDE7"/>
    <w:multiLevelType w:val="hybridMultilevel"/>
    <w:lvl w:ilvl="0">
      <w:lvlJc w:val="left"/>
      <w:lvlText w:val="%1"/>
      <w:numFmt w:val="decimal"/>
      <w:start w:val="12"/>
    </w:lvl>
  </w:abstractNum>
  <w:abstractNum w:abstractNumId="10">
    <w:nsid w:val="66EF438D"/>
    <w:multiLevelType w:val="hybridMultilevel"/>
    <w:lvl w:ilvl="0">
      <w:lvlJc w:val="left"/>
      <w:lvlText w:val="%1"/>
      <w:numFmt w:val="decimal"/>
      <w:start w:val="14"/>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2019-12-08T21:30:46Z</dcterms:created>
  <dcterms:modified xsi:type="dcterms:W3CDTF">2019-12-08T21:30:46Z</dcterms:modified>
</cp:coreProperties>
</file>