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FORM 8-K</w:t>
            </w:r>
          </w:p>
        </w:tc>
        <w:tc>
          <w:tcPr>
            <w:tcW w:w="36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CURRENT REPORT</w:t>
            </w:r>
          </w:p>
        </w:tc>
        <w:tc>
          <w:tcPr>
            <w:tcW w:w="360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Pursuant to Section 13 or 15(d) of</w:t>
            </w:r>
          </w:p>
        </w:tc>
        <w:tc>
          <w:tcPr>
            <w:tcW w:w="360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6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8300" w:type="dxa"/>
            <w:vAlign w:val="bottom"/>
            <w:gridSpan w:val="7"/>
          </w:tcPr>
          <w:p>
            <w:pPr>
              <w:jc w:val="center"/>
              <w:ind w:right="2850"/>
              <w:spacing w:after="0"/>
              <w:rPr>
                <w:sz w:val="20"/>
                <w:szCs w:val="20"/>
                <w:color w:val="auto"/>
              </w:rPr>
            </w:pPr>
            <w:r>
              <w:rPr>
                <w:rFonts w:ascii="Arial" w:cs="Arial" w:eastAsia="Arial" w:hAnsi="Arial"/>
                <w:sz w:val="18"/>
                <w:szCs w:val="18"/>
                <w:b w:val="1"/>
                <w:bCs w:val="1"/>
                <w:color w:val="auto"/>
                <w:w w:val="91"/>
              </w:rPr>
              <w:t>Date of Report (Date of Earliest Event Reported): March 8, 2023</w:t>
            </w:r>
          </w:p>
        </w:tc>
      </w:tr>
      <w:tr>
        <w:trPr>
          <w:trHeight w:val="418"/>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OptimizeRx Corporation</w:t>
            </w:r>
          </w:p>
        </w:tc>
        <w:tc>
          <w:tcPr>
            <w:tcW w:w="360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(Exact name of registrant as specified in charter)</w:t>
            </w:r>
          </w:p>
        </w:tc>
        <w:tc>
          <w:tcPr>
            <w:tcW w:w="3600" w:type="dxa"/>
            <w:vAlign w:val="bottom"/>
          </w:tcPr>
          <w:p>
            <w:pPr>
              <w:spacing w:after="0"/>
              <w:rPr>
                <w:sz w:val="20"/>
                <w:szCs w:val="20"/>
                <w:color w:val="auto"/>
              </w:rPr>
            </w:pPr>
          </w:p>
        </w:tc>
      </w:tr>
      <w:tr>
        <w:trPr>
          <w:trHeight w:val="439"/>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Nevada</w:t>
            </w:r>
          </w:p>
        </w:tc>
        <w:tc>
          <w:tcPr>
            <w:tcW w:w="4500" w:type="dxa"/>
            <w:vAlign w:val="bottom"/>
            <w:gridSpan w:val="5"/>
          </w:tcPr>
          <w:p>
            <w:pPr>
              <w:jc w:val="center"/>
              <w:ind w:left="790"/>
              <w:spacing w:after="0"/>
              <w:rPr>
                <w:sz w:val="20"/>
                <w:szCs w:val="20"/>
                <w:color w:val="auto"/>
              </w:rPr>
            </w:pPr>
            <w:r>
              <w:rPr>
                <w:rFonts w:ascii="Arial" w:cs="Arial" w:eastAsia="Arial" w:hAnsi="Arial"/>
                <w:sz w:val="18"/>
                <w:szCs w:val="18"/>
                <w:b w:val="1"/>
                <w:bCs w:val="1"/>
                <w:color w:val="auto"/>
                <w:w w:val="90"/>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2940" w:type="dxa"/>
            <w:vAlign w:val="bottom"/>
            <w:tcBorders>
              <w:top w:val="single" w:sz="8" w:color="auto"/>
            </w:tcBorders>
          </w:tcPr>
          <w:p>
            <w:pPr>
              <w:jc w:val="center"/>
              <w:ind w:left="550"/>
              <w:spacing w:after="0" w:line="201" w:lineRule="exact"/>
              <w:rPr>
                <w:sz w:val="20"/>
                <w:szCs w:val="20"/>
                <w:color w:val="auto"/>
              </w:rPr>
            </w:pPr>
            <w:r>
              <w:rPr>
                <w:rFonts w:ascii="Arial" w:cs="Arial" w:eastAsia="Arial" w:hAnsi="Arial"/>
                <w:sz w:val="18"/>
                <w:szCs w:val="18"/>
                <w:color w:val="auto"/>
                <w:w w:val="92"/>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940" w:type="dxa"/>
            <w:vAlign w:val="bottom"/>
          </w:tcPr>
          <w:p>
            <w:pPr>
              <w:jc w:val="center"/>
              <w:ind w:left="590"/>
              <w:spacing w:after="0"/>
              <w:rPr>
                <w:sz w:val="20"/>
                <w:szCs w:val="20"/>
                <w:color w:val="auto"/>
              </w:rPr>
            </w:pPr>
            <w:r>
              <w:rPr>
                <w:rFonts w:ascii="Arial" w:cs="Arial" w:eastAsia="Arial" w:hAnsi="Arial"/>
                <w:sz w:val="18"/>
                <w:szCs w:val="18"/>
                <w:color w:val="auto"/>
                <w:w w:val="93"/>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640" w:type="dxa"/>
            <w:vAlign w:val="bottom"/>
            <w:gridSpan w:val="7"/>
          </w:tcPr>
          <w:p>
            <w:pPr>
              <w:jc w:val="center"/>
              <w:ind w:right="212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60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8, 2023, OptimizeRx Corporation issued a press release announcing preliminary financial results for the fourth quarter and year ended December 31, 2022, providing Key Performance Indicators and initial 2023 guidance. A copy of the press release is furnished with this Current Report on Form 8-K as Exhibit 99.1 and is incorporated herein by reference.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March 8, 2023</w:t>
      </w:r>
    </w:p>
    <w:p>
      <w:pPr>
        <w:spacing w:after="0" w:line="23" w:lineRule="exact"/>
        <w:rPr>
          <w:sz w:val="20"/>
          <w:szCs w:val="20"/>
          <w:color w:val="auto"/>
        </w:rPr>
      </w:pPr>
    </w:p>
    <w:p>
      <w:pPr>
        <w:ind w:left="5580" w:right="4280" w:hanging="5572"/>
        <w:spacing w:after="0" w:line="761"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Arial" w:cs="Arial" w:eastAsia="Arial" w:hAnsi="Arial"/>
                <w:sz w:val="18"/>
                <w:szCs w:val="18"/>
                <w:b w:val="1"/>
                <w:bCs w:val="1"/>
                <w:color w:val="auto"/>
              </w:rPr>
              <w:t>OPTIMIZERX CORPORATION</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Date: March 8, 2023</w:t>
            </w:r>
          </w:p>
        </w:tc>
        <w:tc>
          <w:tcPr>
            <w:tcW w:w="3780" w:type="dxa"/>
            <w:vAlign w:val="bottom"/>
          </w:tcPr>
          <w:p>
            <w:pPr>
              <w:ind w:left="32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202"/>
        </w:trPr>
        <w:tc>
          <w:tcPr>
            <w:tcW w:w="3540" w:type="dxa"/>
            <w:vAlign w:val="bottom"/>
          </w:tcPr>
          <w:p>
            <w:pPr>
              <w:spacing w:after="0"/>
              <w:rPr>
                <w:sz w:val="17"/>
                <w:szCs w:val="17"/>
                <w:color w:val="auto"/>
              </w:rPr>
            </w:pPr>
          </w:p>
        </w:tc>
        <w:tc>
          <w:tcPr>
            <w:tcW w:w="3780" w:type="dxa"/>
            <w:vAlign w:val="bottom"/>
          </w:tcPr>
          <w:p>
            <w:pPr>
              <w:ind w:left="32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Edward Stelmakh</w:t>
            </w:r>
          </w:p>
        </w:tc>
      </w:tr>
      <w:tr>
        <w:trPr>
          <w:trHeight w:val="230"/>
        </w:trPr>
        <w:tc>
          <w:tcPr>
            <w:tcW w:w="3540" w:type="dxa"/>
            <w:vAlign w:val="bottom"/>
          </w:tcPr>
          <w:p>
            <w:pPr>
              <w:spacing w:after="0"/>
              <w:rPr>
                <w:sz w:val="20"/>
                <w:szCs w:val="20"/>
                <w:color w:val="auto"/>
              </w:rPr>
            </w:pPr>
          </w:p>
        </w:tc>
        <w:tc>
          <w:tcPr>
            <w:tcW w:w="3780" w:type="dxa"/>
            <w:vAlign w:val="bottom"/>
          </w:tcPr>
          <w:p>
            <w:pPr>
              <w:ind w:left="32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168910</wp:posOffset>
            </wp:positionV>
            <wp:extent cx="261429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42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Reports Fourth Quarter and Full Year 2022 Financial Results</w:t>
      </w:r>
    </w:p>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Q4 revenue of $19.7 million, down 3% year-over-year and up 30% quarter-over-quarter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Q4 gross profit increased 1% year-over-year to $12.5 million as gross margins increased from 61% to 63%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$10.7 million in cash flow from operations in 2022</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1.2 million shares during 2022 at an average price of $16.49 per share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Exited 2022 with six Real-World Data Artificial Intelligence (RWD-AI) deals</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ROCHESTER, Mich. – March 8, 2023 – </w:t>
      </w:r>
      <w:r>
        <w:rPr>
          <w:rFonts w:ascii="Arial" w:cs="Arial" w:eastAsia="Arial" w:hAnsi="Arial"/>
          <w:sz w:val="18"/>
          <w:szCs w:val="18"/>
          <w:color w:val="auto"/>
        </w:rPr>
        <w:t>OptimizeRx Corp. (the “Company”) (Nasdaq: OPRX), a leading provider of point-of-care technology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helping patients start and stay on therapy, reported results for the fourth quarter and full year ended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8"/>
              </w:rPr>
              <w:t>Twelve Months Ended</w:t>
            </w:r>
          </w:p>
        </w:tc>
      </w:t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Key Performance Indicators (KPIs)*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revenue per top 20 pharmaceutical manufacturer</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2,143,296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2,484,557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Percent of top 20 pharmaceutical manufacturers that are customers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 of total revenue attributable to top 20 pharmaceutical manufacturers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Net revenue retention</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per average full-time employee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606,312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729,674</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Will Febbo, OptimizeRx CEO commented, “Macro headwinds made 2022 an extremely challenging year. As a result, we are taking a conservative approach to guidance for 2023. However, during 2022, we made the decision to skate to where the puck is going to be and strengthened our platform and team around advanced/smarter solutions, particularly our RWD-AI offering. We believe this is bearing fruit, which is best evidenced by our exiting 2022 with six RWD-AI deals. Even more encouraging is the RWD-AI pipeline that's been built in recent months, which now encompasses several dozen deals. I believe our current revenue backlog, and the momentum we are currently seeing, positions the Company to return to at least double digit revenue growth this year.</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be at the nexus of a paradigm shift in health technology enablement. The culmination of our technology investments, partnerships and acquisitions in combination with the largest in workflow point of care network in the U.S., has created a robust single stop, total solution suite that is delivering care focused engagement between life science organizations, doctors and patients while driving a superior ROI for the brands that we serve. Looking ahead, we see our land and expand strategy continue to capture industry whitespace over the next three to five years which we believe will result in the Company growing to multiples of its current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in the fourth quarter of 2022 decreased 3% to $19.7 million, from $20.3 million in the same period of 2021, with the full year of 2022 up 2% as compared to the same year-ago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in the fourth quarter of 2022 increased 1% year-over-year to $12.5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loss totaled $(0.3) million or $(0.02) per basic and diluted share in the fourth quarter.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net income in the fourth quarter totaled $4.4 million or $0.25 per fully diluted shares outstanding. (see definition of this non-GAAP measure and reconciliation to GAAP, below).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Completed our 2022 share repurchase program and repurchased 1,214,398 shares during 2022 at an average price of $16.49 per share</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cash equivalents and short-term investments totaled $74.1 million as of December 31, 2022, as compared to $78.8 million as of September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the full year 2023, the Company expects net revenues to increase at least 10% year-over-year, and gross margins to be between 58% and 62%.</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OptimizeRx is providing revenue guidance for its fiscal first quarter ending March 31, 2023 and is looking for revenue to come in between $11.5 million and $13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question-and-answer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March 8,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 access: https://viavid.webcasts.com/starthere.jsp?ei=1600324&amp;tp_key=1bf1fbca3f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1-888-886-7786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1-416-764-8658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26399560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call the conference telephone number five minutes prior to the start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remain available for 12 months via the Investors section of the OptimizeRx website at www.optimizerx.com/investors.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earnings release includes a presentation of non-GAAP net income and non-GAAP net income per diluted share or non-GAAP EPS, both of which are non-GAAP financial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defines non-GAAP net income as GAAP net income (loss) with an adjustment to add back depreciation, amortization, stock-based compensation, acquisition expenses, income or loss related to the fair value of contingent consideration, and deferred income taxes. Non-GAAP EPS is defined as non-GAAP net income (loss) divided by the number of weighted average shares outstanding on a diluted basis. The Company has provided non-GAAP financial measures to aid investors in better understanding its performance. Management believes that these non-GAAP financial measures provide additional insight into the operations and cash flow of the Company.</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of varying available valuation methodologies, subjective assumptions and the variety of equity instruments that can impact a Company’s non-cash operating expenses, management believes that providing non-GAAP financial measures that exclude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non-GAAP net income and non-GAAP EPS measures may not provide information that is directly comparable to that provided by other companies in the Company’s industry, as other companies in the industry may calculate such non-GAAP financial results differently. The Company’s non-GAAP net income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“Reconciliation of Non-GAAP to GAAP Financial Measures,” included below, provides a reconciliation of Non-GAAP net income and Non-GAAP EPS for the fourth quarter and full year ended December 31, 2022 and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Key Performance Indicators*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Top 20 pharmaceutical manufacturers: </w:t>
      </w:r>
      <w:r>
        <w:rPr>
          <w:rFonts w:ascii="Arial" w:cs="Arial" w:eastAsia="Arial" w:hAnsi="Arial"/>
          <w:sz w:val="18"/>
          <w:szCs w:val="18"/>
          <w:color w:val="auto"/>
        </w:rPr>
        <w:t>Top 20 pharmaceutical manufacturers are based on Fierce Pharma’s “The top 20 pharma companies by 2020</w:t>
      </w:r>
      <w:r>
        <w:rPr>
          <w:rFonts w:ascii="Arial" w:cs="Arial" w:eastAsia="Arial" w:hAnsi="Arial"/>
          <w:sz w:val="18"/>
          <w:szCs w:val="18"/>
          <w:b w:val="1"/>
          <w:bCs w:val="1"/>
          <w:color w:val="auto"/>
        </w:rPr>
        <w:t xml:space="preserve"> </w:t>
      </w:r>
      <w:r>
        <w:rPr>
          <w:rFonts w:ascii="Arial" w:cs="Arial" w:eastAsia="Arial" w:hAnsi="Arial"/>
          <w:sz w:val="18"/>
          <w:szCs w:val="18"/>
          <w:color w:val="auto"/>
        </w:rPr>
        <w:t>revenue.”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Net revenue retention</w:t>
      </w:r>
      <w:r>
        <w:rPr>
          <w:rFonts w:ascii="Arial" w:cs="Arial" w:eastAsia="Arial" w:hAnsi="Arial"/>
          <w:sz w:val="18"/>
          <w:szCs w:val="18"/>
          <w:color w:val="auto"/>
        </w:rPr>
        <w:t>: Net revenue retention is a comparison of revenue generated from all clients in the previous period to total revenue generated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clients in the following year (i.e., excludes new client relationships for the most recent year).</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Revenue per average Full Time Employee: </w:t>
      </w:r>
      <w:r>
        <w:rPr>
          <w:rFonts w:ascii="Arial" w:cs="Arial" w:eastAsia="Arial" w:hAnsi="Arial"/>
          <w:sz w:val="18"/>
          <w:szCs w:val="18"/>
          <w:color w:val="auto"/>
        </w:rPr>
        <w:t>We define revenue per average full-time employee (FTE) as total revenue over the last 12 months (LTM)</w:t>
      </w:r>
      <w:r>
        <w:rPr>
          <w:rFonts w:ascii="Arial" w:cs="Arial" w:eastAsia="Arial" w:hAnsi="Arial"/>
          <w:sz w:val="18"/>
          <w:szCs w:val="18"/>
          <w:b w:val="1"/>
          <w:bCs w:val="1"/>
          <w:color w:val="auto"/>
        </w:rPr>
        <w:t xml:space="preserve"> </w:t>
      </w:r>
      <w:r>
        <w:rPr>
          <w:rFonts w:ascii="Arial" w:cs="Arial" w:eastAsia="Arial" w:hAnsi="Arial"/>
          <w:sz w:val="18"/>
          <w:szCs w:val="18"/>
          <w:color w:val="auto"/>
        </w:rPr>
        <w:t>divided by the average number of employees over the LTM, which is calculated by taking our total number of FTEs at the end of the prior year period by our total FTE headcount at the end of the most recent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OptimizeRx provides best-in-class health technology that enables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digital point-of-care network, OptimizeRx helps patients start and stay on their medications.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and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risks summarized in the Company’s Annual Report on Form 10-K for the fiscal year ended December 31, 2021, its subsequent Quarterly Reports on Form 10-Q, and its other filings with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Andy D’Silva, SVP Corporate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adsilva@optimizerx.com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80" w:type="dxa"/>
            <w:vAlign w:val="bottom"/>
          </w:tcPr>
          <w:p>
            <w:pPr>
              <w:ind w:left="39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18,208,685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84,681,770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55,931,821</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22,155,301</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24,800,585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2,280,828</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5,630,655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98,576,635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115,113,010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137,448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143,818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22,673,820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14,740,031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7,702,895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4,589,126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1,940,178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2,155,026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use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235,320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328,820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3,379,838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3,902,502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deposits and other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5,051</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12,859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35,937,102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25,728,364</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134,651,185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140,985,192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1,549,979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606,808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2,601,246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2,902,836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3,990,440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4,378,216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89,902</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90,982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164,309</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1,389,907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8,395,876</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9,368,749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Lease liabilities, net of current portion</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144,532</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236,726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8,540,408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9,605,475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 (See Note 15)</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0"/>
              </w:rPr>
              <w:t>Preferred stock, $0.001 par value, 10,000,000 shares authorized, none issued and outstanding at December 31, 2022</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and 2021,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$0.001 par value, 166,666,667 shares authorized, 18,288,571 and 17,860,975 shares issued at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2022 and 2021,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18,289</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5"/>
              </w:rPr>
              <w:t>Treasury stock, $0.001 par value, 1,214,398 and none purchased at December 31, 2022 and 2021, respectively</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(1,214)</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172,785,800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166,615,514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4"/>
                <w:szCs w:val="14"/>
                <w:color w:val="auto"/>
              </w:rPr>
            </w:pPr>
          </w:p>
        </w:tc>
        <w:tc>
          <w:tcPr>
            <w:tcW w:w="1180" w:type="dxa"/>
            <w:vAlign w:val="bottom"/>
            <w:gridSpan w:val="2"/>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060" w:type="dxa"/>
            <w:vAlign w:val="bottom"/>
            <w:gridSpan w:val="3"/>
          </w:tcPr>
          <w:p>
            <w:pPr>
              <w:jc w:val="right"/>
              <w:ind w:right="4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8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tcPr>
          <w:p>
            <w:pPr>
              <w:jc w:val="right"/>
              <w:ind w:right="220"/>
              <w:spacing w:after="0" w:line="68" w:lineRule="exact"/>
              <w:rPr>
                <w:sz w:val="20"/>
                <w:szCs w:val="20"/>
                <w:color w:val="auto"/>
              </w:rPr>
            </w:pPr>
            <w:r>
              <w:rPr>
                <w:rFonts w:ascii="Arial" w:cs="Arial" w:eastAsia="Arial" w:hAnsi="Arial"/>
                <w:sz w:val="7"/>
                <w:szCs w:val="7"/>
                <w:color w:val="auto"/>
              </w:rPr>
              <w:t>(46,692,098</w:t>
            </w:r>
          </w:p>
        </w:tc>
        <w:tc>
          <w:tcPr>
            <w:tcW w:w="160" w:type="dxa"/>
            <w:vAlign w:val="bottom"/>
          </w:tcPr>
          <w:p>
            <w:pPr>
              <w:spacing w:after="0"/>
              <w:rPr>
                <w:sz w:val="6"/>
                <w:szCs w:val="6"/>
                <w:color w:val="auto"/>
              </w:rPr>
            </w:pPr>
          </w:p>
        </w:tc>
        <w:tc>
          <w:tcPr>
            <w:tcW w:w="1060" w:type="dxa"/>
            <w:vAlign w:val="bottom"/>
            <w:gridSpan w:val="3"/>
          </w:tcPr>
          <w:p>
            <w:pPr>
              <w:jc w:val="right"/>
              <w:ind w:right="100"/>
              <w:spacing w:after="0" w:line="68" w:lineRule="exact"/>
              <w:rPr>
                <w:sz w:val="20"/>
                <w:szCs w:val="20"/>
                <w:color w:val="auto"/>
              </w:rPr>
            </w:pPr>
            <w:r>
              <w:rPr>
                <w:rFonts w:ascii="Arial" w:cs="Arial" w:eastAsia="Arial" w:hAnsi="Arial"/>
                <w:sz w:val="7"/>
                <w:szCs w:val="7"/>
                <w:color w:val="auto"/>
              </w:rPr>
              <w:t>(35,253,658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126,110,777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131,379,717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134,651,185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140,985,192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3"/>
              </w:rPr>
              <w:t>For the year</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For the year</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6"/>
              </w:rPr>
              <w:t>ended</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62,450,156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61,292,598</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23,483,336</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25,654,384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38,966,820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35,638,214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15,745,822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5,491,957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noncash lease expense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2,022,029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2,086,454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33,489,707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27,698,703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51,257,558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35,277,114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Income (loss) from operations</w:t>
            </w:r>
          </w:p>
        </w:tc>
        <w:tc>
          <w:tcPr>
            <w:tcW w:w="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w w:val="99"/>
              </w:rPr>
              <w:t>(12,290,738)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361,100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852,298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16,979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(11,438,440)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(11,438,440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17,783,992</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17,228,019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17,783,992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17,690,489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per share – basic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per share – 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For the year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  (11,438,440)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378,079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2,022,029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1,965,325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bad debt reserve</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363,512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80,000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15,745,822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5,491,957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2,281,773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(6,994,880)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2,650,951</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(1,174,044)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943,171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(387,776)</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(591,652)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(301,592)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482,475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operating lease liabilities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(3,891)</w:t>
            </w: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(1,225,598)</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1,104,112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10,654,078</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726,039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(81,005)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(100,322)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EvinceMed acquisition</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(2,000,000)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short-term investments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(55,931,821)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Acquisition of intangible assets, including intellectual property rights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(1,830)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(21,511)</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(161,730)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(364,166)</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(58,176,386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(485,999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ind w:left="180" w:right="2180" w:hanging="161"/>
        <w:spacing w:after="0" w:line="250" w:lineRule="auto"/>
        <w:rPr>
          <w:sz w:val="20"/>
          <w:szCs w:val="20"/>
          <w:color w:val="auto"/>
        </w:rPr>
      </w:pPr>
      <w:r>
        <w:rPr>
          <w:rFonts w:ascii="Arial" w:cs="Arial" w:eastAsia="Arial" w:hAnsi="Arial"/>
          <w:sz w:val="18"/>
          <w:szCs w:val="18"/>
          <w:b w:val="1"/>
          <w:bCs w:val="1"/>
          <w:color w:val="auto"/>
        </w:rPr>
        <w:t xml:space="preserve">CASH FLOWS (USED IN ) / PROVIDED BY FINANCING ACTIVITIES: </w:t>
      </w:r>
      <w:r>
        <w:rPr>
          <w:rFonts w:ascii="Arial" w:cs="Arial" w:eastAsia="Arial" w:hAnsi="Arial"/>
          <w:sz w:val="18"/>
          <w:szCs w:val="18"/>
          <w:color w:val="auto"/>
        </w:rPr>
        <w:t>Proceeds from public offering of common stock, net of offering costs 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right="2100"/>
        <w:spacing w:after="0" w:line="255" w:lineRule="auto"/>
        <w:rPr>
          <w:sz w:val="20"/>
          <w:szCs w:val="20"/>
          <w:color w:val="auto"/>
        </w:rPr>
      </w:pPr>
      <w:r>
        <w:rPr>
          <w:rFonts w:ascii="Arial" w:cs="Arial" w:eastAsia="Arial" w:hAnsi="Arial"/>
          <w:sz w:val="18"/>
          <w:szCs w:val="18"/>
          <w:color w:val="auto"/>
        </w:rPr>
        <w:t>Proceeds from exercise of stock options, net of cash paid for withholding taxes Payment of contingent consideration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right="2220"/>
        <w:spacing w:after="0" w:line="266" w:lineRule="auto"/>
        <w:rPr>
          <w:sz w:val="20"/>
          <w:szCs w:val="20"/>
          <w:color w:val="auto"/>
        </w:rPr>
      </w:pPr>
      <w:r>
        <w:rPr>
          <w:rFonts w:ascii="Arial" w:cs="Arial" w:eastAsia="Arial" w:hAnsi="Arial"/>
          <w:sz w:val="18"/>
          <w:szCs w:val="18"/>
          <w:b w:val="1"/>
          <w:bCs w:val="1"/>
          <w:color w:val="auto"/>
        </w:rPr>
        <w:t>NET (DECREASE) / INCREASE IN CASH AND CASH EQUIVALENTS 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70,671,536</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(20,024,258)—</w:t>
      </w:r>
    </w:p>
    <w:p>
      <w:pPr>
        <w:spacing w:after="0" w:line="9"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7"/>
          <w:szCs w:val="17"/>
          <w:color w:val="auto"/>
        </w:rPr>
        <w:t>1,073,481</w:t>
      </w:r>
      <w:r>
        <w:rPr>
          <w:sz w:val="20"/>
          <w:szCs w:val="20"/>
          <w:color w:val="auto"/>
        </w:rPr>
        <w:tab/>
      </w:r>
      <w:r>
        <w:rPr>
          <w:rFonts w:ascii="Arial" w:cs="Arial" w:eastAsia="Arial" w:hAnsi="Arial"/>
          <w:sz w:val="17"/>
          <w:szCs w:val="17"/>
          <w:color w:val="auto"/>
        </w:rPr>
        <w:t>4,864,231</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(1,610,813)</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(18,950,777)</w:t>
      </w:r>
      <w:r>
        <w:rPr>
          <w:rFonts w:ascii="Arial" w:cs="Arial" w:eastAsia="Arial" w:hAnsi="Arial"/>
          <w:sz w:val="16"/>
          <w:szCs w:val="16"/>
          <w:color w:val="auto"/>
        </w:rPr>
        <w:t>73,924,954</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(66,473,085)</w:t>
      </w:r>
      <w:r>
        <w:rPr>
          <w:rFonts w:ascii="Arial" w:cs="Arial" w:eastAsia="Arial" w:hAnsi="Arial"/>
          <w:sz w:val="16"/>
          <w:szCs w:val="16"/>
          <w:color w:val="auto"/>
        </w:rPr>
        <w:t>74,164,994</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84,681,770</w:t>
      </w:r>
      <w:r>
        <w:rPr>
          <w:rFonts w:ascii="Arial" w:cs="Arial" w:eastAsia="Arial" w:hAnsi="Arial"/>
          <w:sz w:val="16"/>
          <w:szCs w:val="16"/>
          <w:color w:val="auto"/>
        </w:rPr>
        <w:t>10,516,776</w:t>
      </w:r>
    </w:p>
    <w:p>
      <w:pPr>
        <w:spacing w:after="0" w:line="62" w:lineRule="exact"/>
        <w:rPr>
          <w:sz w:val="20"/>
          <w:szCs w:val="20"/>
          <w:color w:val="auto"/>
        </w:rPr>
      </w:pPr>
    </w:p>
    <w:p>
      <w:pPr>
        <w:spacing w:after="0"/>
        <w:tabs>
          <w:tab w:leader="none" w:pos="300" w:val="left"/>
          <w:tab w:leader="none" w:pos="1320" w:val="left"/>
          <w:tab w:leader="none" w:pos="1620" w:val="left"/>
        </w:tabs>
        <w:rPr>
          <w:sz w:val="20"/>
          <w:szCs w:val="20"/>
          <w:color w:val="auto"/>
        </w:rPr>
      </w:pPr>
      <w:r>
        <w:rPr>
          <w:rFonts w:ascii="Arial" w:cs="Arial" w:eastAsia="Arial" w:hAnsi="Arial"/>
          <w:sz w:val="18"/>
          <w:szCs w:val="18"/>
          <w:color w:val="auto"/>
        </w:rPr>
        <w:t>$</w:t>
        <w:tab/>
        <w:t>18,208,685</w:t>
        <w:tab/>
        <w:t>$</w:t>
      </w:r>
      <w:r>
        <w:rPr>
          <w:sz w:val="20"/>
          <w:szCs w:val="20"/>
          <w:color w:val="auto"/>
        </w:rPr>
        <w:tab/>
      </w:r>
      <w:r>
        <w:rPr>
          <w:rFonts w:ascii="Arial" w:cs="Arial" w:eastAsia="Arial" w:hAnsi="Arial"/>
          <w:sz w:val="16"/>
          <w:szCs w:val="16"/>
          <w:color w:val="auto"/>
        </w:rPr>
        <w:t>84,681,770</w:t>
      </w:r>
    </w:p>
    <w:p>
      <w:pPr>
        <w:spacing w:after="0" w:line="23"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86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Reduction of EvinceMed purchase price for amounts previously paid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708,334</w:t>
            </w: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Shares issued in connection with acquisition</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9,374,455</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2960"/>
              <w:spacing w:after="0"/>
              <w:rPr>
                <w:sz w:val="20"/>
                <w:szCs w:val="20"/>
                <w:color w:val="auto"/>
              </w:rPr>
            </w:pPr>
            <w:r>
              <w:rPr>
                <w:rFonts w:ascii="Arial" w:cs="Arial" w:eastAsia="Arial" w:hAnsi="Arial"/>
                <w:sz w:val="18"/>
                <w:szCs w:val="18"/>
                <w:color w:val="auto"/>
                <w:w w:val="95"/>
              </w:rPr>
              <w:t>The accompanying notes are an integral part of these financial statements.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For the Three Months</w:t>
            </w:r>
          </w:p>
        </w:tc>
        <w:tc>
          <w:tcPr>
            <w:tcW w:w="160" w:type="dxa"/>
            <w:vAlign w:val="bottom"/>
          </w:tcPr>
          <w:p>
            <w:pPr>
              <w:spacing w:after="0"/>
              <w:rPr>
                <w:sz w:val="18"/>
                <w:szCs w:val="18"/>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For the Twelve Months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Ended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20"/>
                <w:szCs w:val="20"/>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(11,438,440)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456,545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506,279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2,022,029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2,086,452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4,269,160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2,879,759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15,745,822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5,491,957</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Acquisition expense</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19,739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4,399,869</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4,009,500</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6,349,150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7,956,488</w:t>
            </w:r>
          </w:p>
        </w:tc>
        <w:tc>
          <w:tcPr>
            <w:tcW w:w="0" w:type="dxa"/>
            <w:vAlign w:val="bottom"/>
          </w:tcPr>
          <w:p>
            <w:pPr>
              <w:spacing w:after="0"/>
              <w:rPr>
                <w:sz w:val="1"/>
                <w:szCs w:val="1"/>
                <w:color w:val="auto"/>
              </w:rPr>
            </w:pPr>
          </w:p>
        </w:tc>
      </w:tr>
      <w:tr>
        <w:trPr>
          <w:trHeight w:val="21"/>
        </w:trPr>
        <w:tc>
          <w:tcPr>
            <w:tcW w:w="4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 per share</w:t>
            </w:r>
          </w:p>
        </w:tc>
        <w:tc>
          <w:tcPr>
            <w:tcW w:w="1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w:t>
            </w:r>
          </w:p>
        </w:tc>
        <w:tc>
          <w:tcPr>
            <w:tcW w:w="18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0"/>
                <w:szCs w:val="20"/>
                <w:color w:val="auto"/>
              </w:rPr>
            </w:pPr>
            <w:r>
              <w:rPr>
                <w:rFonts w:ascii="Arial" w:cs="Arial" w:eastAsia="Arial" w:hAnsi="Arial"/>
                <w:sz w:val="18"/>
                <w:szCs w:val="18"/>
                <w:color w:val="auto"/>
              </w:rPr>
              <w:t>Diluted</w:t>
            </w:r>
          </w:p>
        </w:tc>
        <w:tc>
          <w:tcPr>
            <w:tcW w:w="1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17,285,777</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18,410,160</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18,048,477</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17,690,489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2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emdash "/>
      <w:numFmt w:val="bullet"/>
      <w:start w:val="1"/>
    </w:lvl>
  </w:abstractNum>
  <w:abstractNum w:abstractNumId="5">
    <w:nsid w:val="507ED7AB"/>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2023-03-08T15:45:49Z</dcterms:created>
  <dcterms:modified xsi:type="dcterms:W3CDTF">2023-03-08T15:45:49Z</dcterms:modified>
</cp:coreProperties>
</file>