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920" w:right="2320" w:hanging="1592"/>
        <w:spacing w:after="0" w:line="481" w:lineRule="auto"/>
        <w:tabs>
          <w:tab w:leader="none" w:pos="25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2022</w:t>
      </w:r>
    </w:p>
    <w:p>
      <w:pPr>
        <w:spacing w:after="0" w:line="34" w:lineRule="exact"/>
        <w:rPr>
          <w:rFonts w:ascii="MS PGothic" w:cs="MS PGothic" w:eastAsia="MS PGothic" w:hAnsi="MS PGothic"/>
          <w:sz w:val="18"/>
          <w:szCs w:val="18"/>
          <w:color w:val="auto"/>
        </w:rPr>
      </w:pPr>
    </w:p>
    <w:p>
      <w:pPr>
        <w:ind w:left="3500" w:right="2580" w:hanging="902"/>
        <w:spacing w:after="0" w:line="527" w:lineRule="auto"/>
        <w:tabs>
          <w:tab w:leader="none" w:pos="2810"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95"/>
        </w:trPr>
        <w:tc>
          <w:tcPr>
            <w:tcW w:w="7680" w:type="dxa"/>
            <w:vAlign w:val="bottom"/>
            <w:gridSpan w:val="11"/>
          </w:tcPr>
          <w:p>
            <w:pPr>
              <w:jc w:val="center"/>
              <w:ind w:left="3490"/>
              <w:spacing w:after="0" w:line="195" w:lineRule="exact"/>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001-38543</w:t>
            </w:r>
          </w:p>
        </w:tc>
        <w:tc>
          <w:tcPr>
            <w:tcW w:w="3560" w:type="dxa"/>
            <w:vAlign w:val="bottom"/>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4660" w:type="dxa"/>
            <w:vAlign w:val="bottom"/>
          </w:tcPr>
          <w:p>
            <w:pPr>
              <w:spacing w:after="0"/>
              <w:rPr>
                <w:sz w:val="24"/>
                <w:szCs w:val="24"/>
                <w:color w:val="auto"/>
              </w:rPr>
            </w:pPr>
          </w:p>
        </w:tc>
        <w:tc>
          <w:tcPr>
            <w:tcW w:w="19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3"/>
              </w:rPr>
              <w:t>OptimizeRx Corporation</w:t>
            </w:r>
          </w:p>
        </w:tc>
        <w:tc>
          <w:tcPr>
            <w:tcW w:w="108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r>
      <w:tr>
        <w:trPr>
          <w:trHeight w:val="237"/>
        </w:trPr>
        <w:tc>
          <w:tcPr>
            <w:tcW w:w="7680" w:type="dxa"/>
            <w:vAlign w:val="bottom"/>
            <w:gridSpan w:val="11"/>
          </w:tcPr>
          <w:p>
            <w:pPr>
              <w:jc w:val="center"/>
              <w:ind w:left="3470"/>
              <w:spacing w:after="0"/>
              <w:rPr>
                <w:sz w:val="20"/>
                <w:szCs w:val="20"/>
                <w:color w:val="auto"/>
              </w:rPr>
            </w:pPr>
            <w:r>
              <w:rPr>
                <w:rFonts w:ascii="Arial" w:cs="Arial" w:eastAsia="Arial" w:hAnsi="Arial"/>
                <w:sz w:val="18"/>
                <w:szCs w:val="18"/>
                <w:color w:val="auto"/>
                <w:w w:val="90"/>
              </w:rPr>
              <w:t>(Exact name of registrant as specified in its charter)</w:t>
            </w:r>
          </w:p>
        </w:tc>
        <w:tc>
          <w:tcPr>
            <w:tcW w:w="3560" w:type="dxa"/>
            <w:vAlign w:val="bottom"/>
          </w:tcPr>
          <w:p>
            <w:pPr>
              <w:spacing w:after="0"/>
              <w:rPr>
                <w:sz w:val="20"/>
                <w:szCs w:val="20"/>
                <w:color w:val="auto"/>
              </w:rPr>
            </w:pPr>
          </w:p>
        </w:tc>
      </w:tr>
      <w:tr>
        <w:trPr>
          <w:trHeight w:val="439"/>
        </w:trPr>
        <w:tc>
          <w:tcPr>
            <w:tcW w:w="7680" w:type="dxa"/>
            <w:vAlign w:val="bottom"/>
            <w:gridSpan w:val="11"/>
          </w:tcPr>
          <w:p>
            <w:pPr>
              <w:jc w:val="center"/>
              <w:ind w:right="2140"/>
              <w:spacing w:after="0"/>
              <w:rPr>
                <w:sz w:val="20"/>
                <w:szCs w:val="20"/>
                <w:color w:val="auto"/>
              </w:rPr>
            </w:pPr>
            <w:r>
              <w:rPr>
                <w:rFonts w:ascii="Arial" w:cs="Arial" w:eastAsia="Arial" w:hAnsi="Arial"/>
                <w:sz w:val="18"/>
                <w:szCs w:val="18"/>
                <w:b w:val="1"/>
                <w:bCs w:val="1"/>
                <w:color w:val="auto"/>
                <w:w w:val="90"/>
              </w:rPr>
              <w:t>Nevada</w:t>
            </w:r>
          </w:p>
        </w:tc>
        <w:tc>
          <w:tcPr>
            <w:tcW w:w="3560" w:type="dxa"/>
            <w:vAlign w:val="bottom"/>
          </w:tcPr>
          <w:p>
            <w:pPr>
              <w:jc w:val="center"/>
              <w:ind w:right="1850"/>
              <w:spacing w:after="0"/>
              <w:rPr>
                <w:sz w:val="20"/>
                <w:szCs w:val="20"/>
                <w:color w:val="auto"/>
              </w:rPr>
            </w:pPr>
            <w:r>
              <w:rPr>
                <w:rFonts w:ascii="Arial" w:cs="Arial" w:eastAsia="Arial" w:hAnsi="Arial"/>
                <w:sz w:val="18"/>
                <w:szCs w:val="18"/>
                <w:b w:val="1"/>
                <w:bCs w:val="1"/>
                <w:color w:val="auto"/>
                <w:w w:val="89"/>
              </w:rPr>
              <w:t>26-1265381</w:t>
            </w:r>
          </w:p>
        </w:tc>
      </w:tr>
      <w:tr>
        <w:trPr>
          <w:trHeight w:val="202"/>
        </w:trPr>
        <w:tc>
          <w:tcPr>
            <w:tcW w:w="5520" w:type="dxa"/>
            <w:vAlign w:val="bottom"/>
            <w:tcBorders>
              <w:top w:val="single" w:sz="8" w:color="auto"/>
            </w:tcBorders>
            <w:gridSpan w:val="4"/>
          </w:tcPr>
          <w:p>
            <w:pPr>
              <w:jc w:val="center"/>
              <w:ind w:right="40"/>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680" w:type="dxa"/>
            <w:vAlign w:val="bottom"/>
            <w:gridSpan w:val="11"/>
          </w:tcPr>
          <w:p>
            <w:pPr>
              <w:jc w:val="center"/>
              <w:ind w:right="2160"/>
              <w:spacing w:after="0"/>
              <w:rPr>
                <w:sz w:val="20"/>
                <w:szCs w:val="20"/>
                <w:color w:val="auto"/>
              </w:rPr>
            </w:pPr>
            <w:r>
              <w:rPr>
                <w:rFonts w:ascii="Arial" w:cs="Arial" w:eastAsia="Arial" w:hAnsi="Arial"/>
                <w:sz w:val="18"/>
                <w:szCs w:val="18"/>
                <w:color w:val="auto"/>
                <w:w w:val="92"/>
              </w:rPr>
              <w:t>incorporation or organization)</w:t>
            </w: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680" w:type="dxa"/>
            <w:vAlign w:val="bottom"/>
            <w:gridSpan w:val="11"/>
          </w:tcPr>
          <w:p>
            <w:pPr>
              <w:jc w:val="center"/>
              <w:ind w:left="3470"/>
              <w:spacing w:after="0"/>
              <w:rPr>
                <w:sz w:val="20"/>
                <w:szCs w:val="20"/>
                <w:color w:val="auto"/>
              </w:rPr>
            </w:pPr>
            <w:r>
              <w:rPr>
                <w:rFonts w:ascii="Arial" w:cs="Arial" w:eastAsia="Arial" w:hAnsi="Arial"/>
                <w:sz w:val="18"/>
                <w:szCs w:val="18"/>
                <w:b w:val="1"/>
                <w:bCs w:val="1"/>
                <w:color w:val="auto"/>
                <w:w w:val="90"/>
              </w:rPr>
              <w:t>400 Water Street, Suite 200</w:t>
            </w:r>
          </w:p>
        </w:tc>
        <w:tc>
          <w:tcPr>
            <w:tcW w:w="3560" w:type="dxa"/>
            <w:vAlign w:val="bottom"/>
          </w:tcPr>
          <w:p>
            <w:pPr>
              <w:spacing w:after="0"/>
              <w:rPr>
                <w:sz w:val="24"/>
                <w:szCs w:val="24"/>
                <w:color w:val="auto"/>
              </w:rPr>
            </w:pPr>
          </w:p>
        </w:tc>
      </w:tr>
      <w:tr>
        <w:trPr>
          <w:trHeight w:val="194"/>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Borders>
              <w:bottom w:val="single" w:sz="8" w:color="auto"/>
            </w:tcBorders>
            <w:gridSpan w:val="6"/>
          </w:tcPr>
          <w:p>
            <w:pPr>
              <w:jc w:val="cente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1240" w:type="dxa"/>
            <w:vAlign w:val="bottom"/>
            <w:gridSpan w:val="3"/>
          </w:tcPr>
          <w:p>
            <w:pPr>
              <w:spacing w:after="0"/>
              <w:rPr>
                <w:sz w:val="16"/>
                <w:szCs w:val="16"/>
                <w:color w:val="auto"/>
              </w:rPr>
            </w:pPr>
          </w:p>
        </w:tc>
        <w:tc>
          <w:tcPr>
            <w:tcW w:w="3560" w:type="dxa"/>
            <w:vAlign w:val="bottom"/>
          </w:tcPr>
          <w:p>
            <w:pPr>
              <w:spacing w:after="0"/>
              <w:rPr>
                <w:sz w:val="16"/>
                <w:szCs w:val="16"/>
                <w:color w:val="auto"/>
              </w:rPr>
            </w:pPr>
          </w:p>
        </w:tc>
      </w:tr>
      <w:tr>
        <w:trPr>
          <w:trHeight w:val="237"/>
        </w:trPr>
        <w:tc>
          <w:tcPr>
            <w:tcW w:w="7680" w:type="dxa"/>
            <w:vAlign w:val="bottom"/>
            <w:gridSpan w:val="11"/>
          </w:tcPr>
          <w:p>
            <w:pPr>
              <w:jc w:val="center"/>
              <w:ind w:left="3490"/>
              <w:spacing w:after="0"/>
              <w:rPr>
                <w:sz w:val="20"/>
                <w:szCs w:val="20"/>
                <w:color w:val="auto"/>
              </w:rPr>
            </w:pPr>
            <w:r>
              <w:rPr>
                <w:rFonts w:ascii="Arial" w:cs="Arial" w:eastAsia="Arial" w:hAnsi="Arial"/>
                <w:sz w:val="18"/>
                <w:szCs w:val="18"/>
                <w:color w:val="auto"/>
                <w:w w:val="92"/>
              </w:rPr>
              <w:t>(Address of principal executive offices)</w:t>
            </w:r>
          </w:p>
        </w:tc>
        <w:tc>
          <w:tcPr>
            <w:tcW w:w="3560" w:type="dxa"/>
            <w:vAlign w:val="bottom"/>
          </w:tcPr>
          <w:p>
            <w:pPr>
              <w:spacing w:after="0"/>
              <w:rPr>
                <w:sz w:val="20"/>
                <w:szCs w:val="20"/>
                <w:color w:val="auto"/>
              </w:rPr>
            </w:pPr>
          </w:p>
        </w:tc>
      </w:tr>
      <w:tr>
        <w:trPr>
          <w:trHeight w:val="392"/>
        </w:trPr>
        <w:tc>
          <w:tcPr>
            <w:tcW w:w="6140" w:type="dxa"/>
            <w:vAlign w:val="bottom"/>
            <w:gridSpan w:val="6"/>
          </w:tcPr>
          <w:p>
            <w:pPr>
              <w:jc w:val="center"/>
              <w:ind w:left="5030"/>
              <w:spacing w:after="0"/>
              <w:rPr>
                <w:sz w:val="20"/>
                <w:szCs w:val="20"/>
                <w:color w:val="auto"/>
              </w:rPr>
            </w:pPr>
            <w:r>
              <w:rPr>
                <w:rFonts w:ascii="Arial" w:cs="Arial" w:eastAsia="Arial" w:hAnsi="Arial"/>
                <w:sz w:val="18"/>
                <w:szCs w:val="18"/>
                <w:b w:val="1"/>
                <w:bCs w:val="1"/>
                <w:color w:val="auto"/>
                <w:w w:val="90"/>
              </w:rPr>
              <w:t>248-651-6568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0"/>
        </w:trPr>
        <w:tc>
          <w:tcPr>
            <w:tcW w:w="512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6"/>
        </w:trPr>
        <w:tc>
          <w:tcPr>
            <w:tcW w:w="7680" w:type="dxa"/>
            <w:vAlign w:val="bottom"/>
            <w:gridSpan w:val="11"/>
          </w:tcPr>
          <w:p>
            <w:pPr>
              <w:jc w:val="center"/>
              <w:ind w:left="3470"/>
              <w:spacing w:after="0"/>
              <w:rPr>
                <w:sz w:val="20"/>
                <w:szCs w:val="20"/>
                <w:color w:val="auto"/>
              </w:rPr>
            </w:pPr>
            <w:r>
              <w:rPr>
                <w:rFonts w:ascii="Arial" w:cs="Arial" w:eastAsia="Arial" w:hAnsi="Arial"/>
                <w:sz w:val="18"/>
                <w:szCs w:val="18"/>
                <w:color w:val="auto"/>
                <w:w w:val="89"/>
              </w:rPr>
              <w:t>(Registrant’s telephone number, including area code)</w:t>
            </w:r>
          </w:p>
        </w:tc>
        <w:tc>
          <w:tcPr>
            <w:tcW w:w="356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w w:val="94"/>
              </w:rPr>
              <w:t>Securities registered under Section 12(b) of the Exchange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72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86"/>
              </w:rPr>
              <w:t>Title of each class</w:t>
            </w:r>
          </w:p>
        </w:tc>
        <w:tc>
          <w:tcPr>
            <w:tcW w:w="29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ind w:right="79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1440" w:gutter="0" w:footer="0" w:header="0"/>
        </w:sectPr>
      </w:pPr>
    </w:p>
    <w:p>
      <w:pPr>
        <w:spacing w:after="0" w:line="151"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260" w:space="720"/>
            <w:col w:w="4260"/>
          </w:cols>
          <w:pgMar w:left="320" w:top="517"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18,152,349 common shares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80" w:type="dxa"/>
            <w:vAlign w:val="bottom"/>
            <w:gridSpan w:val="5"/>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Page</w:t>
            </w: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300" w:type="dxa"/>
            <w:vAlign w:val="bottom"/>
            <w:gridSpan w:val="6"/>
            <w:shd w:val="clear" w:color="auto" w:fill="CCEEFF"/>
          </w:tcPr>
          <w:p>
            <w:pPr>
              <w:jc w:val="center"/>
              <w:ind w:right="3140"/>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9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16"/>
            <w:shd w:val="clear" w:color="auto" w:fill="CCEEFF"/>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6"/>
          </w:tcPr>
          <w:p>
            <w:pPr>
              <w:ind w:left="14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16"/>
            <w:shd w:val="clear" w:color="auto" w:fill="CCEEFF"/>
          </w:tcPr>
          <w:p>
            <w:pPr>
              <w:ind w:left="14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16"/>
          </w:tcPr>
          <w:p>
            <w:pPr>
              <w:ind w:left="14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80" w:type="dxa"/>
            <w:vAlign w:val="bottom"/>
            <w:gridSpan w:val="5"/>
            <w:shd w:val="clear" w:color="auto" w:fill="CCEEFF"/>
          </w:tcPr>
          <w:p>
            <w:pPr>
              <w:jc w:val="center"/>
              <w:ind w:right="3240"/>
              <w:spacing w:after="0" w:line="17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spacing w:after="0"/>
              <w:rPr>
                <w:sz w:val="17"/>
                <w:szCs w:val="17"/>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16"/>
            <w:shd w:val="clear" w:color="auto" w:fill="CCEEFF"/>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16"/>
            <w:shd w:val="clear" w:color="auto" w:fill="CCEEFF"/>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60" w:type="dxa"/>
            <w:vAlign w:val="bottom"/>
            <w:gridSpan w:val="16"/>
            <w:shd w:val="clear" w:color="auto" w:fill="CCEEFF"/>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560" w:type="dxa"/>
            <w:vAlign w:val="bottom"/>
            <w:gridSpan w:val="16"/>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7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16"/>
            <w:shd w:val="clear" w:color="auto" w:fill="CCEEFF"/>
          </w:tcPr>
          <w:p>
            <w:pPr>
              <w:ind w:left="140"/>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0"/>
        </w:trPr>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5" w:lineRule="exact"/>
        <w:rPr>
          <w:sz w:val="20"/>
          <w:szCs w:val="20"/>
          <w:color w:val="auto"/>
        </w:rPr>
      </w:pPr>
    </w:p>
    <w:p>
      <w:pPr>
        <w:ind w:left="1140" w:hanging="671"/>
        <w:spacing w:after="0"/>
        <w:tabs>
          <w:tab w:leader="none" w:pos="11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2022 (unaudited) and December 31, 2021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140" w:hanging="671"/>
        <w:spacing w:after="0"/>
        <w:tabs>
          <w:tab w:leader="none" w:pos="114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2022 and 2021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671"/>
        <w:spacing w:after="0"/>
        <w:tabs>
          <w:tab w:leader="none" w:pos="1140" w:val="left"/>
        </w:tabs>
        <w:numPr>
          <w:ilvl w:val="0"/>
          <w:numId w:val="4"/>
        </w:numPr>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Changes in Stockholders’ Equity for the three months ended March 31, 2022 and 2021 (unaudited);</w:t>
        </w:r>
      </w:hyperlink>
    </w:p>
    <w:p>
      <w:pPr>
        <w:spacing w:after="0" w:line="32"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5</w:t>
      </w:r>
      <w:hyperlink w:anchor="page7">
        <w:r>
          <w:rPr>
            <w:rFonts w:ascii="Arial" w:cs="Arial" w:eastAsia="Arial" w:hAnsi="Arial"/>
            <w:sz w:val="16"/>
            <w:szCs w:val="16"/>
            <w:u w:val="single" w:color="auto"/>
            <w:color w:val="0000EE"/>
          </w:rPr>
          <w:t>Condensed Consolidated Statements of Cash Flows for the three months ended March 31, 2022 and 2021 (unaudited);</w:t>
        </w:r>
      </w:hyperlink>
    </w:p>
    <w:p>
      <w:pPr>
        <w:spacing w:after="0" w:line="9" w:lineRule="exact"/>
        <w:rPr>
          <w:rFonts w:ascii="Arial" w:cs="Arial" w:eastAsia="Arial" w:hAnsi="Arial"/>
          <w:sz w:val="16"/>
          <w:szCs w:val="16"/>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6</w:t>
      </w:r>
      <w:hyperlink w:anchor="page8">
        <w:r>
          <w:rPr>
            <w:rFonts w:ascii="Arial" w:cs="Arial" w:eastAsia="Arial" w:hAnsi="Arial"/>
            <w:sz w:val="16"/>
            <w:szCs w:val="16"/>
            <w:u w:val="single" w:color="auto"/>
            <w:color w:val="0000EE"/>
          </w:rPr>
          <w:t>Notes to Condensed Consolidated Financial Statements (unaudited).</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EE"/>
        </w:rPr>
      </w:pPr>
    </w:p>
    <w:p>
      <w:pPr>
        <w:spacing w:after="0" w:line="207" w:lineRule="exact"/>
        <w:rPr>
          <w:rFonts w:ascii="Arial" w:cs="Arial" w:eastAsia="Arial" w:hAnsi="Arial"/>
          <w:sz w:val="16"/>
          <w:szCs w:val="16"/>
          <w:u w:val="single" w:color="auto"/>
          <w:color w:val="0000EE"/>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March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418"/>
        </w:trPr>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88,954,391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84,681,770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19,135,824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24,800,585</w:t>
            </w: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4,609,489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5,630,655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112,699,704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115,113,010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137,441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14,740,031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10,548,884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10,975,474</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deposits and other assets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12,859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12,859</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25,301,774</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25,728,364</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138,138,919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140,985,192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600,729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606,808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1,718,055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2,902,836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 share payable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3,175,719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4,378,216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87,581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90,982</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1,293,044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1,389,907</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6,875,128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9,368,749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212,946</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236,726</w:t>
            </w: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7,088,074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9,605,475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Commitments and contingencies (See note 8)</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$0.001 par value, 10,000,000 shares authorized, none issued and outstanding at March 31, 2022 or</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2021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166,666,667 shares authorized, 17,902,608 and 17,860,975 shares issued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March 31, 2022 and December 31, 2021, respectively</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170,047,698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166,615,514</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(39,014,756)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(35,253,658)</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131,050,845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131,379,717</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138,138,919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140,985,192</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13,731,530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11,229,211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5,629,858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5,104,603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8,101,672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6,124,608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Salaries, Wages, &amp; Benefits</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5,305,866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3,580,817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3,174,098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707,153</w:t>
            </w: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3,382,809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2,474,946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11,862,773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w w:val="97"/>
              </w:rPr>
              <w:t>(3,761,101)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(638,308)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(3,761,098)</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(3,761,098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(637,377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17,878,068</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16,101,837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17,878,068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16,101,837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(loss) per share – basic</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vMerge w:val="continue"/>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Income (loss) per share – diluted</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4620" w:type="dxa"/>
            <w:vAlign w:val="bottom"/>
          </w:tcPr>
          <w:p>
            <w:pPr>
              <w:spacing w:after="0"/>
              <w:rPr>
                <w:sz w:val="21"/>
                <w:szCs w:val="21"/>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17,860,975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166,615,514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(35,253,658)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131,379,717</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258,100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258,128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13,627</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3,174,084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3,174,098</w:t>
            </w: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(3,761,098)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(3,761,098)</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17,902,608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170,047,698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(39,014,756</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131,050,845</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8"/>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1"/>
        </w:trPr>
        <w:tc>
          <w:tcPr>
            <w:tcW w:w="4620" w:type="dxa"/>
            <w:vAlign w:val="bottom"/>
          </w:tcPr>
          <w:p>
            <w:pPr>
              <w:spacing w:after="0"/>
              <w:rPr>
                <w:sz w:val="21"/>
                <w:szCs w:val="21"/>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Deficit</w:t>
            </w:r>
          </w:p>
        </w:tc>
        <w:tc>
          <w:tcPr>
            <w:tcW w:w="16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15,223,340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85,590,428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(35,631,737)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49,973,914</w:t>
            </w:r>
          </w:p>
        </w:tc>
      </w:tr>
      <w:tr>
        <w:trPr>
          <w:trHeight w:val="216"/>
        </w:trPr>
        <w:tc>
          <w:tcPr>
            <w:tcW w:w="46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of common shares, net of offering costs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1,523,750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70,670,012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70,671,536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124,994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510,803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1,120,011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582,159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582,159</w:t>
            </w: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(637,377)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(637,377)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17,260,588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158,087,090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(36,269,114</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121,835,237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ind w:left="420"/>
              <w:spacing w:after="0"/>
              <w:rPr>
                <w:sz w:val="20"/>
                <w:szCs w:val="20"/>
                <w:color w:val="auto"/>
              </w:rPr>
            </w:pPr>
            <w:r>
              <w:rPr>
                <w:rFonts w:ascii="Arial" w:cs="Arial" w:eastAsia="Arial" w:hAnsi="Arial"/>
                <w:sz w:val="18"/>
                <w:szCs w:val="18"/>
                <w:color w:val="auto"/>
              </w:rPr>
              <w:t>For the Three Months</w:t>
            </w:r>
          </w:p>
        </w:tc>
      </w:tr>
      <w:tr>
        <w:trPr>
          <w:trHeight w:val="237"/>
        </w:trPr>
        <w:tc>
          <w:tcPr>
            <w:tcW w:w="868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color w:val="auto"/>
              </w:rPr>
              <w:t>Ended March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   (3,761,098)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(637,377)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496,321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3,174,098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582,159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issued for board service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124,994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Provision for loss on accounts receivable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5,643,761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3,126,815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1,021,166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937,083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(6,079)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(118,971)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share payable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(1,202,497)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(1,476,063)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(1,184,781)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(1,550,569)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 net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(96,863)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162,345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7"/>
              </w:rPr>
              <w:t>4,080,244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property and equipment</w:t>
      </w:r>
    </w:p>
    <w:p>
      <w:pPr>
        <w:spacing w:after="0" w:line="9" w:lineRule="exact"/>
        <w:rPr>
          <w:sz w:val="20"/>
          <w:szCs w:val="20"/>
          <w:color w:val="auto"/>
        </w:rPr>
      </w:pPr>
    </w:p>
    <w:p>
      <w:pPr>
        <w:ind w:right="3580" w:firstLine="162"/>
        <w:spacing w:after="0" w:line="285" w:lineRule="auto"/>
        <w:rPr>
          <w:sz w:val="20"/>
          <w:szCs w:val="20"/>
          <w:color w:val="auto"/>
        </w:rPr>
      </w:pPr>
      <w:r>
        <w:rPr>
          <w:rFonts w:ascii="Arial" w:cs="Arial" w:eastAsia="Arial" w:hAnsi="Arial"/>
          <w:sz w:val="18"/>
          <w:szCs w:val="18"/>
          <w:color w:val="auto"/>
        </w:rPr>
        <w:t>Purchase of intangible assets, including intellectual property rights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(14,480)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(51,271)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(65,751)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(19,871)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(64,693)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(84,564)</w:t>
      </w:r>
    </w:p>
    <w:p>
      <w:pPr>
        <w:spacing w:after="0" w:line="79" w:lineRule="exact"/>
        <w:rPr>
          <w:sz w:val="20"/>
          <w:szCs w:val="20"/>
          <w:color w:val="auto"/>
        </w:rPr>
      </w:pPr>
    </w:p>
    <w:p>
      <w:pPr>
        <w:sectPr>
          <w:pgSz w:w="11900" w:h="16838" w:orient="portrait"/>
          <w:cols w:equalWidth="0" w:num="3">
            <w:col w:w="8540" w:space="720"/>
            <w:col w:w="600" w:space="720"/>
            <w:col w:w="660"/>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public offering of common stock, net of offering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70,671,536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258,128</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1,120,011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contingent consideration</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(1,610,813)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258,128</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70,180,734</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71,761,920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84,681,770</w:t>
            </w: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10,516,776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88,954,391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82,278,696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condensed consolidated financial statements for the three months ended March 31, 2022 and 2021 have been prepared by us without audit pursuant to the rules and regulations of the U.S. Securities and Exchange Commission. In the opinion of management, all adjustments necessary to present fairly our financial position at March 31, 2022, and our results of operations, changes in stockholders’ equity, and cash flows for the three months ended March 31, 2022 and 2021, have been made. Those adjustments consist of normal and recurring adjustments. The condensed consolidated condensed balance sheet as of December 31, 2021, has been derived from the audited consolidated condensed balance sheet as of that date.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consolidated condensed financial statements should be read in conjunction with a reading of the financial statements and notes thereto included in our Annual Report on Form 10-K for the fiscal year ended December 31, 2021, as filed with the U.S. Securities and Exchange Commission on February 28, 2022.</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2022, are not necessarily indicative of the results to be expected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15, 2020, with early adoption permitted. The Company adopted this standard effective January 1, 2021. The adoption of this standard did not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Topic 2021-08 Business Combinations (Topic 805),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$2,824,724 and $2,110,865 at March 31, 2022, and December 31, 2021, respectively. Amounts billed in advance of revenue recognition are presented as deferred revenue on the condensed consolidated balance sheets.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several signed contracts with customers for the distribution of messaging, or other services, which include payment in advance. The payments are not recorded as revenue until the revenue is earned under its revenue recognition policy. Deferred revenue was $1,293,044 and $1,389,907 as of March 31, 2022 and December 31, 2021, respectively. The contracts are all short term in nature and all revenue is expected to be recognized within 12 months, or less. Following is a summary of activity for the deferred revenue account for the quarter ended March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1,389,907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Revenue recognized</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(6,013,181)</w:t>
            </w: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 collected</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5,916,318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Balance March 31, 2022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1,293,044</w:t>
            </w:r>
          </w:p>
        </w:tc>
        <w:tc>
          <w:tcPr>
            <w:tcW w:w="10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majority of our revenue is earned from life sciences companies, such as pharmaceutical and biotech companies, or medical device makers. A small portion of our revenue is earned from other sources, such as associations and technology companies. A break down is set forth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Revenue from:</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Life Science Companies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13,717,930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10,862,041</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13,600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367,170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13,731,530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11,229,211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4 – 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operating leases for office space in two multitenant facilities with lease terms greater than 12 months, which are recorded as assets and liabilities on our condensed consolidated balance sheets. These leases include our corporate headquarters, located in Rochester, Michigan, and a technical facility in Zagreb, Croatia. We also had a lease on office space in Cranbury, New Jersey, which expired in January 2022. We did not renew the New Jersey lease. For leases that contain renewal options, we have only assumed renewal for the headquarters lease. Lease-related assets, or right-of-use assets, are recognized at the lease commencement date at amounts equal to the respective lease liabilities, adjusted for prepaid lease payments, initial direct costs, and lease incentives received. Lease-related liabilities 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LEASES (continued)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2022 and 2021, the Company’s lease cost consists of the following components, each of which is included in operating expenses within the Company’s condensed consolidated statements of operations:</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left="-4"/>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left="-4"/>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left="-4"/>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jc w:val="center"/>
        <w:ind w:left="-4"/>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18" w:lineRule="exact"/>
        <w:rPr>
          <w:sz w:val="20"/>
          <w:szCs w:val="20"/>
          <w:color w:val="auto"/>
        </w:rPr>
      </w:pPr>
    </w:p>
    <w:p>
      <w:pPr>
        <w:ind w:left="645" w:hanging="645"/>
        <w:spacing w:after="0"/>
        <w:tabs>
          <w:tab w:leader="none" w:pos="645" w:val="left"/>
        </w:tabs>
        <w:numPr>
          <w:ilvl w:val="0"/>
          <w:numId w:val="5"/>
        </w:numPr>
        <w:rPr>
          <w:rFonts w:ascii="Arial" w:cs="Arial" w:eastAsia="Arial" w:hAnsi="Arial"/>
          <w:sz w:val="15"/>
          <w:szCs w:val="15"/>
          <w:color w:val="auto"/>
        </w:rPr>
      </w:pPr>
      <w:r>
        <w:rPr>
          <w:rFonts w:ascii="Arial" w:cs="Arial" w:eastAsia="Arial" w:hAnsi="Arial"/>
          <w:sz w:val="15"/>
          <w:szCs w:val="15"/>
          <w:color w:val="auto"/>
        </w:rPr>
        <w:t>26,718</w:t>
      </w:r>
    </w:p>
    <w:p>
      <w:pPr>
        <w:spacing w:after="0" w:line="57" w:lineRule="exact"/>
        <w:rPr>
          <w:rFonts w:ascii="Arial" w:cs="Arial" w:eastAsia="Arial" w:hAnsi="Arial"/>
          <w:sz w:val="15"/>
          <w:szCs w:val="15"/>
          <w:color w:val="auto"/>
        </w:rPr>
      </w:pPr>
    </w:p>
    <w:p>
      <w:pPr>
        <w:ind w:left="725"/>
        <w:spacing w:after="0"/>
        <w:rPr>
          <w:rFonts w:ascii="Arial" w:cs="Arial" w:eastAsia="Arial" w:hAnsi="Arial"/>
          <w:sz w:val="15"/>
          <w:szCs w:val="15"/>
          <w:color w:val="auto"/>
        </w:rPr>
      </w:pPr>
      <w:r>
        <w:rPr>
          <w:rFonts w:ascii="Arial" w:cs="Arial" w:eastAsia="Arial" w:hAnsi="Arial"/>
          <w:sz w:val="15"/>
          <w:szCs w:val="15"/>
          <w:color w:val="auto"/>
        </w:rPr>
        <w:t>8,092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-245745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-5502910</wp:posOffset>
            </wp:positionH>
            <wp:positionV relativeFrom="paragraph">
              <wp:posOffset>36195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7" w:lineRule="exact"/>
        <w:rPr>
          <w:sz w:val="20"/>
          <w:szCs w:val="20"/>
          <w:color w:val="auto"/>
        </w:rPr>
      </w:pPr>
    </w:p>
    <w:p>
      <w:pPr>
        <w:ind w:left="645" w:hanging="645"/>
        <w:spacing w:after="0"/>
        <w:tabs>
          <w:tab w:leader="none" w:pos="645" w:val="left"/>
        </w:tabs>
        <w:numPr>
          <w:ilvl w:val="0"/>
          <w:numId w:val="6"/>
        </w:numPr>
        <w:rPr>
          <w:rFonts w:ascii="Arial" w:cs="Arial" w:eastAsia="Arial" w:hAnsi="Arial"/>
          <w:sz w:val="15"/>
          <w:szCs w:val="15"/>
          <w:color w:val="auto"/>
        </w:rPr>
      </w:pPr>
      <w:r>
        <w:rPr>
          <w:rFonts w:ascii="Arial" w:cs="Arial" w:eastAsia="Arial" w:hAnsi="Arial"/>
          <w:sz w:val="15"/>
          <w:szCs w:val="15"/>
          <w:color w:val="auto"/>
        </w:rPr>
        <w:t>34,810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200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Ended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620" w:hanging="615"/>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33,365</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15,924</w:t>
      </w:r>
    </w:p>
    <w:p>
      <w:pPr>
        <w:spacing w:after="0" w:line="85" w:lineRule="exact"/>
        <w:rPr>
          <w:sz w:val="20"/>
          <w:szCs w:val="20"/>
          <w:color w:val="auto"/>
        </w:rPr>
      </w:pPr>
    </w:p>
    <w:p>
      <w:pPr>
        <w:ind w:left="620" w:hanging="615"/>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49,289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029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955" w:space="720"/>
            <w:col w:w="1125" w:space="220"/>
            <w:col w:w="1220"/>
          </w:cols>
          <w:pgMar w:left="320" w:top="877" w:right="339" w:bottom="1440" w:gutter="0" w:footer="0" w:header="0"/>
          <w:type w:val="continuous"/>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March 31, 2022: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2022</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74,220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98,961</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80,334</w:t>
            </w:r>
          </w:p>
        </w:tc>
      </w:tr>
      <w:tr>
        <w:trPr>
          <w:trHeight w:val="236"/>
        </w:trPr>
        <w:tc>
          <w:tcPr>
            <w:tcW w:w="99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70,224</w:t>
            </w:r>
          </w:p>
        </w:tc>
      </w:tr>
      <w:tr>
        <w:trPr>
          <w:trHeight w:val="216"/>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23,212</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300,527</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weighted average remaining lease term at March 31, 2022 for operating leases is 3.4 years and the weighted average discount rate used in calculating the operating lease asset and liability is 4.5%. Cash paid for amounts included in the measurement of lease liabilities was $24,493 and $30,846 for the three months ending March 31, 2022 and 2021, respectively. For the three months ended March 31, 2022 and 2021, payments on lease obligations were $27,898 and $35,657, respectively, and amortization on the right of use assets was $28,023 and $29,859,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5 – STOCKHOLDERS’ EQUITY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March 31, 2022, we issued a total of 28,006 shares of our common stock and received total proceeds of $258,128 in connection with the exercise of stock options under our 2013 Incentive Plan. We also issued 13,627 shares in connection with the vesting of restricted stock units under the same plan.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2021, we issued a total of 510,803 shares of our common stock in connection with the exercise of stock options under our 2013 Incentive Plan. A total of 368,329 shares were issued in a cashless transaction related to 394,739 expiring options using the net settled method whereby 26,410 options were used to pay the purchase price. The remaining 116,064 shares issued in connection with the exercise of options were all issued for cash for total proceeds of $1,120,011.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STOCKHOLDERS’ EQUITY (continued)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March 31, 2021, in an underwritten primary offering, we issued 1,523,750 shares of our common stock for gross proceeds of $75,425,625. In connection with this transaction, we incurred equity issuance costs of $4,754,089 related to payments to the underwriter, advisors and legal fees associated with the transaction, resulting in net proceeds to the Company of $70,671,536.</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March 31, 2021, we issued 2,695 shares of our common stock to our independent directors in connection with our Director Compensation Plan. These shares were valued at $124,994 at the day of issuance.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6 – STOCK 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the fair value method to account for stock-based compensation, including both options and restricted stock units. We recorded $905,743 and $391,318 in compensation expense in the three months ended March 31, 2022 and 2021, respectively, related to options issued under our equity compensation plans.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$10,390,172 of remaining expense related to unvested options to be recognized in the future over a weighted average period of 2.4 years. The total intrinsic value of outstanding options at March 31, 2022 was $8,474,053.</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recorded $2,268,355 and $190,841 in compensation expense related to restricted stock units in the three months ended March 31, 2022 and 2021, respectively. These units vest both over time and based on market conditions. Of the $2,268,355 recorded in compensation expense, $1,503,359 is related to market-based equity grants. The expense related to the market-based grants was calculated using a Monte Carlo simulation. There is $19,175,194 of remaining expense related to unvested restricted stock units to be recognized in the future over a weighted average period of 2.3 years.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(“EPS”) is computed by dividing net income (loss) by the weighted average number of common shares outstanding during the period.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number of shares related to options and restricted stock units included in diluted EPS is based on the “Treasury Stock Method” prescribed in ASC 260-10, Earnings per Share.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includable in the calculation of EPS in respect of the stock options and restricted stock units is dependent on this average stock price and will increase as the average stock price increases.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225"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(3,761,098</w:t>
            </w:r>
            <w:r>
              <w:rPr>
                <w:rFonts w:ascii="Arial" w:cs="Arial" w:eastAsia="Arial" w:hAnsi="Arial"/>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(637,377</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shares outstanding used in computing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17,878,068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16,101,837</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Effect of dilutive stock options, warrants, and stock grants</w:t>
            </w:r>
          </w:p>
        </w:tc>
        <w:tc>
          <w:tcPr>
            <w:tcW w:w="20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17,878,068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16,101,837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line="256" w:lineRule="exact"/>
              <w:rPr>
                <w:sz w:val="20"/>
                <w:szCs w:val="20"/>
                <w:color w:val="auto"/>
              </w:rPr>
            </w:pPr>
            <w:r>
              <w:rPr>
                <w:rFonts w:ascii="Arial" w:cs="Arial" w:eastAsia="Arial" w:hAnsi="Arial"/>
                <w:sz w:val="16"/>
                <w:szCs w:val="16"/>
                <w:color w:val="auto"/>
              </w:rPr>
              <w:t>(0.21</w:t>
            </w:r>
            <w:r>
              <w:rPr>
                <w:rFonts w:ascii="Arial" w:cs="Arial" w:eastAsia="Arial" w:hAnsi="Arial"/>
                <w:sz w:val="29"/>
                <w:szCs w:val="29"/>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(0.04</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calculation of diluted earnings per share is included for 2022 or 2021 as the effect of the calculation would be anti-dilutive. The number of common shares potentially issuable upon the exercise of certain options that were excluded from the diluted loss per common share calculation in 2022 was 221,251 related to options, and 77,446 related to restricted stock units, for a total of 298,697 shares. The number of common shares potentially issuable upon the exercise of certain options that were excluded from the diluted loss per common share calculation in 2021 was 846,441 related to options, and 137,304 related to restricted stock units, for a total of 983,745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8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9 – INCOME TAXES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in our annual report on Form 10-K for the year ended December 31, 2021, we had net operating loss carry-forwards for federal income tax purposes of $26.4 million as of December 31, 2021. Accordingly, no federal income tax expense or benefit is recorded in the current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NOTE 10 – SUBSEQUENT EVENTS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2022, we completed the acquisition of substantially all of the assets of EvinceMed Corp., a privately held leading provider of delivering end-to-end automation for specialty pharmaceutical transactions. This strategic acquisition allows us to help patients get access to the drugs they need by simplifying the prescribing process for specialty products. The consideration was comprised of $2 million in cash and the issuance of 240,741 shares of common stock. 185,185 shares of common stock were issued at the closing of the acquisition and 55,556 shares of common stock were issued but held back to secure potential adjustments to the purchase price that may result from the indemnification obligations of EvinceMed and the EvinceMed shareholder indemnitors. The shares were valued at $9,374,455 based on the closing price of $38.94 per share on the date of acquisition. The holdback amount will be released 12 months from the closing, subject to any adjustments for the payment by EvinceMed and the shareholder indemnitors for its and their indemnification obligations.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It is impractical to disclose a preliminary purchase price allocation of these assets at this time as we are currently in the process of completing that analysis.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Forward-looking statements are subject to risks and uncertainties. Actual results could differ materially from those expressed in or implied by such forward-looking statements due to a variety of factors, including: disruptions to our business or the business of our customers due to the global pandemic; the inability to support our technology and scale our operations successfully, developing and implementing new and updated applications, features and services for our portals may be more difficult and expensive and take longer than expected;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candidates, complete acquisitions or integrate acquisitions successfully; inability to attract and retain key employees; economic, political, regulatory and other risks arising from our international operations; inability to protect our intellectual property; cybersecurity incidents; reduction in the performance, reliability and availability of our network infrastructure; lack of a consistent active trading market for our common stock; and volatility in the market price of our common stock.</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2021. Moreover, we operate in a rapidly changing and competitive environment. New risk factors emerge from time to time, and it is not possible for management to predict all such risk factors.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Corporation is a digital health technology company incorporated in the State of Nevada. We enable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COVID-19 pandemic has continued to create unprecedented challenges in the healthcare industry which has increased the demand for unique solutions ranging from access to accurate and timely information to increasing the accessibility of medications and care management. The COVID-19 pandemic did not have a material net impact on our financial statements during the first quarter of 2022. We continue to monitor the impact of COVID-19 on our operations and key stakeholders. The Company cannot reasonably predict the ultimate impact of the COVID-19 pandemic, including the extent of any impact on our business, results of operations and financial condition, which will depend on, among other things, the duration and spread of the pandemic, the impact of governmental regulations that have been, and may continue to be, imposed in response to the pandemic, the effectiveness of actions taken to contain or mitigate the outbreak, the acceptance, safety and efficacy of vaccines, and global economic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April 2022</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Generated sales of $13.7 million for the first three months of 2022, a 22% increase over the same period in 2021.</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Achieved positive cash flow from operations of $4.1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Announced a definitive agreement to acquire the EvinceMed platform and related assets and closed on the transaction.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Introduced new key performance indicators to increase transparency and provide investors additional ways to chart our ability to execute against our “land and expand” strategy.</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Published Company’s first Environmental, Social and Governance (ESG)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developed a number of key performance indicators in the first quarter of the year and intend to monitor these going forward, to evaluate our business, measure our performance, identify trends affecting our business and make strategic decisions.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Average revenue per top 20 pharmaceutical manufacturer. </w:t>
      </w:r>
      <w:r>
        <w:rPr>
          <w:rFonts w:ascii="Arial" w:cs="Arial" w:eastAsia="Arial" w:hAnsi="Arial"/>
          <w:sz w:val="17"/>
          <w:szCs w:val="17"/>
          <w:color w:val="auto"/>
        </w:rPr>
        <w:t>Average revenue per top 20 pharmaceutical manufacturer is calculated by taking the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the company recognized through pharmaceutical manufacturers listed in Fierce Pharma’s “The top 20 pharma companies by 2020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believes it also provides investors with a transparent way to chart our progress in penetrating this important customer segment. The increase in the average in twelve months ended March 31, 2022 as compared to the twelve months ended March 31, 2021 is primarily the result of our focus on signing larger and more comprehensive deals and through supporting additional brands.</w:t>
      </w:r>
    </w:p>
    <w:p>
      <w:pPr>
        <w:spacing w:after="0" w:line="176"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Rolling Twelve Months</w:t>
      </w:r>
    </w:p>
    <w:p>
      <w:pPr>
        <w:spacing w:after="0" w:line="2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060" w:val="left"/>
          <w:tab w:leader="none" w:pos="10000" w:val="left"/>
          <w:tab w:leader="none" w:pos="10400" w:val="left"/>
        </w:tabs>
        <w:rPr>
          <w:sz w:val="20"/>
          <w:szCs w:val="20"/>
          <w:color w:val="auto"/>
        </w:rPr>
      </w:pPr>
      <w:r>
        <w:rPr>
          <w:rFonts w:ascii="Arial" w:cs="Arial" w:eastAsia="Arial" w:hAnsi="Arial"/>
          <w:sz w:val="18"/>
          <w:szCs w:val="18"/>
          <w:color w:val="auto"/>
        </w:rPr>
        <w:t>Average revenue per top 20 pharmaceutical manufacturer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2,549,836</w:t>
        <w:tab/>
        <w:t>$</w:t>
      </w:r>
      <w:r>
        <w:rPr>
          <w:sz w:val="20"/>
          <w:szCs w:val="20"/>
          <w:color w:val="auto"/>
        </w:rPr>
        <w:tab/>
      </w:r>
      <w:r>
        <w:rPr>
          <w:rFonts w:ascii="Arial" w:cs="Arial" w:eastAsia="Arial" w:hAnsi="Arial"/>
          <w:sz w:val="16"/>
          <w:szCs w:val="16"/>
          <w:color w:val="auto"/>
        </w:rPr>
        <w:t>2,120,780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b w:val="1"/>
          <w:bCs w:val="1"/>
          <w:color w:val="auto"/>
        </w:rPr>
        <w:t xml:space="preserve">Percent of top 20 pharmaceutical manufacturers that are customers. </w:t>
      </w:r>
      <w:r>
        <w:rPr>
          <w:rFonts w:ascii="Arial" w:cs="Arial" w:eastAsia="Arial" w:hAnsi="Arial"/>
          <w:sz w:val="17"/>
          <w:szCs w:val="17"/>
          <w:color w:val="auto"/>
        </w:rPr>
        <w:t>Percent of top 20 pharmaceutical manufacturers that are customers is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by taking the number of revenue generating customers that are pharmaceutical manufacturers listed in Fierce Pharma’s “The top 20 pharma companies by 2020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The increase from twelve months ended March 31, 2021 to the twelve months ended March 31, 2022 reflects continued penetration into this core customer base and reflects two new top 20 pharma customers in the twelve months ended March 31, 2022.</w:t>
      </w:r>
    </w:p>
    <w:p>
      <w:pPr>
        <w:spacing w:after="0" w:line="17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Rolling Twelve Months</w:t>
      </w:r>
    </w:p>
    <w:p>
      <w:pPr>
        <w:spacing w:after="0" w:line="23"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 of top 20 pharmaceutical manufacturers that are customers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Percent of total revenue attributable to top 20 pharmaceutical manufacturers. </w:t>
      </w:r>
      <w:r>
        <w:rPr>
          <w:rFonts w:ascii="Arial" w:cs="Arial" w:eastAsia="Arial" w:hAnsi="Arial"/>
          <w:sz w:val="17"/>
          <w:szCs w:val="17"/>
          <w:color w:val="auto"/>
        </w:rPr>
        <w:t>Percent of total revenue attributable to top 20 pharmaceutical</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manufacturers is calculated by taking the total revenue the company recognized through pharmaceutical manufacturers listed in Fierce Pharma’s “The top 20 pharma companies by 2020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this core group of customers grew slightly slower than our overall revenue, enabling us to maintain a similar percentage of revenues from this group.</w:t>
      </w:r>
    </w:p>
    <w:p>
      <w:pPr>
        <w:spacing w:after="0" w:line="177"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Rolling Twelve Months</w:t>
      </w:r>
    </w:p>
    <w:p>
      <w:pPr>
        <w:spacing w:after="0" w:line="23"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Percent of total revenue attributable to top 20 pharmaceutical manufacturers</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Net revenue retention. </w:t>
      </w:r>
      <w:r>
        <w:rPr>
          <w:rFonts w:ascii="Arial" w:cs="Arial" w:eastAsia="Arial" w:hAnsi="Arial"/>
          <w:sz w:val="17"/>
          <w:szCs w:val="17"/>
          <w:color w:val="auto"/>
        </w:rPr>
        <w:t>Net revenue retention is a comparison of revenue generated from all customers in the previous twelve-month period to total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March 31, 2021 was higher as a result of unplanned disruption to the industry caused by the Covid-19 pandemic. Our customers shifted funds previously designated for in-person events to digital marketing throughout the initial quarters of the pandemic. By the middle of 2021, while the pandemic continued, there was less disruption and customers shift towards digitals solutions became more normalized.</w:t>
      </w:r>
    </w:p>
    <w:p>
      <w:pPr>
        <w:spacing w:after="0" w:line="176"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Rolling Twelve Months</w:t>
      </w:r>
    </w:p>
    <w:p>
      <w:pPr>
        <w:spacing w:after="0" w:line="23"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revenue retention</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spacing w:after="0" w:line="256" w:lineRule="auto"/>
        <w:rPr>
          <w:sz w:val="20"/>
          <w:szCs w:val="20"/>
          <w:color w:val="auto"/>
        </w:rPr>
      </w:pPr>
      <w:r>
        <w:rPr>
          <w:rFonts w:ascii="Arial" w:cs="Arial" w:eastAsia="Arial" w:hAnsi="Arial"/>
          <w:sz w:val="18"/>
          <w:szCs w:val="18"/>
          <w:b w:val="1"/>
          <w:bCs w:val="1"/>
          <w:color w:val="auto"/>
        </w:rPr>
        <w:t xml:space="preserve">Revenue per average full-time employee. </w:t>
      </w:r>
      <w:r>
        <w:rPr>
          <w:rFonts w:ascii="Arial" w:cs="Arial" w:eastAsia="Arial" w:hAnsi="Arial"/>
          <w:sz w:val="18"/>
          <w:szCs w:val="18"/>
          <w:color w:val="auto"/>
        </w:rPr>
        <w:t>We define revenue per average full-time employee as total revenue over the last twelve months divided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grew more quickly than our increase in the number of employees, allowing us to achieve more productivity. We were able to do this by taking advantage of the expandable technology infrastructure that we have built over the years.</w:t>
      </w:r>
    </w:p>
    <w:p>
      <w:pPr>
        <w:spacing w:after="0" w:line="191" w:lineRule="exact"/>
        <w:rPr>
          <w:sz w:val="20"/>
          <w:szCs w:val="20"/>
          <w:color w:val="auto"/>
        </w:rPr>
      </w:pPr>
    </w:p>
    <w:p>
      <w:pPr>
        <w:ind w:left="9020"/>
        <w:spacing w:after="0"/>
        <w:rPr>
          <w:sz w:val="20"/>
          <w:szCs w:val="20"/>
          <w:color w:val="auto"/>
        </w:rPr>
      </w:pPr>
      <w:r>
        <w:rPr>
          <w:rFonts w:ascii="Arial" w:cs="Arial" w:eastAsia="Arial" w:hAnsi="Arial"/>
          <w:sz w:val="18"/>
          <w:szCs w:val="18"/>
          <w:color w:val="auto"/>
        </w:rPr>
        <w:t>Rolling Twelve Months</w:t>
      </w:r>
    </w:p>
    <w:p>
      <w:pPr>
        <w:spacing w:after="0" w:line="23"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8660" w:val="left"/>
          <w:tab w:leader="none" w:pos="9200" w:val="left"/>
          <w:tab w:leader="none" w:pos="10000" w:val="left"/>
          <w:tab w:leader="none" w:pos="10520" w:val="left"/>
        </w:tabs>
        <w:rPr>
          <w:sz w:val="20"/>
          <w:szCs w:val="20"/>
          <w:color w:val="auto"/>
        </w:rPr>
      </w:pPr>
      <w:r>
        <w:rPr>
          <w:rFonts w:ascii="Arial" w:cs="Arial" w:eastAsia="Arial" w:hAnsi="Arial"/>
          <w:sz w:val="18"/>
          <w:szCs w:val="18"/>
          <w:color w:val="auto"/>
        </w:rPr>
        <w:t>Revenue per average full-time employee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733,275</w:t>
        <w:tab/>
        <w:t>$</w:t>
      </w:r>
      <w:r>
        <w:rPr>
          <w:sz w:val="20"/>
          <w:szCs w:val="20"/>
          <w:color w:val="auto"/>
        </w:rPr>
        <w:tab/>
      </w:r>
      <w:r>
        <w:rPr>
          <w:rFonts w:ascii="Arial" w:cs="Arial" w:eastAsia="Arial" w:hAnsi="Arial"/>
          <w:sz w:val="16"/>
          <w:szCs w:val="16"/>
          <w:color w:val="auto"/>
        </w:rPr>
        <w:t>634,571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total revenue reported for the three months ended March 31, 2022 was approximately $13.7 million, an increase of 22% over the approximately $11.2 million from the same period in 2021. The increased revenue resulted from increases in sales in our messaging and access solutions.</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expect that our revenues will continue to grow for the balance of 2022 as a result of the new clients we secured in the first quarter of the year as well as those we expect to pick up for the remainder of the year. In addition, we believe that the foundations we laid in 2020 and 2021, including increased pharmaceutical brands, an increased distribution network, and strong growth in our messaging solutions will result in steady growth throughout the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revenue increased from $5.1 million to $5.6 million primarily as a result of the increase in revenue. Our cost of revenues as a percentage of revenues decreased for the quarter ended March 31, 2021. This improvement was a result of solution mix, both as it relates to solutions and the partners through which the messages are delivered and increases in the type of services we provide that are not subject to revenue share. Additional discussion is included in the gross margin section below.</w:t>
      </w:r>
    </w:p>
    <w:p>
      <w:pPr>
        <w:spacing w:after="0" w:line="187" w:lineRule="exact"/>
        <w:rPr>
          <w:sz w:val="20"/>
          <w:szCs w:val="20"/>
          <w:color w:val="auto"/>
        </w:rPr>
      </w:pPr>
    </w:p>
    <w:p>
      <w:pPr>
        <w:jc w:val="center"/>
        <w:ind w:left="84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42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2022</w:t>
            </w:r>
          </w:p>
        </w:tc>
        <w:tc>
          <w:tcPr>
            <w:tcW w:w="2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reflected in the table above, our gross margin, which is the difference between our revenues and our cost of revenues, increased for the three months ended March 31, 2022, as a result of solution mix. In general, there has been an increase in the percentage of activity flowing through our lower cost channels compared with a year ago. Additionally, revenue increases in our access solutions and RWE includes a much higher percentage of program design, which carries a higher margin than the delivery of the actual messages. We expect our gross margin to remain relatively constant for the balance of the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expenses increased from approximately $6.8 million for the three months ended March 31, 2021 to approximately $11.8 million for the same period in 2022, an increase of approximately 75%. This increase in expense is due to investment in, and expansion of, our workforce to enable future growth. Stock based compensation, a noncash expense, had the greatest increase over prior year and is discussed in greater detail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detail of expenditures by major category is reflected in the table below.</w:t>
      </w:r>
    </w:p>
    <w:p>
      <w:pPr>
        <w:spacing w:after="0" w:line="225"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&amp; Benefits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5,305,866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3,580,817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3,174,098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707,153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Contractors and Consultants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426,626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299,376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Travel</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118,709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9,830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Board Compensation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488,926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321,220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128,885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Technology Infrastructure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609,629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213,279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Integration Incentives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425,556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318,558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Data</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287,912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314,879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292,028</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471,540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496,321</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11,862,773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6,762,916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operating expense related to salaries, wages, and benefits and other human resource related costs is due to the expansion of our team to support additional growth. We expect our compensation expense to continue to increase on a quarter over quarter basis, although at a lower rate, due to the full impact of new hires during the first quarter as well as new hires in the pipeline. Since March 31, 2021, we have added to our staff in several key areas, including product development, sales, and IT, and the addition of our Chief Financial Officer/Chief Operations Officer. During the past 12 months we hired 20 net additional employees.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Stock-based compensation increased by $2.5 million from $0.7 million for the three months ended March 31, 2021 to $3.2 million for the same period in 2022. Stock based compensation is awarded to all full-time employees upon their start date as well as to certain key employees to encourage high performance. In the fourth quarter of 2021, we issued a significant market-based grant with a requisite service period of less than 3 years. The expense for the market-based award is amortized over the expected service period. The impact on first quarter expense is $1.5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Contractors and consultants increased 43% as we have incurred consulting costs associated with building a scalable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Travel expenses increased significantly as a result of relaxed travel restrictions related to the Covid-19 pandemic.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increased 52% over prior year primarily as a result of fees related to management’s assessment of internal controls and external audit fees due to Sarbanes-Oxley. Previously we were exempt from the Sarbanes-Oxley Act Section 404B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advertising and promotion increased over the same period prior year as we continue to invest in growth initiatives.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Technology infrastructure costs increased due to continued investment in our operating systems to facilitate new products as well as the implementation of additional software products to increase efficiency and information dissemination.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Integration incentives, which represent payments to partners for access and/or exclusivity, increased because of new agreements signed in the second half of 2021. These payments are usually made in lump sums and expensed over the term of the contracts. These expenses are an important part of our ability to expand our network.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Data costs decreased 38% over the same period in the prior year as we have continued to evaluate our data vendors and partner with the most effective and valuable providers.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expect our overall operating expenses to increase in the second quarter of 2022 as we further implement our business plan and expand our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expect operating expense to increase at a slower rate throughout the balance of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 net loss of approximately $3.8 million for the three months ended March 31, 2022, as compared to a net loss of approximately $0.6 million during the same period in 2021. The reasons and specific components associated with the change are discussed above. Overall, the increase in net loss resulted from significant investments made in our people and technology infrastructure.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we had total current assets of approximately $112.7 million, compared with current liabilities of approximately $6.9 million, resulting in working capital of approximately $105.8 million and a current ratio of approximately 16 to 1. This represents an increase from our working capital of approximately $105.7 million and current ratio of 12 to 1 at December 31,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activities provided $4.1 million during the three months ended March 31, 2022, compared with $1.7 million in the same period in 2021. We had a net loss of $3.8 million for the period 2022, but noncash expenses of $3.6 million and working capital generated by the collection of receivables offset the loss.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proceeds from financing activities of approximately $0.3 million related to the exercise of stock options during the three months ended March 31, 2022. For the same period in 2021, we raised $70.7 million in a public offering of our common stock as well as generated $1.1 million from the issuance of shares related to the exercise of stock options. These proceeds in 2021 were partially offset by the payment of $1.6 million in earnout payments from a previous acquisition.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funds generated from operations, together with existing cash, will be sufficient to finance our current operations and planned growth for the next twelve (12) months. In addition, we believe we can generate the cash needed to operate beyond the next 12 months from operations. However, we may seek additional debt or equity financing to supplement cash from operations to fund acquisitions or strategic partner relationships, make capital expenditures, and satisfy working capital needs. We currently have an effective shelf registration statement, which allows us to issue, in unlimited amounts, securities, including common stock, preferred stock, debt securities, warrants, and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the Consolidated Financial Statements in the Annual Report on Form 10-K for the year ended December 31, 2021 (2021 Annual Report on Form 10-K). The accounting policies we used in preparing these financial statements are substantially consistent with those we applied in our 2021 Annual Report on Form 10-K. Our critical accounting policies are described in Management’s Discussion and Analysis included in the 2021 Annual Report on Form 10-K.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was effective for annual and interim reporting periods beginning after December 15, 2020, with early adoption permitted. The adoption of this standard did not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ASU Topic 2021-08 Business Combinations (Topic 805), Accounting for Contract Assets and Contract Liabilities from Contracts with Customers, which requires contract assets and contract liabilities acquired in a business combination to be recognized and measured by the acquirer on the acquisition date in accordance with ASC 606, Revenue from Contracts with Customers, as if it had originated the contracts. The standard is effective for the Company’s fiscal year beginning January 1, 2023, with early adoption permitted. The Company is currently evaluating the effect of this pronouncement on its Consolidated Financial Statements, but it is not expected to have a material impact.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market risk exposure related to foreign currency exchange rates. Market risk is the potential negative impact of adverse changes in these prices or rates on our Consolidated Financial Statements. We are subject to foreign currency exchange rate risk because we have foreign subsidiaries that are cost centers and pay certain expenses in foreign currencies. To manage exchange rate risk, we may enter into derivative contracts, however, historically, this risk has been insignificant and we have not entered into any derivative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 13a-15(f) under the Exchange Act), that occurred during the quarter ended March 31, 2022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pending legal proceeding.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have been no material changes in our risk factors from the risks previously reported in PART 1, ITEM 1A, “Risk Factors” of our Annual Report on Form 10-K for the year ended December 31, 2021. You should carefully consider the factors discussed in PART I, ITEM 1A, “Risk Factors” in our Annual Report on Form 10-K for the year ended December 31, 2021,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sales of unregistered securities during the quarter ended March 31, 2022 that were not previously reported on a Current Report on Form 8-K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None</w:t>
            </w: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7"/>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26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80" w:type="dxa"/>
            <w:vAlign w:val="bottom"/>
            <w:tcBorders>
              <w:top w:val="single" w:sz="8" w:color="auto"/>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OptimizeRx Corporation 2022 Cash Bonus Plan. Incorporated by reference to Exhibit 10.1 to the Company’s Current Report on Form 8-</w:t>
              </w:r>
            </w:hyperlink>
          </w:p>
        </w:tc>
      </w:tr>
      <w:tr>
        <w:trPr>
          <w:trHeight w:val="217"/>
        </w:trPr>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0000EE"/>
            </w:tcBorders>
            <w:gridSpan w:val="2"/>
            <w:shd w:val="clear" w:color="auto" w:fill="CCEEFF"/>
          </w:tcPr>
          <w:p>
            <w:pPr>
              <w:spacing w:after="0" w:line="196"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K filed on March 4, 2022.</w:t>
              </w:r>
            </w:hyperlink>
          </w:p>
        </w:tc>
        <w:tc>
          <w:tcPr>
            <w:tcW w:w="800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1260" w:type="dxa"/>
            <w:vAlign w:val="bottom"/>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9880" w:type="dxa"/>
            <w:vAlign w:val="bottom"/>
            <w:tcBorders>
              <w:bottom w:val="single" w:sz="8" w:color="0000EE"/>
            </w:tcBorders>
            <w:gridSpan w:val="7"/>
          </w:tcPr>
          <w:p>
            <w:pPr>
              <w:spacing w:after="0" w:line="17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Amendment to Employment Agreement by and between the Company and Stephen Silvestro dated February 28, 2022. Incorporated by</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reference to Exhibit 10.2 to the Company’s Current Report on Form 8-K filed on March 4, 2022.</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1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5"/>
                <w:szCs w:val="15"/>
                <w:color w:val="auto"/>
              </w:rPr>
            </w:pPr>
          </w:p>
        </w:tc>
        <w:tc>
          <w:tcPr>
            <w:tcW w:w="9880" w:type="dxa"/>
            <w:vAlign w:val="bottom"/>
            <w:gridSpan w:val="7"/>
            <w:shd w:val="clear" w:color="auto" w:fill="CCEEFF"/>
          </w:tcPr>
          <w:p>
            <w:pPr>
              <w:spacing w:after="0" w:line="17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Amendment to Employment Agreement by and between the Company and Marion Odence-Ford dated February 28, 2022. Incorporated</w:t>
              </w:r>
            </w:hyperlink>
          </w:p>
        </w:tc>
      </w:tr>
      <w:tr>
        <w:trPr>
          <w:trHeight w:val="196"/>
        </w:trPr>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by reference to Exhibit 10.3 to the Company’s Current Report on Form 8-K filed on March 4,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4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2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9880" w:type="dxa"/>
            <w:vAlign w:val="bottom"/>
            <w:tcBorders>
              <w:bottom w:val="single" w:sz="8" w:color="0000EE"/>
            </w:tcBorders>
            <w:gridSpan w:val="7"/>
          </w:tcPr>
          <w:p>
            <w:pPr>
              <w:spacing w:after="0" w:line="17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Certification of Chief Executive Officer pursuant to 18 U.S.C. Section 1350, as adopted pursuant to Section 302 of the Sarbanes-Oxley</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Act of 2002</w:t>
              </w:r>
            </w:hyperlink>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Chief Financial Officer pursuant to 18 U.S.C. Section 1350, as adopted pursuant to Section 302 of the Sarbanes-Oxley</w:t>
              </w:r>
            </w:hyperlink>
          </w:p>
        </w:tc>
      </w:tr>
      <w:tr>
        <w:trPr>
          <w:trHeight w:val="217"/>
        </w:trPr>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Act of 2002</w:t>
              </w:r>
            </w:hyperlink>
          </w:p>
        </w:tc>
        <w:tc>
          <w:tcPr>
            <w:tcW w:w="902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26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9880" w:type="dxa"/>
            <w:vAlign w:val="bottom"/>
            <w:tcBorders>
              <w:bottom w:val="single" w:sz="8" w:color="0000EE"/>
            </w:tcBorders>
            <w:gridSpan w:val="7"/>
          </w:tcPr>
          <w:p>
            <w:pPr>
              <w:spacing w:after="0" w:line="17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Certification of Chief Executive Officer and Chief Financial Officer pursuant to 18 U.S.C. Section 1350, as adopted pursuant to Section</w:t>
              </w:r>
            </w:hyperlink>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906 of the Sarbanes-Oxley Act of 2002</w:t>
              </w:r>
            </w:hyperlink>
          </w:p>
        </w:tc>
      </w:tr>
      <w:tr>
        <w:trPr>
          <w:trHeight w:val="21"/>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ind w:right="3360" w:firstLine="8"/>
        <w:spacing w:after="0" w:line="511" w:lineRule="auto"/>
        <w:tabs>
          <w:tab w:leader="none" w:pos="13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Provided herewith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May 9, 2022</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May 9, 2022</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Edward Stelmakh</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 and</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Operations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19</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31.1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2022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Edward Stelmakh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2022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Edward Stelmakh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Edward Stelmakh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March 31, 2022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980" w:type="dxa"/>
            <w:vAlign w:val="bottom"/>
            <w:gridSpan w:val="3"/>
          </w:tcPr>
          <w:p>
            <w:pPr>
              <w:spacing w:after="0"/>
              <w:rPr>
                <w:sz w:val="20"/>
                <w:szCs w:val="20"/>
                <w:color w:val="auto"/>
              </w:rPr>
            </w:pPr>
            <w:r>
              <w:rPr>
                <w:rFonts w:ascii="Arial" w:cs="Arial" w:eastAsia="Arial" w:hAnsi="Arial"/>
                <w:sz w:val="18"/>
                <w:szCs w:val="18"/>
                <w:color w:val="auto"/>
              </w:rPr>
              <w:t>/s/ William J Febbo</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Willian J Febbo</w:t>
            </w:r>
          </w:p>
        </w:tc>
        <w:tc>
          <w:tcPr>
            <w:tcW w:w="580" w:type="dxa"/>
            <w:vAlign w:val="bottom"/>
            <w:gridSpan w:val="2"/>
          </w:tcPr>
          <w:p>
            <w:pPr>
              <w:spacing w:after="0"/>
              <w:rPr>
                <w:sz w:val="19"/>
                <w:szCs w:val="19"/>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gridSpan w:val="3"/>
          </w:tcPr>
          <w:p>
            <w:pPr>
              <w:spacing w:after="0"/>
              <w:rPr>
                <w:sz w:val="20"/>
                <w:szCs w:val="20"/>
                <w:color w:val="auto"/>
              </w:rPr>
            </w:pPr>
            <w:r>
              <w:rPr>
                <w:rFonts w:ascii="Arial" w:cs="Arial" w:eastAsia="Arial" w:hAnsi="Arial"/>
                <w:sz w:val="18"/>
                <w:szCs w:val="18"/>
                <w:color w:val="auto"/>
                <w:w w:val="93"/>
              </w:rPr>
              <w:t>Principal Executive Officer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spacing w:after="0"/>
              <w:rPr>
                <w:sz w:val="20"/>
                <w:szCs w:val="20"/>
                <w:color w:val="auto"/>
              </w:rPr>
            </w:pPr>
            <w:r>
              <w:rPr>
                <w:rFonts w:ascii="Arial" w:cs="Arial" w:eastAsia="Arial" w:hAnsi="Arial"/>
                <w:sz w:val="18"/>
                <w:szCs w:val="18"/>
                <w:color w:val="auto"/>
              </w:rPr>
              <w:t>May 9, 2022</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By:</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/s/ Edward Stelmakh</w:t>
            </w:r>
          </w:p>
        </w:tc>
        <w:tc>
          <w:tcPr>
            <w:tcW w:w="480" w:type="dxa"/>
            <w:vAlign w:val="bottom"/>
          </w:tcPr>
          <w:p>
            <w:pPr>
              <w:spacing w:after="0"/>
              <w:rPr>
                <w:sz w:val="24"/>
                <w:szCs w:val="24"/>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Name:</w:t>
            </w:r>
          </w:p>
        </w:tc>
        <w:tc>
          <w:tcPr>
            <w:tcW w:w="1980" w:type="dxa"/>
            <w:vAlign w:val="bottom"/>
            <w:gridSpan w:val="3"/>
          </w:tcPr>
          <w:p>
            <w:pPr>
              <w:spacing w:after="0"/>
              <w:rPr>
                <w:sz w:val="20"/>
                <w:szCs w:val="20"/>
                <w:color w:val="auto"/>
              </w:rPr>
            </w:pPr>
            <w:r>
              <w:rPr>
                <w:rFonts w:ascii="Arial" w:cs="Arial" w:eastAsia="Arial" w:hAnsi="Arial"/>
                <w:sz w:val="18"/>
                <w:szCs w:val="18"/>
                <w:color w:val="auto"/>
              </w:rPr>
              <w:t>Edward Stelmakh</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Title:</w:t>
            </w:r>
          </w:p>
        </w:tc>
        <w:tc>
          <w:tcPr>
            <w:tcW w:w="1980" w:type="dxa"/>
            <w:vAlign w:val="bottom"/>
            <w:gridSpan w:val="3"/>
          </w:tcPr>
          <w:p>
            <w:pPr>
              <w:spacing w:after="0"/>
              <w:rPr>
                <w:sz w:val="20"/>
                <w:szCs w:val="20"/>
                <w:color w:val="auto"/>
              </w:rPr>
            </w:pPr>
            <w:r>
              <w:rPr>
                <w:rFonts w:ascii="Arial" w:cs="Arial" w:eastAsia="Arial" w:hAnsi="Arial"/>
                <w:sz w:val="18"/>
                <w:szCs w:val="18"/>
                <w:color w:val="auto"/>
                <w:w w:val="96"/>
              </w:rPr>
              <w:t>Principal Financial Officer</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spacing w:after="0"/>
              <w:rPr>
                <w:sz w:val="20"/>
                <w:szCs w:val="20"/>
                <w:color w:val="auto"/>
              </w:rPr>
            </w:pPr>
            <w:r>
              <w:rPr>
                <w:rFonts w:ascii="Arial" w:cs="Arial" w:eastAsia="Arial" w:hAnsi="Arial"/>
                <w:sz w:val="18"/>
                <w:szCs w:val="18"/>
                <w:color w:val="auto"/>
              </w:rPr>
              <w:t>May 9, 2022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2"/>
      <w:numFmt w:val="bullet"/>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46" Type="http://schemas.openxmlformats.org/officeDocument/2006/relationships/hyperlink" Target="http://www.sec.gov/Archives/edgar/data/1448431/000121390022010768/ea156483ex10-1_optimizerx.htm" TargetMode="External"/><Relationship Id="rId47" Type="http://schemas.openxmlformats.org/officeDocument/2006/relationships/hyperlink" Target="http://www.sec.gov/Archives/edgar/data/1448431/000121390022010768/ea156483ex10-2_optimizerx.htm" TargetMode="External"/><Relationship Id="rId48" Type="http://schemas.openxmlformats.org/officeDocument/2006/relationships/hyperlink" Target="http://www.sec.gov/Archives/edgar/data/1448431/000121390022010768/ea156483ex10-3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2022-05-09T16:57:17Z</dcterms:created>
  <dcterms:modified xsi:type="dcterms:W3CDTF">2022-05-09T16:57:17Z</dcterms:modified>
</cp:coreProperties>
</file>