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REGISTRATION STATEMENT </w:t>
      </w:r>
      <w:r>
        <w:rPr>
          <w:rFonts w:ascii="Times New Roman" w:cs="Times New Roman" w:eastAsia="Times New Roman" w:hAnsi="Times New Roman"/>
          <w:sz w:val="18"/>
          <w:szCs w:val="18"/>
          <w:b w:val="1"/>
          <w:bCs w:val="1"/>
          <w:i w:val="1"/>
          <w:iCs w:val="1"/>
          <w:color w:val="auto"/>
        </w:rPr>
        <w:t>UNDER THE SECURITIES ACT OF 1933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04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1200" w:type="dxa"/>
            <w:vAlign w:val="bottom"/>
          </w:tcPr>
          <w:p>
            <w:pPr>
              <w:spacing w:after="0"/>
              <w:rPr>
                <w:sz w:val="22"/>
                <w:szCs w:val="22"/>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36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40" w:type="dxa"/>
            <w:vAlign w:val="bottom"/>
          </w:tcPr>
          <w:p>
            <w:pPr>
              <w:spacing w:after="0"/>
              <w:rPr>
                <w:sz w:val="17"/>
                <w:szCs w:val="17"/>
                <w:color w:val="auto"/>
              </w:rPr>
            </w:pPr>
          </w:p>
        </w:tc>
        <w:tc>
          <w:tcPr>
            <w:tcW w:w="3240" w:type="dxa"/>
            <w:vAlign w:val="bottom"/>
            <w:tcBorders>
              <w:top w:val="single" w:sz="8" w:color="auto"/>
            </w:tcBorders>
            <w:gridSpan w:val="4"/>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4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Doney Ventures, Inc.</w:t>
            </w:r>
          </w:p>
        </w:tc>
      </w:tr>
      <w:tr>
        <w:trPr>
          <w:trHeight w:val="216"/>
        </w:trPr>
        <w:tc>
          <w:tcPr>
            <w:tcW w:w="390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400 Water Street, Suite 200</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80" w:type="dxa"/>
            <w:vAlign w:val="bottom"/>
            <w:gridSpan w:val="3"/>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4955 S. Durango Rd. Ste. 165.</w:t>
            </w:r>
          </w:p>
        </w:tc>
      </w:tr>
      <w:tr>
        <w:trPr>
          <w:trHeight w:val="216"/>
        </w:trPr>
        <w:tc>
          <w:tcPr>
            <w:tcW w:w="390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Rochester, MI 48307</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Las Vegas, NV 89113</w:t>
            </w:r>
          </w:p>
        </w:tc>
      </w:tr>
      <w:tr>
        <w:trPr>
          <w:trHeight w:val="245"/>
        </w:trPr>
        <w:tc>
          <w:tcPr>
            <w:tcW w:w="3660" w:type="dxa"/>
            <w:vAlign w:val="bottom"/>
            <w:tcBorders>
              <w:bottom w:val="single" w:sz="8" w:color="auto"/>
            </w:tcBorders>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(248) 651-6568</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280" w:type="dxa"/>
            <w:vAlign w:val="bottom"/>
            <w:tcBorders>
              <w:bottom w:val="single" w:sz="8" w:color="auto"/>
            </w:tcBorders>
            <w:gridSpan w:val="3"/>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(702) 982-5686</w:t>
            </w:r>
          </w:p>
        </w:tc>
      </w:tr>
      <w:tr>
        <w:trPr>
          <w:trHeight w:val="198"/>
        </w:trPr>
        <w:tc>
          <w:tcPr>
            <w:tcW w:w="56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(Address, including zip code, and telephone number, including area code,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80" w:type="dxa"/>
            <w:vAlign w:val="bottom"/>
            <w:gridSpan w:val="4"/>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(Name, address, including zip code, and telephone number, including area</w:t>
            </w:r>
          </w:p>
        </w:tc>
      </w:tr>
      <w:tr>
        <w:trPr>
          <w:trHeight w:val="234"/>
        </w:trPr>
        <w:tc>
          <w:tcPr>
            <w:tcW w:w="390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rPr>
              <w:t>principal executive offices)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60" w:type="dxa"/>
            <w:vAlign w:val="bottom"/>
            <w:gridSpan w:val="2"/>
          </w:tcPr>
          <w:p>
            <w:pPr>
              <w:jc w:val="center"/>
              <w:ind w:right="1650"/>
              <w:spacing w:after="0"/>
              <w:rPr>
                <w:sz w:val="20"/>
                <w:szCs w:val="20"/>
                <w:color w:val="auto"/>
              </w:rPr>
            </w:pPr>
            <w:r>
              <w:rPr>
                <w:rFonts w:ascii="Times New Roman" w:cs="Times New Roman" w:eastAsia="Times New Roman" w:hAnsi="Times New Roman"/>
                <w:sz w:val="18"/>
                <w:szCs w:val="18"/>
                <w:color w:val="auto"/>
                <w:w w:val="99"/>
              </w:rPr>
              <w:t>code, of agent for service)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time to time after this registration statement becomes effective.</w:t>
      </w:r>
    </w:p>
    <w:p>
      <w:pPr>
        <w:spacing w:after="0" w:line="207"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0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37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3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 to be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Registered(1)</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 w:type="dxa"/>
            <w:vAlign w:val="bottom"/>
          </w:tcPr>
          <w:p>
            <w:pPr>
              <w:spacing w:after="0"/>
              <w:rPr>
                <w:sz w:val="18"/>
                <w:szCs w:val="18"/>
                <w:color w:val="auto"/>
              </w:rPr>
            </w:pPr>
          </w:p>
        </w:tc>
        <w:tc>
          <w:tcPr>
            <w:tcW w:w="12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45"/>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 of securities to be registered</w:t>
            </w:r>
          </w:p>
        </w:tc>
        <w:tc>
          <w:tcPr>
            <w:tcW w:w="34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1"/>
                <w:szCs w:val="21"/>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 Share(3)</w:t>
            </w:r>
          </w:p>
        </w:tc>
        <w:tc>
          <w:tcPr>
            <w:tcW w:w="12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250"/>
        </w:trPr>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$ 13,750,019.25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1,711.88</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37"/>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1,666,669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$ 13,750,019.25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1,711.88</w:t>
            </w:r>
          </w:p>
        </w:tc>
        <w:tc>
          <w:tcPr>
            <w:tcW w:w="80" w:type="dxa"/>
            <w:vAlign w:val="bottom"/>
          </w:tcPr>
          <w:p>
            <w:pPr>
              <w:spacing w:after="0"/>
              <w:rPr>
                <w:sz w:val="20"/>
                <w:szCs w:val="20"/>
                <w:color w:val="auto"/>
              </w:rPr>
            </w:pPr>
          </w:p>
        </w:tc>
      </w:tr>
      <w:tr>
        <w:trPr>
          <w:trHeight w:val="21"/>
        </w:trPr>
        <w:tc>
          <w:tcPr>
            <w:tcW w:w="3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60" w:hanging="452"/>
        <w:spacing w:after="0" w:line="25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the shares being registered hereunder include such indeterminate number of shares of our Common Stock as may be issuable with respect to the shares being registered hereunder to prevent dilution by reason of any stock dividend, stock split, recapitalization or other similar transaction.</w:t>
      </w:r>
    </w:p>
    <w:p>
      <w:pPr>
        <w:spacing w:after="0" w:line="1"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one-for-three reverse stock split of our common stock was effected on May 14, 2018. All share and per share information has been retroactively adjusted to give effect to the reverse stock split for all periods presented.</w:t>
      </w:r>
    </w:p>
    <w:p>
      <w:pPr>
        <w:ind w:left="460" w:hanging="452"/>
        <w:spacing w:after="0" w:line="26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under the Securities Act based upon the closing price per share of our Common Stock as reported on the OTCQB, on May 17, 2018.</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Doney, Esq.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Doney Law Firm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4955 S. Durango Rd. Ste 165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(702) 982-5686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May __,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1,666,669 Shares of Common Stock</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by the Selling Shareholders named herein or their transferees of up to 1,666,669 shares of our Common Stock, par value $0.001 per share (the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Shareholders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“Plan of Distribution” beginning on page 10 for more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Common Stock sold by the Selling Shareholders.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pay certain expenses in connection with this registration statement. The Selling Shareholders will pay all underwriting discounts and selling commissions, if any, in connection with the sale or other disposition of the shares of Common Stock covered hereby.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OTCQB under the symbol “OPRX.” On May 18, 2018, the last reported sale price of our Common Stock was $8.02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one-for-three reverse stock split of our common stock was effected on May 14, 2018. All share and per share information in this Prospectus has been retroactively adjusted to give effect to the reverse stock split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risks. See “Risk Factors” beginning on page 3.</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May 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ABOUT THIS PROSPECTUS</w:t>
              </w:r>
            </w:hyperlink>
          </w:p>
        </w:tc>
        <w:tc>
          <w:tcPr>
            <w:tcW w:w="7360" w:type="dxa"/>
            <w:vAlign w:val="bottom"/>
            <w:tcBorders>
              <w:bottom w:val="single" w:sz="8" w:color="CCEEFF"/>
            </w:tcBorders>
            <w:gridSpan w:val="13"/>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80" w:type="dxa"/>
            <w:vAlign w:val="bottom"/>
            <w:gridSpan w:val="21"/>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ABOUT FORWARD-LOOKING STATEMENTS</w:t>
              </w:r>
            </w:hyperlink>
          </w:p>
        </w:tc>
        <w:tc>
          <w:tcPr>
            <w:tcW w:w="18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SUMMARY</w:t>
              </w:r>
            </w:hyperlink>
          </w:p>
        </w:tc>
        <w:tc>
          <w:tcPr>
            <w:tcW w:w="1820" w:type="dxa"/>
            <w:vAlign w:val="bottom"/>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RISK FACTORS</w:t>
              </w:r>
            </w:hyperlink>
          </w:p>
        </w:tc>
        <w:tc>
          <w:tcPr>
            <w:tcW w:w="18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USE OF PROCEEDS</w:t>
              </w:r>
            </w:hyperlink>
          </w:p>
        </w:tc>
        <w:tc>
          <w:tcPr>
            <w:tcW w:w="1820" w:type="dxa"/>
            <w:vAlign w:val="bottom"/>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DETERMINATION OF OFFERING PRICE</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SELLING SHAREHOLDERS</w:t>
              </w:r>
            </w:hyperlink>
          </w:p>
        </w:tc>
        <w:tc>
          <w:tcPr>
            <w:tcW w:w="1820" w:type="dxa"/>
            <w:vAlign w:val="bottom"/>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PLAN OF DISTRIBUTION</w:t>
              </w:r>
            </w:hyperlink>
          </w:p>
        </w:tc>
        <w:tc>
          <w:tcPr>
            <w:tcW w:w="7380" w:type="dxa"/>
            <w:vAlign w:val="bottom"/>
            <w:tcBorders>
              <w:top w:val="single" w:sz="8" w:color="CCEEFF"/>
            </w:tcBorders>
            <w:gridSpan w:val="14"/>
          </w:tcPr>
          <w:p>
            <w:pPr>
              <w:spacing w:after="0"/>
              <w:rPr>
                <w:sz w:val="15"/>
                <w:szCs w:val="15"/>
                <w:color w:val="auto"/>
              </w:rPr>
            </w:pPr>
          </w:p>
        </w:tc>
        <w:tc>
          <w:tcPr>
            <w:tcW w:w="1820" w:type="dxa"/>
            <w:vAlign w:val="bottom"/>
            <w:tcBorders>
              <w:top w:val="single" w:sz="8" w:color="CCEEFF"/>
            </w:tcBorders>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LEGAL PROCEEDINGS</w:t>
              </w:r>
            </w:hyperlink>
          </w:p>
        </w:tc>
        <w:tc>
          <w:tcPr>
            <w:tcW w:w="1820" w:type="dxa"/>
            <w:vAlign w:val="bottom"/>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DIRECTORS, EXECUTIVE OFFICERS, PROMOTERS AND CONTROL PERSONS</w:t>
              </w:r>
            </w:hyperlink>
          </w:p>
        </w:tc>
        <w:tc>
          <w:tcPr>
            <w:tcW w:w="18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2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SECURITY OWNERSHIP OF CERTAIN BENEFICIAL OWNERS AND MANAGEMENT</w:t>
              </w:r>
            </w:hyperlink>
          </w:p>
        </w:tc>
        <w:tc>
          <w:tcPr>
            <w:tcW w:w="2860" w:type="dxa"/>
            <w:vAlign w:val="bottom"/>
            <w:tcBorders>
              <w:bottom w:val="single" w:sz="8" w:color="CCEEFF"/>
            </w:tcBorders>
            <w:gridSpan w:val="2"/>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80" w:type="dxa"/>
            <w:vAlign w:val="bottom"/>
            <w:gridSpan w:val="21"/>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DESCRIPTION OF SECURITIES</w:t>
              </w:r>
            </w:hyperlink>
          </w:p>
        </w:tc>
        <w:tc>
          <w:tcPr>
            <w:tcW w:w="18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INTERESTS OF NAMED EXPERTS AND COUNSEL</w:t>
              </w:r>
            </w:hyperlink>
          </w:p>
        </w:tc>
        <w:tc>
          <w:tcPr>
            <w:tcW w:w="1820" w:type="dxa"/>
            <w:vAlign w:val="bottom"/>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DISCLOSURE OF COMMISSION POSITION OF INDEMNIFICATION FOR SECURITIES ACT LIABILITIES</w:t>
              </w:r>
            </w:hyperlink>
          </w:p>
        </w:tc>
        <w:tc>
          <w:tcPr>
            <w:tcW w:w="18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DESCRIPTION OF BUSINESS</w:t>
              </w:r>
            </w:hyperlink>
          </w:p>
        </w:tc>
        <w:tc>
          <w:tcPr>
            <w:tcW w:w="1820" w:type="dxa"/>
            <w:vAlign w:val="bottom"/>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tcPr>
          <w:p>
            <w:pPr>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CERTAIN RELATIONSHIPS AND RELATED TRANSACTIONS</w:t>
              </w:r>
            </w:hyperlink>
          </w:p>
        </w:tc>
        <w:tc>
          <w:tcPr>
            <w:tcW w:w="18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MARKET FOR COMMON EQUITY AND RELATED STOCKHOLDER MATTERS</w:t>
              </w:r>
            </w:hyperlink>
          </w:p>
        </w:tc>
        <w:tc>
          <w:tcPr>
            <w:tcW w:w="3340" w:type="dxa"/>
            <w:vAlign w:val="bottom"/>
            <w:tcBorders>
              <w:bottom w:val="single" w:sz="8" w:color="CCEEFF"/>
            </w:tcBorders>
            <w:gridSpan w:val="4"/>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80" w:type="dxa"/>
            <w:vAlign w:val="bottom"/>
            <w:gridSpan w:val="21"/>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EXECUTIVE COMPENSATION</w:t>
              </w:r>
            </w:hyperlink>
          </w:p>
        </w:tc>
        <w:tc>
          <w:tcPr>
            <w:tcW w:w="18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4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FINANCIAL STATEMENTS</w:t>
              </w:r>
            </w:hyperlink>
          </w:p>
        </w:tc>
        <w:tc>
          <w:tcPr>
            <w:tcW w:w="7440" w:type="dxa"/>
            <w:vAlign w:val="bottom"/>
            <w:tcBorders>
              <w:bottom w:val="single" w:sz="8" w:color="CCEEFF"/>
            </w:tcBorders>
            <w:gridSpan w:val="15"/>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80" w:type="dxa"/>
            <w:vAlign w:val="bottom"/>
            <w:gridSpan w:val="21"/>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CHANGES IN AND DISAGREEMENTS WITH ACCOUNTANTS</w:t>
              </w:r>
            </w:hyperlink>
          </w:p>
        </w:tc>
        <w:tc>
          <w:tcPr>
            <w:tcW w:w="18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AVAILABLE INFORMATION</w:t>
              </w:r>
            </w:hyperlink>
          </w:p>
        </w:tc>
        <w:tc>
          <w:tcPr>
            <w:tcW w:w="1820" w:type="dxa"/>
            <w:vAlign w:val="bottom"/>
            <w:shd w:val="clear" w:color="auto" w:fill="CCEEFF"/>
          </w:tcPr>
          <w:p>
            <w:pPr>
              <w:jc w:val="center"/>
              <w:ind w:left="83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150495</wp:posOffset>
            </wp:positionV>
            <wp:extent cx="7216140" cy="5603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140" cy="56038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Securities and Exchange Commission, or the SEC. Under this registration process, the selling shareholders or their transferees may, from time to time, sell or otherwise dispose of up to 1,666,669 shares of our Common Stock, as described in this prospectus. You should read this prospectus carefully before making an investment decision.</w:t>
      </w:r>
    </w:p>
    <w:p>
      <w:pPr>
        <w:spacing w:after="0" w:line="176"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88"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FORWARD-LOOKING STATEMENTS</w:t>
      </w:r>
    </w:p>
    <w:p>
      <w:pPr>
        <w:spacing w:after="0" w:line="229" w:lineRule="exact"/>
        <w:rPr>
          <w:sz w:val="20"/>
          <w:szCs w:val="20"/>
          <w:color w:val="auto"/>
        </w:rPr>
      </w:pPr>
    </w:p>
    <w:p>
      <w:pPr>
        <w:jc w:val="both"/>
        <w:ind w:left="10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9"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3 of this prospectus.</w:t>
      </w:r>
    </w:p>
    <w:p>
      <w:pPr>
        <w:spacing w:after="0" w:line="180"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150495</wp:posOffset>
            </wp:positionV>
            <wp:extent cx="7216140" cy="5329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140" cy="53295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229"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Shares Issued in Connection With the May 2018 Private Placement Financing</w:t>
      </w:r>
    </w:p>
    <w:p>
      <w:pPr>
        <w:spacing w:after="0" w:line="229" w:lineRule="exact"/>
        <w:rPr>
          <w:sz w:val="20"/>
          <w:szCs w:val="20"/>
          <w:color w:val="auto"/>
        </w:rPr>
      </w:pPr>
    </w:p>
    <w:p>
      <w:pPr>
        <w:jc w:val="both"/>
        <w:ind w:left="100"/>
        <w:spacing w:after="0" w:line="266" w:lineRule="auto"/>
        <w:rPr>
          <w:sz w:val="20"/>
          <w:szCs w:val="20"/>
          <w:color w:val="auto"/>
        </w:rPr>
      </w:pPr>
      <w:r>
        <w:rPr>
          <w:rFonts w:ascii="Times New Roman" w:cs="Times New Roman" w:eastAsia="Times New Roman" w:hAnsi="Times New Roman"/>
          <w:sz w:val="18"/>
          <w:szCs w:val="18"/>
          <w:color w:val="auto"/>
        </w:rPr>
        <w:t>On May 2, 2018, we entered into a purchase agreement (the “Purchase Agreement”) with the purchasers identified on the signature pages thereto (the “Investors”), pursuant to which we sold to the Investors an aggregate of 1,666,669 shares (the “Shares”) of our Common Stock, par value $0.001 per share (“Common Stock”), for $5.40 per Share, or gross proceeds of approximately $9,000,000 (the “Offering”).</w:t>
      </w:r>
    </w:p>
    <w:p>
      <w:pPr>
        <w:spacing w:after="0" w:line="176" w:lineRule="exact"/>
        <w:rPr>
          <w:sz w:val="20"/>
          <w:szCs w:val="20"/>
          <w:color w:val="auto"/>
        </w:rPr>
      </w:pPr>
    </w:p>
    <w:p>
      <w:pPr>
        <w:jc w:val="both"/>
        <w:ind w:left="100"/>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on May 2, 2018, we entered into a registration rights agreement with the Investors (the “Registration Rights Agreement”), pursuant to which we agreed to register the Shares acquired by the Investors in the Offering (the “Registrable Securities”) for sale or other disposition by the Selling Shareholders or their transferees. Pursuant to the Registration Rights Agreement, we agreed to file a registration statement (the “Registration Statement”) with the Securities and Exchange Commission (the “SEC”) for the resale or other disposition of the Registrable Securities within 30 days following the close of the Offering and to use our commercially reasonable efforts to cause the Registration Statement to be declared effective as soon as practicable after the filing thereof.</w:t>
      </w:r>
    </w:p>
    <w:p>
      <w:pPr>
        <w:spacing w:after="0" w:line="188" w:lineRule="exact"/>
        <w:rPr>
          <w:sz w:val="20"/>
          <w:szCs w:val="20"/>
          <w:color w:val="auto"/>
        </w:rPr>
      </w:pPr>
    </w:p>
    <w:p>
      <w:pPr>
        <w:jc w:val="both"/>
        <w:ind w:left="100"/>
        <w:spacing w:after="0" w:line="254" w:lineRule="auto"/>
        <w:rPr>
          <w:sz w:val="20"/>
          <w:szCs w:val="20"/>
          <w:color w:val="auto"/>
        </w:rPr>
      </w:pPr>
      <w:r>
        <w:rPr>
          <w:rFonts w:ascii="Times New Roman" w:cs="Times New Roman" w:eastAsia="Times New Roman" w:hAnsi="Times New Roman"/>
          <w:sz w:val="18"/>
          <w:szCs w:val="18"/>
          <w:color w:val="auto"/>
        </w:rPr>
        <w:t>In the event that, among other things, the Registration Statement (i) is not been filed by 30 days following the close of the Offering, (ii) is not declared effective by the earlier of (A) five business days after the SEC informs the Company that no review of the Registration Statement will be made or that the SEC has no further comments on the Registration Statement and (B) 90 days following the close of the Offering, or (iii) after the effective date of the Registration Statement sales cannot be made thereunder (other than certain allowed delays), we have agreed to make payments to each Investor as liquidated damages in an amount equal to 1.5% of the aggregate amount invested by each such Investor per 30-day period. In addition, we have agreed to keep the Registration Statement continuously effective (subject to certain allowed delays) until the earlier of (i) the date on which all Registrable Securities covered by such Registration Statement as amended from time to time, have been sold or otherwise disposed of pursuant to the Registration Statement or in a transaction in which the transferee receives freely tradable shares., and (ii) the date on which the Registrable Securities no longer constitute “Registrable Securities” thereunder.</w:t>
      </w: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historically experienced losses, if we are unable to achieve profitability, our financial condition and company could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growth may suffer if we are unable to attract and retain key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No assurance can be given that we will be successful in this regard. If we are unable to engage and retain the necessary personnel, our business may be materially and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retain or attract additional customers could prevent us from successfully executing our business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concentrated group of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concentrated in approximately 25 customers, primarily large pharmaceutical manufacturers and large advertising agencies. Loss of one or more of our larger customers could have a negative impact on our operating results. In each of 2016 and 2017, our largest customer in the year accounted for approximately 12% of revenues, although it was a different customer in each year.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support our technology to further scale our operations successfully.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contracts with electronic prescription platforms, our business will suffer.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completed the development and migration of our on-demand, rule based content delivery platform.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adhere to the regulatory and competitive climate in which we operate, we could be materially and negatively impacted.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 to the labyrinth of regulations in the healthcare space, state and federal, as well as political sensitivity of healthcare delivery, our business model could be negatively impacted or fail.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the healthcare industry could adversely affect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prohibiting the use of coupons by patients covered by federally funded health insurance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governmental funding for healthcare;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payers or providers, pharmaceutical, biotechnology or medical device companies or other healthcare industry participants.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design of health insurance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new drugs or medical devices coming to market;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pressure to move to generic brands.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suffer if our network systems fail or become unavailable.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our operations could be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 of corporate governance and public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market for our Common Stock does not develop, shareholders may be unable to sell their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new products and services by us or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our products and services;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partnerships with other healthcare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operations, technology, products and services;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below or exceeding expectations;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profits or not;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addition of any strategic relationship;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are subject to the “Penny Stock” rules, the level of trading activity in our stock may be reduced.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 Any return on investment may be limited to the value of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covered by this prospectus are being sold or otherwise disposed of by the Selling Shareholders or their transferees. See “Selling Shareholders” below. We will not receive any proceeds from the sale of other disposition of the shares covered hereby.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pay all expenses associated with effecting the registration of the shares covered hereby, including filing and printing fees, the Company’s counsel and accounting fees and expenses, costs associated with clearing the shares for sale under applicable state securities laws, listing fees, fees and expenses of one counsel to the Investors up to an aggregate of $10,000 and the Investors’ other reasonable out-of-pocket expenses in connection with the registration, but excluding discounts, commissions, fees of underwriters, selling brokers, dealer managers or similar securities industry professionals with respect to the shares being sold.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prepared this prospectus to allow the Selling Shareholders or their transferees to sell or otherwise dispose of, from time to time, up to 1,666,669 shares of our Common Stock. All of the shares of Common Stock being offered under this prospectus were issued in connection with our May 2018 Private Placement.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sold pursuant to an exemption from registration provided by Section 4(a)(2) of the Securities Act and/or Regulation D under the Securities Act. In connection therewith, the Investors made to us certain representations, warranties, covenants, and conditions customary for private placement investments.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11,545,611 shares of Common Stock issued and outstanding as of May 16, 2018. Beneficial ownership is determined under Section 13(d) of the Exchange Act and generally includes voting or investment power with respect to securities and including any securities that grant the Selling Shareholders the right to acquire Common Stock within 60 days of May 16, 2018. Unless otherwise noted, each person or group identified possesses sole voting and investment power with respect to the shares, subject to community property laws where applicable.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know when or in what amounts the Selling Shareholders may sell or otherwise dispose of the shares covered hereby. We currently have no agreements, arrangements or understandings with the Selling Shareholders regarding the sale or other disposition of any of the shares by them other than the registration rights agreement described above.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 For purposes of determining the beneficial ownership of the Selling Shareholders after this offering, we have assumed that all of the shares covered hereby have been sold pursuant to the registration statement of which this prospectus forms a part.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400" w:type="dxa"/>
            <w:vAlign w:val="bottom"/>
            <w:tcBorders>
              <w:bottom w:val="single" w:sz="8" w:color="auto"/>
            </w:tcBorders>
          </w:tcPr>
          <w:p>
            <w:pPr>
              <w:spacing w:after="0"/>
              <w:rPr>
                <w:sz w:val="21"/>
                <w:szCs w:val="21"/>
                <w:color w:val="auto"/>
              </w:rPr>
            </w:pPr>
          </w:p>
        </w:tc>
      </w:tr>
      <w:tr>
        <w:trPr>
          <w:trHeight w:val="194"/>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Outstanding</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the Sale of all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the Sale of all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After the Sale of</w:t>
            </w:r>
          </w:p>
        </w:tc>
      </w:tr>
      <w:tr>
        <w:trPr>
          <w:trHeight w:val="216"/>
        </w:trPr>
        <w:tc>
          <w:tcPr>
            <w:tcW w:w="53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covered by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Covered by</w:t>
            </w: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covered by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covered by</w:t>
            </w:r>
          </w:p>
        </w:tc>
      </w:tr>
      <w:tr>
        <w:trPr>
          <w:trHeight w:val="245"/>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00" w:type="dxa"/>
            <w:vAlign w:val="bottom"/>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00" w:type="dxa"/>
            <w:vAlign w:val="bottom"/>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Situations Fund III QP, L.P.(1)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812,130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259,537</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Special Situations Cayman Fund, L.P. (1)</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303,730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206,667</w:t>
            </w:r>
          </w:p>
        </w:tc>
        <w:tc>
          <w:tcPr>
            <w:tcW w:w="10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97,063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Situations Private Equity Fund, L.P.(1)</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252,065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85,398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Park West Partners International Limited(2)</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68,733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59,267</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9,466</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 West Investors Master Fund, Limited(2)</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607,934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524,067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83,868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1%</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First Bank &amp; Trust Custodian for Ronald L. Chez IRA(3)</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157,408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157,408</w:t>
            </w:r>
          </w:p>
        </w:tc>
        <w:tc>
          <w:tcPr>
            <w:tcW w:w="100" w:type="dxa"/>
            <w:vAlign w:val="bottom"/>
          </w:tcPr>
          <w:p>
            <w:pPr>
              <w:spacing w:after="0"/>
              <w:rPr>
                <w:sz w:val="20"/>
                <w:szCs w:val="20"/>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ind w:left="460" w:hanging="452"/>
        <w:spacing w:after="0" w:line="272" w:lineRule="auto"/>
        <w:tabs>
          <w:tab w:leader="none" w:pos="4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AWM Investment Company, Inc. (“AWM”) is the investment adviser to the Special Situations Fund III, QP, L.P., the Special Situations Cayman Fund, L.P. and the Special Situations Private Equity Fund, L.P. (collectively, the “Funds”). As the investment adviser to the Funds, AWM holds sole voting and investment power over the shares held by the Funds. Austin W. Marxe, David M. Greenhouse and Adam Stettner are the principal owners of AWM.</w:t>
      </w:r>
    </w:p>
    <w:p>
      <w:pPr>
        <w:spacing w:after="0" w:line="1" w:lineRule="exact"/>
        <w:rPr>
          <w:rFonts w:ascii="Times New Roman" w:cs="Times New Roman" w:eastAsia="Times New Roman" w:hAnsi="Times New Roman"/>
          <w:sz w:val="17"/>
          <w:szCs w:val="17"/>
          <w:color w:val="auto"/>
        </w:rPr>
      </w:pPr>
    </w:p>
    <w:p>
      <w:pPr>
        <w:jc w:val="both"/>
        <w:ind w:left="460" w:hanging="452"/>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West Asset Management LLC (“PWAM”) is the investment manager to Park West Investors Master Fund, Limited (“PWIMF”), and Park West Partners International, Limited (“PWPI”). Peter S. Park, manager of PWAM, has sole voting and investment power with respect to the shares held by PWIMF and PWPI.</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l. Chez has voting and dispositive power with respect to the shares.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Information about the Selling Shareholders may change from time to time. Any changed information with respect to which we are given notice will be included in prospectus supplements.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Selling Shareholders, which as used herein includes donees, pledgees, transferees or other successors-in-interest selling shares of Common Stock or interests in shares of Common Stock received after the date of this prospectus from a Selling Shareholder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shares at a stipulated price per share;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shares of Common Stock in other circumstances, in which case the transferees, pledgees or other successors in interest will be the selling beneficial owners for purposes of this prospectus.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Shareholders may enter into hedging transactions with broker-dealers or other financial institutions, which may in turn engage in short sales of the Common Stock in the course of hedging the positions they assume. The Selling Shareholders may also sell shares of our Common Stock short and deliver these securities to close out their short positions, or loan or pledge the Common Stock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proceeds to the Selling Shareholders from the sale of the Common Stock offered by them will be the purchase price of the Common Stock less discounts or commissions, if any. Each of the Selling Shareholders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Shareholders also may resell all or a portion of the shares in open market transactions in reliance upon Rule 144 under the Securities Act of 1933, provided that they meet the criteria and conform to the requirements of that rule.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Shareholders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Shareholders,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Shareholders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with the Selling Shareholders to keep the registration statement of which this prospectus constitutes a part effective until the earlier of (i) the date that such securities become eligible for resale without volume or manner-of-sale restrictions and without current public information pursuant to Rule 144 and certain other conditions have been satisfied, or (ii) all of the securities have been sold or otherwise disposed of pursuant to the registration statement of which this prospectus forms a part or in a transaction in which the transferee receives freely tradable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5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744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Miriam J. Paramore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Hamilton</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 Sales</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Douglas P. Baker</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Gus D. Halas</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and 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Patrick Spangler</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Archambault</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Lynn Vos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Lang</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Febbo joined our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Febbo is qualified to serve on our Board of Directors because of his wealth of experience in building and managing health services and financial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Miriam J. Paramore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Paramore joined the company as President in August 2017. She has vast experience with healthcare companies, running businesses ranging from start-ups to large divisions of public and private companies. Her early career was spent at Ernst &amp; Young, as a Healthcare Management Consultant. She has since occupied executive level and director positions at several healthcare companies. Most recently, from April 2016 to April 2017, Ms. Paramore served as COO and CTO of Lucro, Inc., a privately held company in| Nashville, Tennessee focused on the healthcare sector. From March 2015 to February 2016, she served as Executive Vice President of PDX a privately held company in Fort Worth, Texas that provides health information technology for pharmacies. From May 2008 to December 2013, she served as Executive Vice President of Emdeon, Inc. in Nashville, Tennessee, a health information technology and tech-enabled services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Ms. Paramore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Terence J. Hamilton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Hamilton joined our company as VP of Sales in February 2008 and became SVP of Sales in 2016.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 Mr. Hamilton was a Director of the Company from 2008 through March 2016.</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Gus D. Halas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Halas is qualified to serve on our Board of Directors because of his experience and expertise as an executive and a director with companies implementing “turnaround”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Patrick Spangler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Spangler currently serves as Chief Financial Officer of VigiLanz Corporation, a privately held firm in health care information technology. He brings more than 30 years of experience in the health care industry, executing domestic and international growth and exit strategies. He has helped lead high-performance, emerging growth firms, as well as large publically traded companies and has also served in the private equity sector successfully improving operational results with a broad array of portfolio companies. Prior to VigiLanz Corporation, he served as Executive Vice President and Chief Financial Officer of Healthland, Inc. an EHR Company serving the critical access hospital market; Epocrates (EPOC) which he took public in 2011 and was acquired by Athena Health, ev3 (EVVV) which he took public in 2005 and was acquired by Covidien, and EMPI (EMPI) which was acquired by Encore Medical (ENMC). Mr. Spangler holds a B.S. in accounting and an M.B.T. in business taxation from the University of Minnesota and a M. B. A. from the University of Chicago Booth Graduate School of Business. He currently is a member of the Board of Directors of Lifespace Communities Inc and previously served on the Board of Directors of Urologix Inc. (ULGX).</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Spangler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 Mr. Spangler has been a Director since March 23, 2018.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Spangler is qualified to serve on our Board of Directors because of his years of experience in the health care industry, executing domestic and international growth and exit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Bryan Archambault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Archambault is currently the Chief Marketing Officer of greyhealth group and has been since 2010. He has a diverse background that started 20+ years ago in the sales and customer-marketing space. He brought that experience and insight to brand strategy and multichannel marketing for healthcare clients in biopharma, OTC and animal health. He does not serve on the boards of any other public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Archambault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Archambault is qualified to serve on our Board of Directors because of his in the sales and customer-marketing space. Mr. Archambault has been a Director since March 23,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Archambault will represent WPP, a strategic investor in our company, replacing Ms. Lynn O’Connor Vos in this role. Ms. Vos, who left her position as CEO of WPP’s subsidiary, greyhealth group, to become CEO of the Muscular Dystrophy Association, will remain on our Board of Directors, as now an independent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Lynn Vos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Vos has been the President and CEO of the Muscular Distrophy Association since October 2017.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Vos is qualified to serve on our Board of Directors because of her extensive executive skills in digital marketing and communications in the healthcare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Lang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Lang joined our Board January 12, 2017. He brings us more than 25 years of experience in healthcare data, analytic, and technology enabled business services. Mr. Lang presently serves as an executive advisor to Water Street, a strategic private equity firm focused exclusively on building market-leading companies in healthcare. In that capacity, he currently serves as Board Chairman to The Access Group, Health Strategies Group, Alliance Life Sciences, and Dohmen Life Science Services. He is also a director of BioVie, a development-stage company pioneering an innovative therapeutic that targets complications due to liver cirrhosis.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Lang is qualified to serve on our Board of Directors because of his extensive executive skills and background in the healthcare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Douglas P. Baker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but that provision was waived by WPP in January 2017 and the Board was expanded at that time. We currently have six (6) Directors, four (4) of which are independent under Nasdaq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Office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or among the directors, executive officers or persons nominated or chosen by us to become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Aside from the following, during the past 10 years, none of our current directors, nominees for directors or current executive officers has been involved in any legal proceeding identified in Item 401(f) of Regulation S-K, including:</w:t>
      </w:r>
    </w:p>
    <w:p>
      <w:pPr>
        <w:spacing w:after="0" w:line="162"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conviction in a criminal proceeding or being named a subject of a pending criminal proceeding (excluding traffic violations and other minor offenses);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order, judgment, or decree, not subsequently reversed, suspended or vacated, of any court of competent jurisdiction, permanently or temporarily enjoining him or her from, or otherwise limiting, the following activities: 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 ii. Engaging in any type of business practice; or iii. Engaging in any activity in connection with the purchase or sale of any security or commodity or in connection with any violation of Federal or State securities laws or Federal commodities laws;</w:t>
      </w:r>
    </w:p>
    <w:p>
      <w:pPr>
        <w:spacing w:after="0" w:line="212"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2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iii. Any law or regulation prohibiting mail or wire fraud or fraud in connection with any business entity; or</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29, 2018, FINRA accepted a Letter of Acceptance, Waiver and Consent (No. 2015044865501) (the Consent) submitted by William Febbo.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Febbo, as FinOp, signed certain of these reports and was thus held responsible. Based on the Consent, in settlement, Mr. Febbo, who was then no longer registered with any broker-dealer, accepted a fine of $5,000 and a 10-business day suspension from acting as FinOp for any FINRA member.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his initial response to the Regulatory Questionnaire, Mr. Febbo mistakenly overlooked that this settlement with FINRA constituted a disclosable event.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reviews the independence of our directors on the basis of standards adopted by the NASDAQ Stock Market (“NASDAQ”). As a part of this review, the Board of Directors considers transactions and relationships between our company, on the one hand, and each director, members of the director’s immediate family, and other entities with which the director is affiliated, on the other hand. The purpose of such a review is to determine which, if any, of such transactions or relationships were inconsistent with a determination that the director is independent under NASDAQ rules. As a result of this review, the Board of Directors has determined that each of our directors other than Mr. Febbo is an “independent director” within the meaning of applicable NASDAQ listing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three standing committees to facilitate and assist the Board of Directors in the execution of its responsibilities: (1) Nominating and Governance Committee; (2) Compensation Committee; and (3) Audit Committee. Each committee acts pursuant to a written charter adopted by the Board of Directors. Each committee’s charter is available on our corporate website at http://www.optimizerx.com. (The information contained in our website is not incorporated into this Prospectus.) All of the committees are comprised solely of non-employee, independent directors as defined by NASDAQ market listing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established a Nominating and Governance Committee. The Committee is composed of Directors Vos, Spangler, and Archambault, and is chaired by Director Vos. The Nominating and Corporate Governance Committee held 4 meetings during the fiscal year ended December 31, 2017. The Nominating and Corporate Governance Committee’s responsibilities, which are discussed in detail in its charter, include the responsibilities to:</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qualifications and criteria for selecting and evaluating directors and nominees;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propose director nominees;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regarding Board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regarding Board committee memberships;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corporate governance guidelines;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an annual assessment of the performance of the Board and each of its standing committees;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independence of each director and nominee for director;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functions or duties deemed appropriate by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has established a Compensation Committee. The Compensation Committee held 5 meetings during the fiscal year ended December 31, 2017, and held other informal discussions as needed. The Committee is composed of Directors Lang, Halas, and Spangler, and is chaired by Director Lang. The Compensation Committee’s responsibilities, which are discussed in detail in its charter, include the responsibilities to:</w:t>
      </w:r>
    </w:p>
    <w:p>
      <w:pPr>
        <w:spacing w:after="0" w:line="176"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our senior management, establish our general compensation philosophy and oversee the development and implementation of our compensation programs;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incentive and stock-based compensation plans, and discharge the duties imposed on the Compensation Committee by the terms of those plans;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severance or termination payments proposed to be made to any current or former officer of our company;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functions or duties deemed appropriate by the Board of Directors.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established an Audit Committee. Prior to that, the entire Board of Directors functioned as the audit committee. The Audit Committee was recently formed and thus did not hold any meetings during the fiscal year ended December 31, 2017. The Committee is composed of Directors Spangler, Vos and Archambault, and is chaired by Director Spangler. The Board has determined that Director Spangler is an “audit committee financial expert” within the meaning established by the SEC. The Audit Committee’s responsibilities, which are discussed in detail in its charter, include the responsibilities to:</w:t>
      </w:r>
    </w:p>
    <w:p>
      <w:pPr>
        <w:spacing w:after="0" w:line="18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the Company’s financial statements; the accounting, auditing and financial reporting processes of the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business and financial risk and the internal controls environment;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legal and regulatory requirements and ethics programs as established by management and the Board, which shall be in conjunction with any recommendations by the Nominating and Governance Committee with respect to the corporate governance standards;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reports resulting from the performance of audits by the independent auditor and the internal audit team;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the Company’s independent auditors;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internal audit team.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2017, other than as set forth in the following information. Director Halas filed a Form 4 two days late. Director Lang filed his Form 3 late and filed a Form 4 two days late on April 6, 2017. Director Vos filed a Form 4 on May 31, 2017 covering 21 transactions that occurred from February 6, 2017 through May 3, 2017. Our President, Miriam Paramore, filed a Form 4 a week 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2017, the Board of Directors adopted a Code of Ethics for the Company, which is attached to our December 31, 2017 Annual Report on Form 10-K as Exhibit 14.1.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beneficial ownership by each person, other than executive officers and directors, known to us to beneficially own 5% or more of our outstanding Common Stock as of May 16, 2018. For the purposes of this Prospectus,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Common Shares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Percentage of</w:t>
            </w:r>
          </w:p>
        </w:tc>
      </w:tr>
      <w:tr>
        <w:trPr>
          <w:trHeight w:val="239"/>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More Than 5% Beneficial Owners:</w:t>
            </w: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Address</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Owned</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Class</w:t>
            </w:r>
          </w:p>
        </w:tc>
      </w:tr>
      <w:tr>
        <w:trPr>
          <w:trHeight w:val="203"/>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w:t>
            </w:r>
          </w:p>
        </w:tc>
        <w:tc>
          <w:tcPr>
            <w:tcW w:w="100" w:type="dxa"/>
            <w:vAlign w:val="bottom"/>
            <w:tcBorders>
              <w:top w:val="single" w:sz="8" w:color="CCEEFF"/>
            </w:tcBorders>
            <w:shd w:val="clear" w:color="auto" w:fill="CCEEFF"/>
          </w:tcPr>
          <w:p>
            <w:pPr>
              <w:spacing w:after="0"/>
              <w:rPr>
                <w:sz w:val="17"/>
                <w:szCs w:val="17"/>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WPP PLC</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27 Farm Street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London, United Kingdom</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W1J 5RJ</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2,103,702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03"/>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w:t>
            </w: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Wolverine Flagship Fund</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Trading Limited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175 W Jackson Blvd, 3rd Flr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Chicago, IL 60604</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755,821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05"/>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Harvey L. Poppel</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110 El Mirasol</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Palm Beach, FL 33480</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918,086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03"/>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w:t>
            </w: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Ronald L. Chez</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55 East Monroe Street, Suite 3700</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Chicago, IL 60603(1)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1,127,330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05"/>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AWM Investment Company, Inc.</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527 Madison Ave., Suite 2600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NY 10022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1,367,925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03"/>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w:t>
            </w: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Park West Asset Management LLC</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900 Larkspur Landing Circle, Suite 165</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Larkspur, CA 94939 (3)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676,667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w:t>
            </w:r>
          </w:p>
        </w:tc>
      </w:tr>
    </w:tbl>
    <w:p>
      <w:pPr>
        <w:spacing w:after="0" w:line="132" w:lineRule="exact"/>
        <w:rPr>
          <w:sz w:val="20"/>
          <w:szCs w:val="20"/>
          <w:color w:val="auto"/>
        </w:rPr>
      </w:pPr>
    </w:p>
    <w:p>
      <w:pPr>
        <w:jc w:val="both"/>
        <w:ind w:left="460" w:hanging="452"/>
        <w:spacing w:after="0" w:line="25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849,978 shares of Common Stock held by Ron E. Chez in his name and beneficially owned in the following entities: Ronald L Chez IRA at First Bank &amp; Trust, Ronald L Chez IRA at Fifth Third Bank, Ronald L Chez IRA at Lake St Capital Mgmt, Ronald L Chez IRA at Merrill Lynch and Ronald L Chez IRA at First Bank &amp; Trust. Also includes warrants to purchase 277,353 shares of our Common Stock held in Ronald L Chez IRA at First Bank &amp; Trust and Ronald L Chez IRA at First Bank &amp; Trust.</w:t>
      </w:r>
    </w:p>
    <w:p>
      <w:pPr>
        <w:spacing w:after="0" w:line="2"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AWM Investment Company, Inc. (“AWM”) is the investment adviser to the Special Situations Fund III QP, L.P. (“SSFQP”), the Special Situations Cayman Fund, L.P. (“Cayman”) and the Special Situations Private Equity Fund, L.P. (“SSFPE” and, collectively with SSFQP and Cayman, the “Funds”). As the investment adviser to the Funds, AWM holds sole voting and investment power over the 812,130 shares of Common Stock held by SSFQP, the 303,730 shares of Common Stock held by Cayman and the 252,065 shares of Common Stock of held by SSFPE. Austin W. Marxe, David M. Greenhouse and Adam Stettner are the principal owners of AWM.</w:t>
      </w:r>
    </w:p>
    <w:p>
      <w:pPr>
        <w:spacing w:after="0" w:line="2"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West Asset Management LLC (“PWAM”) is the investment manager to Park West Investors Master Fund, Limited (“PWIMF”), and Park West Partners International, Limited (“PWPI”). Peter S. Park, manager of PWAM, has sole voting and investment power over the 607.934 shares of Common Stock held by PWIMF and the 68,733 shares of Common Stock held by PWPI.</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certain information with respect to beneficial ownership of our Common Stock as of May 16, 2018,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Included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Beneficial</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45"/>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Ownership (2)</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314,667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Miriam Paramore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36,231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P. Baker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166,667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183,334</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J. Hamilton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133,334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260,139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Vos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9,334</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Lang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Archambault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Gus D. Halas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Spangler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(9 persons)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633,335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842,451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person named in this table is c/o OptimizeRx Corp., 400 Water Street, Suite 200, Rochester, MI 48307.</w:t>
      </w:r>
    </w:p>
    <w:p>
      <w:pPr>
        <w:spacing w:after="0" w:line="9"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lists shares that are subject to options exercisable within sixty (60) days of May 16, 2018, and are included in Common Stock beneficial ownership pursuant to Rule 13d-3(d)(1) of the Exchange Act.</w:t>
      </w:r>
    </w:p>
    <w:p>
      <w:pPr>
        <w:sectPr>
          <w:pgSz w:w="11900" w:h="16838" w:orient="portrait"/>
          <w:cols w:equalWidth="0" w:num="1">
            <w:col w:w="11420"/>
          </w:cols>
          <w:pgMar w:left="240" w:top="220" w:right="239" w:bottom="401"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401" w:gutter="0" w:footer="0" w:header="0"/>
          <w:type w:val="continuous"/>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and 10,000,000 shares of preferred stock, par value $0.001 per share. As of May 16, 2018, there were 11,545,611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 and attached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 and the distinctive designation of that series, which may be by distinguishing number, letter or title;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voting rights, in addition to the voting rights provided by law, and, if so, the terms of such voting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a sinking fund for the redemption or purchase of shares of that series, and, if so, the terms and amount of such sinking fund;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 2018, we entered into a registration rights agreement with the selling shareholders in this offering (the “Registration Rights Agreement”),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24, 2015, we entered into an Investor Rights Agreement with WPP Luxembourg (the “Rights Agreement”), pursuant to which we agreed to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Registration Rights. We granted the Investor registration rights for the 2,003,702 acquired from us and any securities acquired in connection with an Amended and Restated Co-Marketing Agreement after a period of two years.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Rights. So long as the Investor owns not less than 25% of the Shares, we granted the Investor an annual right to inspect our books and records.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Observer Rights. So long as the Investor owns not less than 25% of the Shares, we will allow the Investor to choose a representative to attend our board meetings as a nonvoting observer.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of First Refusal. We agreed that, in the event that it proposes to sell new securities, we will first offer such new securities to the Investor.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61" w:lineRule="exact"/>
        <w:rPr>
          <w:rFonts w:ascii="Times New Roman" w:cs="Times New Roman" w:eastAsia="Times New Roman" w:hAnsi="Times New Roman"/>
          <w:sz w:val="18"/>
          <w:szCs w:val="18"/>
          <w:color w:val="auto"/>
        </w:rPr>
      </w:pPr>
    </w:p>
    <w:p>
      <w:pPr>
        <w:ind w:left="660" w:right="3320"/>
        <w:spacing w:after="0" w:line="5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incurrence of any indebtedness in excess of $1.5 million in the aggregate during any fiscal year o the sale, transfer or other disposition of all or substantially all of our assets;</w:t>
      </w: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acquisition of any assets or properties (in one or more related transactions) for cash or otherwise for an amount in excess of $1.5 million in the aggregate during any fiscal year;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capital expenditures in excess of $1.5 million individually (or in the aggregate if related to an integrated program of activities) or in excess of $1.5 million in the aggregate during any fiscal year;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making, or permitting any subsidiary to make, loans to, investments in, or purchasing, or permitting any subsidiary to purchase, any stock or other securities in another corporation, joint venture, partnership or other entity;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commencement or settlement of any lawsuit, arbitration or other legal proceeding related to our intellectual property or involving an amount in controversy greater than $1.5 million; and</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warrants outstanding to purchase 348,195 shares of our Common Stock at a weighted average exercise price of $3.33 as of March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options outstanding to purchase 1,580,417 shares of our Common Stock at a weighted average exercise price of $3.27 as of March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issued and do not have outstanding any securities convertible into shares of our Common Stock or any rights convertible or exchangeable into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Anti-Takeover Laws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transfer agent and registrar of our Common Stock is Empire Stock Transfer, 1859 Whitney Mesa Dr, Henderson, NV 89014, telephone: (702) 974-1444.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NAMED 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SECURITIES ACT LIABILITIES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Through April 2018</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applied for listing on the NASDAQ Capital Market Exchange. In connection with this, our board of directors has approved a reverse split of our Common Stock on a 1 to 3 basis to meet the listing requirements and we have agreed to issue 5.0 million shares in exchange for gross proceeds of $9.0 million to further solidify our financial position and accelerate our growth. The reverse split was effective on May 14, 2018.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revenue for the first three months of 2018 was $4.1 million, up 91% over the same period in 2017. The increase was driven by financial and brand messaging growth from new and returning clients, as well as expanded distribution channels.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focus on adding additional brands for existing clients, providing new solutions, expanding the utilization of our network for existing brands, and obtaining new pharmaceutical manufacturer clients and advertising agencies.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board of directors, adding two new independent directors, Patrick Spanglar and Bryan Archambault, as well as established an audit committee to continue to improve our corporate governance.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at the 14th Annual Noble Capital Markets Investment Conference and the 30th Annual Roth Investor Conference to continue our investor outreach.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in acquiring, integrating and expanding into new EHR/eRx platforms continues to grow as well. For the remainder of 2018, we expect to expand our reach to physicians, pharmacies and patients, and also increase the utilization of our existing partners as they improve their work flow and reach. With the growth of both our pharmaceutical products and our distribution network, we expect that our financial, brand, and clinical messaging will continue to increase and show strong growth throughout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Company Highlights</w:t>
      </w:r>
    </w:p>
    <w:p>
      <w:pPr>
        <w:spacing w:after="0" w:line="22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56% to a record $12.1 million in 2017 over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a record $4.0 million in Q4 2017, up 75% over Q4 2016.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health IT industry veteran, Miriam Paramore, as president to expand our electronic health records (EHR) network, add new solutions and drive scale in our business model.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sales team and established a strong base which helped drive record revenues for Q3 and Q4 2017 with expected revenue growth in 2018 and beyond.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new pharmaceutical manufacturers and brands for our core offerings of Financial and Brand messaging for distribution through our expanding channel partners.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through our success in acquiring, integrating and expanding into new promotional EHR/eRx platforms with a greater than 20% increase in reach to healthcare providers in 2017.</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investment returns from our pharmaceutical promotions, as determined by an independent analytics firm, with multiple pharmaceutical brands that differentiates our programs as one of the most effective digital tactics available to pharmaceutical firms.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exclusive partnership with Allscripts Healthcare, which now includes real-time financial, informational, and clinical messaging to Allscripts ambulatory platforms.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Sales and Marketing Updates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sales team continues to expand our business with existing clients and win new clients. We are focused on adding additional brands for existing clients, providing new solutions, expanding the utilization of our network for existing brands, and obtaining new clients.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expanded our service offerings: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Messaging – We have successfully integrated our new platform with partners in 2017 and have launched initial programs. Additionally, we expect our exclusive partnership with Allscripts, which allows us to offer LogRx brand messaging and Infoscripts messaging, to accelerate revenue growth in this area.</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Support – We have designed a service to better insure that manufacturer brands are available in every ePrescribing platform available, and we have incorporated this to an overall program related to launch brands that include brand awareness messaging and financial messaging.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continued to ramp up our marketing efforts: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at Coupon and Co-Pay Off-set Strategies Conference.</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at multiple investor conferences in 2017, including: Noble Capital Markets’ 13th Annual Investor Conference, 29th annual Roth Conference, 7th Annual LD Micro Invitational and 10th Annual LD Micro Main Event.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kick-off panel, “A New Infrastructure for Healthcare,” at Distributed: Health Conference.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CBI’s 4th Annual Bio/Pharma Forum on e-Rx and EHR as well as moderated a panel.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growth of both the number of our pharmaceutical brands and our distribution network, we expect our distribution of financial messages will continue to increase substantially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we plan to expand our existing network and increase physician utilization of our partner networks. We continue to work individually with our partners based on their particular situation, focusing on improving workflow and increasing coupon utilization by providers that have access, obtain access for those prescribers that currently do not have financial messaging access, and increase overall revenue derived from each channel. In addition to revenue growth provided by new brands and new network partners, we believe there is significant revenue growth potential within our existing brands by better utilizing our existing partner networks.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we signed an agreement with Allscripts to become their exclusive provider of financial messaging and obtain access to their Touchworks EHR product that is used primarily by large ambulatory systems. Financial messaging activity commenced within the Touchworks platform late in Q1 2017 and ramped up gradually throughout the balance of the year. We expect activity to ramp more quickly in 2018, with significant growth generated by this channel in 2018. In addition, we launched five new EHRs in 2017 and we have three others launching in Q1 2018. We anticipate revenue from these channels to accelerate in 2018 and positively impact revenue.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Updates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our growth, we have migrated our platform to Oracle database software. Our system can manage up to one million rules and return the appropriate content within one second. This ultra-fast response time helps avoid delays and supports our expectation for accelerated revenue growth. To further improve the efficiency of our system, we moved our software to Amazon Web Services in 2018.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our own proprietary brand messaging system designed to expand our ability to deliver key clinical messages in addition to financial support, and we plan to integrate this within EHRs that currently do not offer this valued product to their providers. We launched this system in 2017 with one channel partner and expect to launch it with additional partners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lengthy sales cycle involved in creating this new financial messaging market, we remain excited about our core financial messaging business. We expect to significantly accelerate revenue growth in 2018, driven by the launch of additional channels, brands and products. We also expect our active network to continue to grow substantially in 2018.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Messaging – Our integrated financial messaging platform is a revolutionary virtual “Patient Support Center” that allows doctors and staff to access a universe of sample vouchers, co-pay coupons and other patient support through their EMR and/or e-Prescribe systems. It allows them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for their patients. Today, nearly 60% of doctor offices ban or limit drug representatives and the samples they offer. While samples are still valuable, our solution address the fact that many healthcare systems and doctors are looking for an easier, more effective way to increase affordable access and adherence to their prescribed branded medications.</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Messaging – Our brand messaging services include a variety of brand awareness and clinical messaging services that can be tailored to meet the needs of a brand. These messages can include brand awareness messages, reminder ads, clinical messages and unbranded messages that can be targeted by specialty, diagnostic code and other criteria. Brand messaging is highly complementary to our core financial messaging product. Historically, we have sold brand messaging based on specific products offered by our EHR partners, but we have developed our own proprietary brand messaging system and rolled this product out in 2017. We have also purchased all available 2018 inventory from Allscripts for its LogRx brand messaging product, as well as its Infoscripts messaging product. We believe brand messaging represents a significant growth opportunity for us.</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Support – Our brand support is focused on educating and working with pharmaceutical manufacturers on identifying, formulating, and implementing new eRx media strategies for promoting their products.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pharmaceutical manufacturers in identifying and building a competitive strategy to take advantage of this new digital frontier. Currently, this activity results in less than 10% of our revenue, but represents a significant growth opportunity for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extend our marketing efforts to build both brand and capabilities awareness in the market. As previously discussed, we continue to actively participate in industry and partner events such as ExL Pharma and the ACE – Allscripts Users Conference, as well as having taken a lead sponsor position in the CBInet eRx and EHR conferences in March of 2017.</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continue to focus on the expansion of our strategic partnership with WPP, plc. We plan to continue to increase our marketing efforts with all of our strategic partners as we continue to promote our platform primarily through:</w:t>
      </w:r>
    </w:p>
    <w:p>
      <w:pPr>
        <w:spacing w:after="0" w:line="18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Partner Events;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Campaigns;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Marketing;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Relations Campaigns;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Offices;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to Consumer Marketing;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Media Advertising;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Pharmacy Partners;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Organizations and Associations;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competes in the highly competitive pharmaceutical and healthcare digital marketing industry that is dominated by large well-known companies with established names, solid market niches, wide arrays of product offerings and marketing networks. Our financial messaging offerings compete for pharmaceutical budgets with a variety of other forms of advertising and promotion.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these overall competitors, we do not have major competition in our specific portion of the financial messaging market. We have a growing list of potential partners whom either have content that they want to deliver through our distribution engine and network, or have complementary technology and want to integrate our solution as a channel partner and thereby increase our reach to clinicians. The primary direct competitors in our space of the market are ConnectiveRx and Aptus Health. However, we believe our breadth of brands offered, extensive list of pharmaceutical clients, and the vast reach of our network give us a substantial advantage and allow us to achieve a dominant position in the marketplace.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and SampleMD are our licensed trademarks.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Anti-Kickback Statutes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False Claims Laws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Security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had 23 full-time employees and one part-time employee, in addition to contracted programmers, as needed, throughout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our operations through our wholly-owned subsidiary, OptimizeRx Corporation, a Michigan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do not own any real estate. Our principal executive offices are located at 400 Water Street, Suite 200, Rochester, Michigan 48307.</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initially signed the lease for our current office space on December 1, 2011. That lease expired on November 30, 2016 and we signed a new lease covering the same space. The new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we fail to exercise our option for option years 4 and 5, a lease termination payment of $7,300 will be due at the end of the initial 3-year term.</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3" w:name="page34"/>
    <w:bookmarkEnd w:id="33"/>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month to month leases on shared office spaces in Cambridge Massachusetts and Nashville Tennessee, with monthly lease payments of $2,850 and $1,360,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properties are adequate for our current needs, but growth potential may require larger facilities due to anticipated addition of personnel.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policies regarding investments in real estate, securities or other forms of property.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2018 and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net revenue reported for the three months ended March 31, 2018 was approximately $4.1 million, an increase of 91% over the approximately $2.2 million in the same period of 2017. The increase is primarily due to sales increases in our messaging products. We do not breakout revenue by service at this stage, but as we achieve greater scale we plan to determine the best way to present the growth by service. As described in greater detail in Note 2 to the financial statements, we adopted the new revenue standard during the quarter ended March 31, 2018. The effect of that, which was immaterial, was to decrease our revenue by approximately $118,000 during the quarter and that revenue will be recognized throughout the remainder of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sales percentage, composed primarily of revenue share expense, declined as a percentage of sales, from approximately 64% to approximately 49% even though our total cost of sales increased because of the significant revenue increase. Our revenue related to brand messaging has a higher cost associated with it than our financial messaging. We launched our brand messaging products in the first quarter of 2017 and had significantly higher costs during the launch period. Those costs continued to decrease as a percentage of sales throughout 2017 as our volume increased.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gross margin improved from 35.8% in the quarter ended March 31, 2017 to 51.2% in the quarter ended March 31, 2018. We are focused on improving our margins and are targeting a gross margin of at least 55% by the fourth quarter of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increased from approximately $1.7 million for the three months ended March 31, 2017 to approximately $2.3 million for the same period in 2018, an increase of approximately 38%. The detail by major category is reflected in the table below.</w:t>
      </w:r>
    </w:p>
    <w:p>
      <w:pPr>
        <w:spacing w:after="0" w:line="158"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4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1,219,297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Board Compensation</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Consultants</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Maintenance, and Integration Costs</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222,374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Office, Facility, and other</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4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4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2,295,341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1,660,778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34" w:name="page35"/>
    <w:bookmarkEnd w:id="34"/>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largest increases in operating expenses related to salaries, wages, and benefits and other human resource related costs. Since the beginning of the first quarter of 2017, we have appointed a new president and two new vice presidents of Sales, as well as hired a new account manager and related administrative support. These new team members also resulted in increases in benefits and payroll taxes. We also implemented new incentive compensation plans for our sales force that increased their incentive compensation. In addition, all our incentive compensation is tied to revenue and the strong revenue growth in 2018 resulted in increased incentive compensation. The increased stock-based compensation results from the acceleration of vesting of previously granted options as well as the grant of options during the period related to achievement of performance-based goals. We expect stock-based compensation to decrease on a quarterly basis for the balance of the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development, maintenance, and integration costs reflects start-up costs related to the integration of new EHRs as well as increased capacity of our technology systems, which included a transition to Amazon Web Services during the quarter ended March 31, 2018. These investments are starting to show their value through increased revenue growth and our transition to a broader client base and greater scale.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and promotion decreased in 2018 because 2017 included several one-time costs and a conference that we sponsored in 2017 that did not occur during the first quarter of 2018. Professional fees decreased in 2018 because we settled our litigation in 2017 and no longer have any ongoing litigation. All other variances in the table above are the result of normal fluctuations in activity.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overall operating expenses to continue at the 2018 level, or slightly above as we further implement our business plan and expand our operations to grow the business in a very dynamic and active marketplace. However, we have established a strong team as a base to support growth and do not expect human resource costs to increase significantly, even with continued strong sales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loss for the three months ended March 31, 2018 was approximately $190,000, as compared to a loss of approximately $880,000 during the same period in 2017. The reasons and specific components associated with the decreased loss are discussed above. Overall, the decreased loss resulted from increased revenues and gross margin. We are focused on top-line growth, while managing our expenses, so we expect to see a continued, but managed, loss for the near future, but expect to achieve profitability on quarterly basis no later than the fourth quarter of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Years Ended December 31, 2017 and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revenue for the year ended December 31, 2017 was approximately $12.1 million, an increase of 56% from the year ended December 31, 2016. This increase resulted from increased pharmaceutical brands, an increased distribution network, and strong growth in our brand messaging product. We expect continued strong revenue growth in 2018 as a result of the foundations laid in 2016 and 2017.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approximately 25 pharmaceutical companies as customers. We have focused our efforts on expanding both our customer base and our product offerings and are becoming less dependent on any one customer. In each of 2016 and 2017, we only had one pharmaceutical manufacturer that individually accounted for greater than 10% of our revenues, and that was a different customer in each year.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cost of sales, composed primarily of revenue share expense, increased in the year ended December 31, 2017, from the year ended December 31, 2016 primarily due to the increase in revenues. In addition, revenue share expense as a percentage of revenue in 2017 increased from 2016 from approximately 44% in the year ended December 31, 2016 to approximately 51% in the year ended December 31, 2017.</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increase in revenue share expense as a percentage of revenue resulted primarily from product mix, and specifically from the substantial increase in our brand messaging revenue that has a lower margin and higher costs relative to our core financial messaging product. We expect revenue share expense as a percentage of revenue in 2018 to decline from 2017 levels. We have signed revenue share agreements with newer partners that contain lower revenue share percentages, and as revenue from those new channels increases, we expect it to help lower our overall percentage. We also expect continued growth in our brand messaging product, and this will enable us to spread the fixed costs associated with this type of messaging over a larger base and result in a lower overall revenue share percentage.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margin, which is simply the difference between our revenues and our cost of sales, discussed above, increased substantially from 2016 to 2017 as a result of the increased revenue. However, our gross margin percentage decreased from approximately 56% in 2016 to 49% in 2017 for the reasons discussed above in the cost of sales section. We are focused on improving our margins in 2018 and have a target of increasing our margin to 55%.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increased to approximately $8.1 million for the year ended December 31, 2017, from approximately $5.9 million for the year ended December 31, 2016, an increase of approximately 36%. The detail by major category is reflected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3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4,151,740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324,117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Compensation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356,220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324,551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Maintenance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Facility and Other</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297,700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214,776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7,180,385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5,312,277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902,389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559,301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Lawsuit settlement</w:t>
            </w:r>
          </w:p>
        </w:tc>
        <w:tc>
          <w:tcPr>
            <w:tcW w:w="3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3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8,082,774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5,921,578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main reasons for the overall increase in operating expenses in 2017 was our focus on staffing and scaling our company to focus on, and be able to support, accelerated revenue growth.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the operating expenses, there were a variety of increases, the largest of which was in salaries, wages and benefits as a result of additional staff added in 2016 and 2017, including related benefits. During 2017, we hired a president and two new vice presidents of sales, as well as additional supporting positions. Incentive compensation also increased in 2017, primarily as a result of the increase in revenues. We also enhanced our sales commission program and expanded it to include account managers to greater incentivize those people interfacing with the customers. We expect our compensation expense to increase in 2018, but at a much lower rate than in 2017.</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Professional fees decreased due to the resolution of our last remaining piece of litigation in 2017. In 2018, we expect professional fees to remain at 2017 levels or even slightly decrease.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related to development, management, and maintenance of our technology increased in 2017 as a result of improvements to our system as well as costs associated with the start of migrating our technology to Amazon Web Services. We expect these costs to decrease significantly in 2018 due to the investments made in 2017.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in 2017 from the 2016 levels primarily because of the assets capitalized in 2016 and 2017. Other increases in operating expenses generally increased due to the increased staffing levels.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finished the year ended December 31, 2017 with a loss of approximately $2.1 million, as compared to a loss of approximately $1.5 million during the year ended December 31, 2016. The reasons for specific components are discussed above. Overall, we had an increase in revenue and gross margin offset by increased operating expenses to support future growth. In addition, the loss in both periods included significant noncash items. We had approximately $800,000 in noncash expense in 2016 and approximately $1.45 million in noncash expense in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2018, we had total current assets of approximately $8.3 million, compared with current liabilities of approximately $2.4 million, resulting in working capital of approximately $5.9 million and a current ratio of approximately 3.4 to 1, improved from the working capital of approximately $5.3 million and current ratio of 2.5 to 1 at December 31, 2017.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activities used approximately $800,000 in cash flow during the three months ended March 31, 2018, compared with cash used of approximately $300,000 in the same period in 2017. The cash used in the 2017 period was the result of our net loss, partially offset by working capital management. The cash used in the 2018 period was the result of our net loss as well as cash used for working capital. The main use of cash in 2018 was as a result of the change in payment terms for one of our key partners, as well as payment of certain year end liabilities. This change in payment terms also had a favorable impact on our gross margin. We expect to have positive cash flow from operations for the balance of the year.</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used insignificant amounts in investing activities in the three months ended March 31, 2018, and 2017. These investments related to purchases of equipment as well as investments related to the expansion of our network capabilities.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no financing activities in either period. We did however, as discussed in Note 3, issue 100,000 shares valued at $447,000 in a non-cash transaction in payment of revenue share due under a comarketing agreement and the accompanying termination of the agreement.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the end of the quarter, we signed an agreement to issue 1.667 million shares of our Common Stock for gross proceeds of $9.0 million and approximate net proceeds of $8.3 million. We expect the transaction to close in early May.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this additional funding, 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2017;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described in greater detail in Note 2 of our financial statements for the quarter ended March 31, 2018, we adopted the new accounting standard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all of the related amendments, which had an immaterial impact on our financial statements.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2018, there were no off-balance sheet arrangements.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three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WPP made a strategic investment in the Company and is a shareholder that owns approximately 21% of the shares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activity between the Company and WPP in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Borders>
              <w:bottom w:val="single" w:sz="8" w:color="CCEEFF"/>
            </w:tcBorders>
          </w:tcPr>
          <w:p>
            <w:pPr>
              <w:spacing w:after="0"/>
              <w:rPr>
                <w:sz w:val="21"/>
                <w:szCs w:val="21"/>
                <w:color w:val="auto"/>
              </w:rPr>
            </w:pPr>
          </w:p>
        </w:tc>
        <w:tc>
          <w:tcPr>
            <w:tcW w:w="4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to WPP Agencies</w:t>
            </w:r>
          </w:p>
        </w:tc>
        <w:tc>
          <w:tcPr>
            <w:tcW w:w="4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from WPP Agencies</w:t>
            </w:r>
          </w:p>
        </w:tc>
        <w:tc>
          <w:tcPr>
            <w:tcW w:w="4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3,696,214</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1,542,411</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from WPP Agencies</w:t>
            </w:r>
          </w:p>
        </w:tc>
        <w:tc>
          <w:tcPr>
            <w:tcW w:w="4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1,173,614</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1,108,585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Rebates given to WPP Agencies</w:t>
            </w:r>
          </w:p>
        </w:tc>
        <w:tc>
          <w:tcPr>
            <w:tcW w:w="4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33,249</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 purchased from WPP Agencies</w:t>
            </w:r>
          </w:p>
        </w:tc>
        <w:tc>
          <w:tcPr>
            <w:tcW w:w="4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54,762</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190,686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WPP Agencies</w:t>
            </w:r>
          </w:p>
        </w:tc>
        <w:tc>
          <w:tcPr>
            <w:tcW w:w="4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expense recorded to WPP Agencies</w:t>
            </w:r>
          </w:p>
        </w:tc>
        <w:tc>
          <w:tcPr>
            <w:tcW w:w="4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401,596</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177,372</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Revenue share expenses owed to WPP Agencies</w:t>
            </w:r>
          </w:p>
        </w:tc>
        <w:tc>
          <w:tcPr>
            <w:tcW w:w="4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447,670</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127,458</w:t>
            </w:r>
          </w:p>
        </w:tc>
      </w:tr>
      <w:tr>
        <w:trPr>
          <w:trHeight w:val="637"/>
        </w:trPr>
        <w:tc>
          <w:tcPr>
            <w:tcW w:w="46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9, 2016, we entered into a Separation Agreement and Release with Mr. David Harrell, our prior officer and director, which granted us a standard release of employment claims in consideration for, among other things, the stock payout of $720,415 to Mr. Harrell.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same date, we entered into a Corporate Consulting Agreement with Mr. Harrell that sets forth the terms his continued relationship with our company. He remained our employee through May 31, 2016 and the Corporate Consulting Agreement went effective as of June 1, 2016. Under the terms of this agreement, Mr. Harrell agreed to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11, 2017, we entered into a Separation and Stock Purchase Agreement with Mr. Harrell pursuant to which we agreed to repurchase from Mr. Harrell 166,667 shares of our Common Stock for aggregate consideration of $390,000, representing a purchase price of $2.34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under the agreement, we agreed that the consulting agreement with Mr. Harrell shall terminate on July 31, 2017, but that his non-compete agreement with us shall extend to July 31, 2019. The agreement also stipulated that Mr. Harrell shall resign as a member of our board of directors effective June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24, 2015, we entered into an Investor Rights Agreement with WPP (the “Rights Agreement”), pursuant to which we agreed to the following:</w:t>
      </w:r>
    </w:p>
    <w:p>
      <w:pPr>
        <w:spacing w:after="0" w:line="223" w:lineRule="exact"/>
        <w:rPr>
          <w:sz w:val="20"/>
          <w:szCs w:val="20"/>
          <w:color w:val="auto"/>
        </w:rPr>
      </w:pPr>
    </w:p>
    <w:p>
      <w:pPr>
        <w:ind w:left="660" w:hanging="328"/>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granted WPP registration rights for its shares and any securities acquired in connection with an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Co-Marketing Agreement (described below) after a period of two years.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Inspection Rights</w:t>
      </w:r>
      <w:r>
        <w:rPr>
          <w:rFonts w:ascii="Times New Roman" w:cs="Times New Roman" w:eastAsia="Times New Roman" w:hAnsi="Times New Roman"/>
          <w:sz w:val="18"/>
          <w:szCs w:val="18"/>
          <w:color w:val="auto"/>
        </w:rPr>
        <w:t>. So long as WPP owns not less than 25% of the shares, we granted WPP an annual right to inspect our books and records.</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Observer Rights</w:t>
      </w:r>
      <w:r>
        <w:rPr>
          <w:rFonts w:ascii="Times New Roman" w:cs="Times New Roman" w:eastAsia="Times New Roman" w:hAnsi="Times New Roman"/>
          <w:sz w:val="18"/>
          <w:szCs w:val="18"/>
          <w:color w:val="auto"/>
        </w:rPr>
        <w:t>. So long as WPP owns not less than 25% of the shares, we will allow WPP to choose a representative to attend our board meetings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nonvoting observer.</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Seat</w:t>
      </w:r>
      <w:r>
        <w:rPr>
          <w:rFonts w:ascii="Times New Roman" w:cs="Times New Roman" w:eastAsia="Times New Roman" w:hAnsi="Times New Roman"/>
          <w:sz w:val="18"/>
          <w:szCs w:val="18"/>
          <w:color w:val="auto"/>
        </w:rPr>
        <w:t>. So long as WPP owns not less than 25% of the shares, we agreed to appoint a nominee of WPP as a member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agreed to a five member Board of Directors provided that it is not prohibited by the rules and regulations of an exchange that we trade on. We also agreed to enter into an indemnity agreement with the nominee. In January 2017, WPP waived the five member Board limit and the Board was expanded to six (6) Directors.</w:t>
      </w:r>
    </w:p>
    <w:p>
      <w:pPr>
        <w:spacing w:after="0" w:line="18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Budget Review</w:t>
      </w:r>
      <w:r>
        <w:rPr>
          <w:rFonts w:ascii="Times New Roman" w:cs="Times New Roman" w:eastAsia="Times New Roman" w:hAnsi="Times New Roman"/>
          <w:sz w:val="18"/>
          <w:szCs w:val="18"/>
          <w:color w:val="auto"/>
        </w:rPr>
        <w:t>. So long as WPP owns not less than 25% of the shares, we agreed to review our budget plans with WPP’s nominee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submission to the Board of Directors, at the request of WPP.</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First Refusal</w:t>
      </w:r>
      <w:r>
        <w:rPr>
          <w:rFonts w:ascii="Times New Roman" w:cs="Times New Roman" w:eastAsia="Times New Roman" w:hAnsi="Times New Roman"/>
          <w:sz w:val="18"/>
          <w:szCs w:val="18"/>
          <w:color w:val="auto"/>
        </w:rPr>
        <w:t>. We agreed that, in the event that we propose to sell new securities, we will first offer such new securities to WPP.</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Approval Matters</w:t>
      </w:r>
      <w:r>
        <w:rPr>
          <w:rFonts w:ascii="Times New Roman" w:cs="Times New Roman" w:eastAsia="Times New Roman" w:hAnsi="Times New Roman"/>
          <w:sz w:val="18"/>
          <w:szCs w:val="18"/>
          <w:color w:val="auto"/>
        </w:rPr>
        <w:t>. So long as WPP owns not less than 25% of the shares, and provided that it is not prohibited by the rules and regulations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exchange that we trade on, we agreed that 80% Board approval will be required for certain decisions, including:</w:t>
      </w:r>
    </w:p>
    <w:p>
      <w:pPr>
        <w:spacing w:after="0" w:line="160" w:lineRule="exact"/>
        <w:rPr>
          <w:rFonts w:ascii="Times New Roman" w:cs="Times New Roman" w:eastAsia="Times New Roman" w:hAnsi="Times New Roman"/>
          <w:sz w:val="18"/>
          <w:szCs w:val="18"/>
          <w:color w:val="auto"/>
        </w:rPr>
      </w:pPr>
    </w:p>
    <w:p>
      <w:pPr>
        <w:ind w:left="660" w:right="33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incurrence of any indebtedness in excess of $1.5 million in the aggregate during any fiscal year o the sale, transfer or other disposition of all or substantially all of our assets;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39" w:name="page40"/>
    <w:bookmarkEnd w:id="39"/>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any assets or properties (in one or more related transactions) for cash or otherwise for an amount in excess of $1.5 million in the aggregate during any fiscal year;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settlement of any lawsuit, arbitration or other legal proceeding related to our intellectual property or involving an amount in controversy greater than $1.5 million;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securities, except for securities issued under an equity incentive plan and any issuance of Common Stock to vendors, advisors, financial institutions, suppliers or joint ventures that do not exceed, individually or in the aggregate 5% of our then issued and outstanding capital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80"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until June 30, 2016, the number of shares of Common Stock was equal to GHG’s share of net revenues received for sales of new services to GHG or Company clients (“GHG Net Revenues”) divided by $0.7875.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June 30, 2016, we will issue the number of shares of Common Stock equal to the GHG Net Revenues divided by a price equal to 80% multiplied by the average trading price of one share of Common Stock during the 30-trading day period immediately prior to the date of the most recent statement of GHG Net Revenues set forth by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range of high and low bid information for our pre-reverse split Common Stock for the each of the periods indicated as reported by the OTCQB. These quotations reflect inter-dealer prices, without retail mark-up, mark-down or commission and may not necessarily represent actual transactions.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6740" w:type="dxa"/>
            <w:vAlign w:val="bottom"/>
            <w:gridSpan w:val="3"/>
          </w:tcPr>
          <w:p>
            <w:pPr>
              <w:jc w:val="center"/>
              <w:ind w:right="990"/>
              <w:spacing w:after="0"/>
              <w:rPr>
                <w:sz w:val="20"/>
                <w:szCs w:val="20"/>
                <w:color w:val="auto"/>
              </w:rPr>
            </w:pPr>
            <w:r>
              <w:rPr>
                <w:rFonts w:ascii="Times New Roman" w:cs="Times New Roman" w:eastAsia="Times New Roman" w:hAnsi="Times New Roman"/>
                <w:sz w:val="18"/>
                <w:szCs w:val="18"/>
                <w:color w:val="auto"/>
                <w:w w:val="98"/>
              </w:rPr>
              <w:t>Fiscal Year Ending December 31, 2016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8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45"/>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7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5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June 30, 2016</w:t>
            </w: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637"/>
        </w:trPr>
        <w:tc>
          <w:tcPr>
            <w:tcW w:w="28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40" w:name="page41"/>
    <w:bookmarkEnd w:id="40"/>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280" w:type="dxa"/>
            <w:vAlign w:val="bottom"/>
            <w:gridSpan w:val="3"/>
          </w:tcPr>
          <w:p>
            <w:pPr>
              <w:jc w:val="right"/>
              <w:ind w:right="2370"/>
              <w:spacing w:after="0"/>
              <w:rPr>
                <w:sz w:val="20"/>
                <w:szCs w:val="20"/>
                <w:color w:val="auto"/>
              </w:rPr>
            </w:pPr>
            <w:r>
              <w:rPr>
                <w:rFonts w:ascii="Times New Roman" w:cs="Times New Roman" w:eastAsia="Times New Roman" w:hAnsi="Times New Roman"/>
                <w:sz w:val="18"/>
                <w:szCs w:val="18"/>
                <w:color w:val="auto"/>
              </w:rPr>
              <w:t>Fiscal Year Ending December 31, 2017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45"/>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2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5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2017</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3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Quarter Ended March 31, 2018</w:t>
            </w:r>
          </w:p>
        </w:tc>
        <w:tc>
          <w:tcPr>
            <w:tcW w:w="6280" w:type="dxa"/>
            <w:vAlign w:val="bottom"/>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18, 2018, the last sales price per share of our Common Stock was $8.02.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Penny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disclosure requirements may have the effect of reducing the trading activity for our Common Stock. Therefore, stockholders may have difficulty selling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16, 2018, we had 11,545,611 shares of our Common Stock issued and outstanding, held by 320 shareholders of record at our transfer agent, with approximately 1,000 others holding our shares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1" w:name="page42"/>
    <w:bookmarkEnd w:id="4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able to pay our debts as they become due in the usual course of business;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500,000 incentive or non-qualified options to purchase our Common Stock, or stock awards. In March 2016, the Board expanded the number of shares issuable under the plan to 1,333,333 and in February 2018, the number of shares issuable was increased to 1,833,333.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as of December 31, 2017</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Securities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available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Securities to</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average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future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be issued upon</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exercise price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issuance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3"/>
              </w:rPr>
              <w:t>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under equity</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outstanding</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outstanding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compensation</w:t>
            </w:r>
          </w:p>
        </w:tc>
      </w:tr>
      <w:tr>
        <w:trPr>
          <w:trHeight w:val="241"/>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the Shareholders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plans</w:t>
            </w:r>
          </w:p>
        </w:tc>
      </w:tr>
      <w:tr>
        <w:trPr>
          <w:trHeight w:val="216"/>
        </w:trPr>
        <w:tc>
          <w:tcPr>
            <w:tcW w:w="7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Equity Compensation Plan</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Equity Compensation (warrants)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348,195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1,716,945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 remaining shares available to grant under the Plan at December 31, 2017. In 2018, we increased our available shares under the Plan to 1,833,333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2017, we issued 6,250 shares of restricted Common Stock to our outside Directors as part of our director compensation package for services rendered in Q4 2017.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2018, we granted 130,000 shares of Common Stock to officers and options to purchase 106,667 shares of Common Stock with an exercise price of $4.20 to non-officers, both of which vest only if we achieve certain stretch revenue goals in either 2019 or 2020.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2018, we issued 6,250 shares of Common Stock to our independent directors in connection with our Director Compensation Plan. We also issued 100,000 shares of Common Stock to a subsidiary of WPP, a shareholder of the Company, in payment of amounts due under a comarketing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2018, we sold to accredited investors an aggregate of 1,666,669 shares of our Common Stock, par value $0.001 per share, for $5.40 per share, or gross proceeds of approximately $9,000,000.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2" w:name="page43"/>
    <w:bookmarkEnd w:id="4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all compensation awarded to, earned by, or paid to our former or current executive officers for the fiscal years ended December 31, 2017 and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1"/>
                <w:szCs w:val="21"/>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(1)(2)</w:t>
            </w:r>
          </w:p>
        </w:tc>
        <w:tc>
          <w:tcPr>
            <w:tcW w:w="20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CEO, Director</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188,833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83,742</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993,825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Miriam Paramore</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91,667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46,036</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329,950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24,786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Hamilton</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89,380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10,412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SVP of Sales</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180,125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60,294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154,684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P. Baker</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95,330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134,070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9,794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CFO</w:t>
            </w: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44,847</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224,247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9" w:lineRule="exact"/>
        <w:rPr>
          <w:sz w:val="20"/>
          <w:szCs w:val="20"/>
          <w:color w:val="auto"/>
        </w:rPr>
      </w:pPr>
    </w:p>
    <w:p>
      <w:pPr>
        <w:ind w:left="34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in All Other Compensation column for Febbo, Hamilton, and Baker represent employer matching contributions to the Company’s retirement plan, on the same basis as for all employees.</w:t>
      </w:r>
    </w:p>
    <w:p>
      <w:pPr>
        <w:ind w:left="340" w:right="2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reflected in All Other Compensation for Ms. Paramore reflects $2,200 of employer matching contributions to the Company’s retirement plan and $22,586 paid to her as a consultant prior to her starting employment for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Febbo joined the Company as CEO on February 22, 2016. His employment contract called for an initial annual base salary of $220,000. In addition, he is eligible to participate in the Company’s executive bonus plan with a target bonus of 50% of his annual salary. He is also eligible for vacation, sick days, insurance, to participate in the Company’s 401k plan, and other benefits covering all employees. In March 2017, Mr. Febbo’s annual salary was adjusted to $250,000 per year, retroactive to January 1, 2017 by the compensation committee of the Board of Directors. No formal contract amendment was signed. Under the terms of his contract, the Company also granted to Mr. Febbo an option to purchase 500,000 shares of Common Stock, exercisable at a price of $3.21 per share, and vesting annually over a period of 5 years. Mr. Febbo’s contract calls for 12 months of severance if he is terminated without cause.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2018, Mr. Febbo signed a formal contract amendment that increased his base salary to $275,000 retroactive to January 1, 2018 and set his 2019 salary at $300,000. The amendment also accelerated vesting on the options originally expected to vest on the fifth anniversary of his contract, by three years, as well as obligated the Company to reimburse Mr. Febbo for the premium on a term life insurance policy. The Company also granted to Mr. Febbo 80,000 shares of restricted Common Stock in February 2018 that vests if the Company achieves targeted stretch revenue goals in either 2019 or 2020.</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Paramore joined the Company as President on August 1, 2017. Her employment contract called for an initial base salary of $220,000. In addition, she is eligible to participate in the Company’s executive bonus plan with a target bonus of 40% of her annual salary. She is also eligible for vacation, sick days, insurance, to participate in the Company’s 401k plan, and other benefits covering all employees. Under the terms of her contract, the Company also granted to Ms. Paramore an option to purchase 166,667 shares of Common Stock, exercisable at a price of $3.15 per share, and vesting annually over a period of 5 years. Ms. Paramore’s contract calls for 6 months of severance if she is terminated without cause prior to August 1, 2018 and 12 months of severance is she is terminated without cause after August 1, 2018. Ms. Paramore was also granted 16,667 shares of restricted Common Stock in February 2018 that vests if the Company achieves targeted stretch revenue goals in either 2019 or 2020.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3" w:name="page44"/>
    <w:bookmarkEnd w:id="43"/>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27, 2016, Mr. Hamilton’s signed a new employment agreement calling for a base salary of $181,650. In addition, he is eligible to participate in the Company’s executive bonus plan with a target bonus of 40% of his annual salary. He is also eligible for vacation, sick days, insurance, to participate in the Company’s 401k plan, and other benefits covering all employees. In March 2017, Mr. Hamilton’s annual salary was adjusted to $200,000 per year, retroactive to January 1, 2017. No formal contract amendment was signed. Mr. Hamilton’s contract also calls for 12 months of severance if he is terminated without cause. The Company also granted to Mr. Hamilton an option to purchase 66,667 shares of Common Stock in 2016, exercisable at a price of $3.45 per share that vests annually over a period of two years. Mr. Hamilton was also granted a performance based option to purchase 66,667 shares of Common Stock in 2017 that vested when the Company achieved its revenue budget of $12,000,000.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2018, Mr. Hamilton’s base salary was adjusted to $210,000, retroactive to January 1, 2018. He also has the opportunity to earn up to $100,000 of additional bonus in excess of the targeted amount, in increments of $20,000, if the Company exceeds its revenue targets by certain predefined milestones. Mr. Hamilton was also granted 16,667 shares of restricted stock in February 2018 that vest if the Company achieves targeted stretch revenue goals in either 2019 or 2020. Mr. Hamilton was also granted 16,667 shares of restricted Common Stock in February 2018 that vests if the Company achieves targeted stretch revenue goals in either 2019 or 2020.</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27, 2016, Mr. Baker signed a new employment agreement calling for a base salary of $180,000. In addition, he is eligible to participate in the Company’s executive bonus plan with a target bonus of 30% of his annual salary. He is also eligible for vacation, sick days, insurance, to participate in the Company’s 401k plan, and other benefits covering all employees. In March 2017, Mr. Baker’s annual salary was adjusted to $200,000 per year, retroactive to January 1, 2017. No formal contract amendment was signed. Mr. Baker’s contract calls for 6 months of severance if he is terminated without cause. Mr. Baker was also granted a performance based option to purchase 66,667 shares of Common Stock in 2017 that vested when the Company achieved its revenue budget of $12,000,000 and an option to purchase 33,334 shares of Common Stock that vests over a one-year period beginning in March 2017.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2018, Mr. Baker’s annual salary was adjusted to $220,000 retroactive to January 1, 2018 and his target bonus percentage was changed to 40% of his annual salary. Mr. Baker was also granted 16,667 shares of restricted Common Stock in February 2018 that vests if the Company achieves targeted stretch revenue goals in either 2019 or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table below summarizes all unexercised options, stock that has not vested, and equity incentive plan awards for each named executive officers as of December 31, 2017.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8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0" w:type="dxa"/>
            <w:vAlign w:val="bottom"/>
          </w:tcPr>
          <w:p>
            <w:pPr>
              <w:spacing w:after="0"/>
              <w:rPr>
                <w:sz w:val="1"/>
                <w:szCs w:val="1"/>
                <w:color w:val="auto"/>
              </w:rPr>
            </w:pPr>
          </w:p>
        </w:tc>
      </w:tr>
      <w:tr>
        <w:trPr>
          <w:trHeight w:val="245"/>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tcPr>
          <w:p>
            <w:pPr>
              <w:spacing w:after="0"/>
              <w:rPr>
                <w:sz w:val="21"/>
                <w:szCs w:val="21"/>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1"/>
                <w:szCs w:val="21"/>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Febbo</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02/21/21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Miriam Paramore</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166,667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07/27/22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Baker</w:t>
            </w:r>
          </w:p>
        </w:tc>
        <w:tc>
          <w:tcPr>
            <w:tcW w:w="1020" w:type="dxa"/>
            <w:vAlign w:val="bottom"/>
            <w:gridSpan w:val="3"/>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33,334</w:t>
            </w:r>
          </w:p>
        </w:tc>
        <w:tc>
          <w:tcPr>
            <w:tcW w:w="1260" w:type="dxa"/>
            <w:vAlign w:val="bottom"/>
            <w:gridSpan w:val="3"/>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3.15</w:t>
            </w:r>
          </w:p>
        </w:tc>
        <w:tc>
          <w:tcPr>
            <w:tcW w:w="90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05/19/19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33,334</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06/24/20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66,667</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03/31/22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33,334</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16,667</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03/31/22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Terry Hamilton</w:t>
            </w:r>
          </w:p>
        </w:tc>
        <w:tc>
          <w:tcPr>
            <w:tcW w:w="1020" w:type="dxa"/>
            <w:vAlign w:val="bottom"/>
            <w:gridSpan w:val="3"/>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33,334</w:t>
            </w:r>
          </w:p>
        </w:tc>
        <w:tc>
          <w:tcPr>
            <w:tcW w:w="1260" w:type="dxa"/>
            <w:vAlign w:val="bottom"/>
            <w:gridSpan w:val="3"/>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33,334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3.45</w:t>
            </w:r>
          </w:p>
        </w:tc>
        <w:tc>
          <w:tcPr>
            <w:tcW w:w="90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07/28/16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66,667</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03/31/22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0" w:right="23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44" w:name="page45"/>
    <w:bookmarkEnd w:id="44"/>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all compensation of our directors as of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Gus D. Halas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Lang</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29,186</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49,186</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Pinney</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26,250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29,186</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55,436</w:t>
            </w: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Vos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Director Compensation Table</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our Director Compensation Plan, independent directors (“Outside Directors”) shall receive (a) annual cash retainer for Board and Committee service as set forth in the table below, payable in equal quarterly installments, and (b) reimbursement for expenses related to Board meeting attendance and any committee participation.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Annual Fee</w:t>
            </w:r>
          </w:p>
        </w:tc>
      </w:tr>
      <w:tr>
        <w:trPr>
          <w:trHeight w:val="245"/>
        </w:trPr>
        <w:tc>
          <w:tcPr>
            <w:tcW w:w="101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16"/>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Director Fee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Board Chair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Governance Chair</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34"/>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Governance Committee Member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are expected to attend four meetings per year as well as spend an additional 10 – 20 hours per month on company matters. In addition, Outside Directors shall also receive 8,334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45" w:name="page46"/>
    <w:bookmarkEnd w:id="45"/>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6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432"/>
        </w:trPr>
        <w:tc>
          <w:tcPr>
            <w:tcW w:w="11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Index to Financial Statements Required by Article 8 of Regulation S-X:</w:t>
            </w:r>
          </w:p>
        </w:tc>
        <w:tc>
          <w:tcPr>
            <w:tcW w:w="0" w:type="dxa"/>
            <w:vAlign w:val="bottom"/>
          </w:tcPr>
          <w:p>
            <w:pPr>
              <w:spacing w:after="0"/>
              <w:rPr>
                <w:sz w:val="1"/>
                <w:szCs w:val="1"/>
                <w:color w:val="auto"/>
              </w:rPr>
            </w:pPr>
          </w:p>
        </w:tc>
      </w:tr>
      <w:tr>
        <w:trPr>
          <w:trHeight w:val="432"/>
        </w:trPr>
        <w:tc>
          <w:tcPr>
            <w:tcW w:w="114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548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Consolidated Balance Sheets as of March 31, 2018 and December 31, 2017;</w:t>
              </w:r>
            </w:hyperlink>
          </w:p>
        </w:tc>
        <w:tc>
          <w:tcPr>
            <w:tcW w:w="478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10260" w:type="dxa"/>
            <w:vAlign w:val="bottom"/>
            <w:gridSpan w:val="10"/>
          </w:tcPr>
          <w:p>
            <w:pPr>
              <w:spacing w:after="0" w:line="17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Statements of Operations for three months ended March 31, 2018 and 2017;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102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Consolidated Statements of Cash Flows for three months ended March 31, 2018 and 2017;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320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Consolidated Notes to Financial Statements.</w:t>
              </w:r>
            </w:hyperlink>
          </w:p>
        </w:tc>
        <w:tc>
          <w:tcPr>
            <w:tcW w:w="3620" w:type="dxa"/>
            <w:vAlign w:val="bottom"/>
            <w:tcBorders>
              <w:top w:val="single" w:sz="8" w:color="0000EE"/>
            </w:tcBorders>
            <w:gridSpan w:val="8"/>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4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F-6 - F-7</w:t>
            </w:r>
          </w:p>
        </w:tc>
        <w:tc>
          <w:tcPr>
            <w:tcW w:w="102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Reports of Independent Registered Public Accounting Firms;</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10260" w:type="dxa"/>
            <w:vAlign w:val="bottom"/>
            <w:gridSpan w:val="10"/>
          </w:tcPr>
          <w:p>
            <w:pPr>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Consolidated Balance Sheets as of December 31, 2017 and 2016;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102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Consolidated Statements of Operations for the years ended December 31, 2017 and 2016;</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F-10 - F-11</w:t>
            </w:r>
          </w:p>
        </w:tc>
        <w:tc>
          <w:tcPr>
            <w:tcW w:w="6440" w:type="dxa"/>
            <w:vAlign w:val="bottom"/>
            <w:tcBorders>
              <w:top w:val="single" w:sz="8" w:color="0000EE"/>
            </w:tcBorders>
            <w:gridSpan w:val="6"/>
          </w:tcPr>
          <w:p>
            <w:pPr>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Statement of Stockholders’ Equity as of December 31, 2017;</w:t>
              </w:r>
            </w:hyperlink>
          </w:p>
        </w:tc>
        <w:tc>
          <w:tcPr>
            <w:tcW w:w="3820" w:type="dxa"/>
            <w:vAlign w:val="bottom"/>
            <w:tcBorders>
              <w:top w:val="single" w:sz="8" w:color="CCEEFF"/>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F-12</w:t>
            </w:r>
          </w:p>
        </w:tc>
        <w:tc>
          <w:tcPr>
            <w:tcW w:w="102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Cash Flows for the years ended December 31, 2017 and 2016;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F-13</w:t>
            </w:r>
          </w:p>
        </w:tc>
        <w:tc>
          <w:tcPr>
            <w:tcW w:w="320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Consolidated Notes to Financial Statements.</w:t>
              </w:r>
            </w:hyperlink>
          </w:p>
        </w:tc>
        <w:tc>
          <w:tcPr>
            <w:tcW w:w="3600" w:type="dxa"/>
            <w:vAlign w:val="bottom"/>
            <w:tcBorders>
              <w:top w:val="single" w:sz="8" w:color="0000EE"/>
            </w:tcBorders>
            <w:gridSpan w:val="7"/>
          </w:tcPr>
          <w:p>
            <w:pPr>
              <w:spacing w:after="0"/>
              <w:rPr>
                <w:sz w:val="15"/>
                <w:szCs w:val="15"/>
                <w:color w:val="auto"/>
              </w:rPr>
            </w:pPr>
          </w:p>
        </w:tc>
        <w:tc>
          <w:tcPr>
            <w:tcW w:w="346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4480"/>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46" w:name="page47"/>
    <w:bookmarkEnd w:id="46"/>
    <w:p>
      <w:pPr>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right="800"/>
        <w:spacing w:after="0" w:line="250" w:lineRule="auto"/>
        <w:rPr>
          <w:sz w:val="20"/>
          <w:szCs w:val="20"/>
          <w:color w:val="auto"/>
        </w:rPr>
      </w:pPr>
      <w:r>
        <w:rPr>
          <w:rFonts w:ascii="Times New Roman" w:cs="Times New Roman" w:eastAsia="Times New Roman" w:hAnsi="Times New Roman"/>
          <w:sz w:val="18"/>
          <w:szCs w:val="18"/>
          <w:color w:val="auto"/>
        </w:rPr>
        <w:t>Cash and cash equivalents Accounts receivable</w:t>
      </w:r>
    </w:p>
    <w:p>
      <w:pPr>
        <w:spacing w:after="0" w:line="1" w:lineRule="exact"/>
        <w:rPr>
          <w:sz w:val="20"/>
          <w:szCs w:val="20"/>
          <w:color w:val="auto"/>
        </w:rPr>
      </w:pPr>
    </w:p>
    <w:p>
      <w:pPr>
        <w:ind w:left="180" w:right="140"/>
        <w:spacing w:after="0" w:line="255" w:lineRule="auto"/>
        <w:rPr>
          <w:sz w:val="20"/>
          <w:szCs w:val="20"/>
          <w:color w:val="auto"/>
        </w:rPr>
      </w:pPr>
      <w:r>
        <w:rPr>
          <w:rFonts w:ascii="Times New Roman" w:cs="Times New Roman" w:eastAsia="Times New Roman" w:hAnsi="Times New Roman"/>
          <w:sz w:val="18"/>
          <w:szCs w:val="18"/>
          <w:color w:val="auto"/>
        </w:rPr>
        <w:t>Accounts receivable – related party Prepaid expenses</w:t>
      </w:r>
    </w:p>
    <w:p>
      <w:pPr>
        <w:spacing w:after="0" w:line="1" w:lineRule="exact"/>
        <w:rPr>
          <w:sz w:val="20"/>
          <w:szCs w:val="20"/>
          <w:color w:val="auto"/>
        </w:rPr>
      </w:pPr>
    </w:p>
    <w:p>
      <w:pPr>
        <w:ind w:right="840"/>
        <w:spacing w:after="0" w:line="306" w:lineRule="auto"/>
        <w:rPr>
          <w:sz w:val="20"/>
          <w:szCs w:val="20"/>
          <w:color w:val="auto"/>
        </w:rPr>
      </w:pPr>
      <w:r>
        <w:rPr>
          <w:rFonts w:ascii="Times New Roman" w:cs="Times New Roman" w:eastAsia="Times New Roman" w:hAnsi="Times New Roman"/>
          <w:sz w:val="17"/>
          <w:szCs w:val="17"/>
          <w:color w:val="auto"/>
        </w:rPr>
        <w:t>Total Current Assets Property and equipment,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Patent rights, net</w:t>
      </w:r>
    </w:p>
    <w:p>
      <w:pPr>
        <w:spacing w:after="0" w:line="9" w:lineRule="exact"/>
        <w:rPr>
          <w:sz w:val="20"/>
          <w:szCs w:val="20"/>
          <w:color w:val="auto"/>
        </w:rPr>
      </w:pPr>
    </w:p>
    <w:p>
      <w:pPr>
        <w:ind w:left="180" w:right="680"/>
        <w:spacing w:after="0" w:line="255" w:lineRule="auto"/>
        <w:rPr>
          <w:sz w:val="20"/>
          <w:szCs w:val="20"/>
          <w:color w:val="auto"/>
        </w:rPr>
      </w:pPr>
      <w:r>
        <w:rPr>
          <w:rFonts w:ascii="Times New Roman" w:cs="Times New Roman" w:eastAsia="Times New Roman" w:hAnsi="Times New Roman"/>
          <w:sz w:val="18"/>
          <w:szCs w:val="18"/>
          <w:color w:val="auto"/>
        </w:rPr>
        <w:t>Web development costs, net Security deposit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2018 AND DECEMBER 31, 2017</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March 31,</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r>
      <w:tr>
        <w:trPr>
          <w:trHeight w:val="194"/>
        </w:trPr>
        <w:tc>
          <w:tcPr>
            <w:tcW w:w="4940" w:type="dxa"/>
            <w:vAlign w:val="bottom"/>
          </w:tcPr>
          <w:p>
            <w:pPr>
              <w:spacing w:after="0"/>
              <w:rPr>
                <w:sz w:val="16"/>
                <w:szCs w:val="16"/>
                <w:color w:val="auto"/>
              </w:rPr>
            </w:pPr>
          </w:p>
        </w:tc>
        <w:tc>
          <w:tcPr>
            <w:tcW w:w="9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8"/>
        </w:trPr>
        <w:tc>
          <w:tcPr>
            <w:tcW w:w="5040" w:type="dxa"/>
            <w:vAlign w:val="bottom"/>
            <w:gridSpan w:val="2"/>
          </w:tcPr>
          <w:p>
            <w:pPr>
              <w:jc w:val="right"/>
              <w:ind w:right="42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4"/>
        </w:trPr>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4,298,619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5,122,573</w:t>
            </w: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1,871,255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2,257,276</w:t>
            </w: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1,974,143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1,173,614</w:t>
            </w:r>
          </w:p>
        </w:tc>
      </w:tr>
      <w:tr>
        <w:trPr>
          <w:trHeight w:val="241"/>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191,413</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255,428</w:t>
            </w:r>
          </w:p>
        </w:tc>
      </w:tr>
      <w:tr>
        <w:trPr>
          <w:trHeight w:val="223"/>
        </w:trPr>
        <w:tc>
          <w:tcPr>
            <w:tcW w:w="4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8,335,430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8,808,891</w:t>
            </w:r>
          </w:p>
        </w:tc>
      </w:tr>
      <w:tr>
        <w:trPr>
          <w:trHeight w:val="223"/>
        </w:trPr>
        <w:tc>
          <w:tcPr>
            <w:tcW w:w="4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157,608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167,305</w:t>
            </w:r>
          </w:p>
        </w:tc>
      </w:tr>
      <w:tr>
        <w:trPr>
          <w:trHeight w:val="41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621,793</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638,766</w:t>
            </w: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152,493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143,730</w:t>
            </w:r>
          </w:p>
        </w:tc>
      </w:tr>
      <w:tr>
        <w:trPr>
          <w:trHeight w:val="241"/>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23"/>
        </w:trPr>
        <w:tc>
          <w:tcPr>
            <w:tcW w:w="4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779,335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787,545</w:t>
            </w:r>
          </w:p>
        </w:tc>
      </w:tr>
      <w:tr>
        <w:trPr>
          <w:trHeight w:val="250"/>
        </w:trPr>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9,272,373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9,763,741</w:t>
            </w:r>
          </w:p>
        </w:tc>
      </w:tr>
      <w:tr>
        <w:trPr>
          <w:trHeight w:val="21"/>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-1809115</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-1534160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-1242695</wp:posOffset>
            </wp:positionV>
            <wp:extent cx="72466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-934085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-650875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-359410</wp:posOffset>
            </wp:positionV>
            <wp:extent cx="72466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80" w:space="720"/>
            <w:col w:w="7820"/>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9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2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133,870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457,289</w:t>
            </w:r>
          </w:p>
        </w:tc>
      </w:tr>
      <w:tr>
        <w:trPr>
          <w:trHeight w:val="216"/>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549,656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953,947</w:t>
            </w: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898,478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1,177,136</w:t>
            </w:r>
          </w:p>
        </w:tc>
      </w:tr>
      <w:tr>
        <w:trPr>
          <w:trHeight w:val="216"/>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 – related party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447,670</w:t>
            </w:r>
          </w:p>
        </w:tc>
      </w:tr>
      <w:tr>
        <w:trPr>
          <w:trHeight w:val="237"/>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856,914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507,160</w:t>
            </w:r>
          </w:p>
        </w:tc>
      </w:tr>
      <w:tr>
        <w:trPr>
          <w:trHeight w:val="236"/>
        </w:trPr>
        <w:tc>
          <w:tcPr>
            <w:tcW w:w="9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2,438,918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9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9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issued and outstanding at March 31, 2018 or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9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9,878,944 and 9,772,694 shares issued and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March 31, 2018 and December 31, 2017,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9,773</w:t>
            </w:r>
          </w:p>
        </w:tc>
      </w:tr>
      <w:tr>
        <w:trPr>
          <w:trHeight w:val="216"/>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warrants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1,286,424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1,286,424</w:t>
            </w: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36,231,480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35,287,464</w:t>
            </w:r>
          </w:p>
        </w:tc>
      </w:tr>
      <w:tr>
        <w:trPr>
          <w:trHeight w:val="250"/>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(30,694,328)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(30,363,122)</w:t>
            </w:r>
          </w:p>
        </w:tc>
      </w:tr>
      <w:tr>
        <w:trPr>
          <w:trHeight w:val="210"/>
        </w:trPr>
        <w:tc>
          <w:tcPr>
            <w:tcW w:w="9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6,833,455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6,220,539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9,272,373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9,763,741</w:t>
            </w:r>
          </w:p>
        </w:tc>
      </w:tr>
      <w:tr>
        <w:trPr>
          <w:trHeight w:val="21"/>
        </w:trPr>
        <w:tc>
          <w:tcPr>
            <w:tcW w:w="9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47" w:name="page48"/>
    <w:bookmarkEnd w:id="47"/>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2018 AND 2017</w:t>
      </w:r>
    </w:p>
    <w:p>
      <w:pPr>
        <w:spacing w:after="0" w:line="207"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8"/>
          <w:szCs w:val="18"/>
          <w:color w:val="auto"/>
        </w:rPr>
        <w:t>For the Three Months</w:t>
      </w:r>
    </w:p>
    <w:p>
      <w:pPr>
        <w:spacing w:after="0" w:line="27"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94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2,781,621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1,400,318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 Related Party</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1,330,616</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4,112,237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2,152,073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REVENUE SHARE EXPENSE</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2,008,092</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1,381,733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2,104,145</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2,295,341</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1,660,778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(191,196)</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(890,438)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(189,179)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(882,682)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94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(189,179</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(882,682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9,786,027</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9,906,289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(0.02</w:t>
            </w:r>
            <w:r>
              <w:rPr>
                <w:rFonts w:ascii="Times New Roman" w:cs="Times New Roman" w:eastAsia="Times New Roman" w:hAnsi="Times New Roman"/>
                <w:sz w:val="29"/>
                <w:szCs w:val="29"/>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(0.09</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94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F-2</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48" w:name="page49"/>
    <w:bookmarkEnd w:id="48"/>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2018 AND 2017</w:t>
      </w:r>
    </w:p>
    <w:p>
      <w:pPr>
        <w:spacing w:after="0" w:line="20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For the Three Months</w:t>
      </w:r>
    </w:p>
    <w:p>
      <w:pPr>
        <w:spacing w:after="0" w:line="27"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94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for the period</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(189,179)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54,473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and options issued for services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497,122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(414,508)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(323,419)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 share payable</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(279,328)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(404,291)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207,727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(787,388</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(297,236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(32,763)</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207" w:lineRule="exact"/>
        <w:rPr>
          <w:sz w:val="20"/>
          <w:szCs w:val="20"/>
          <w:color w:val="auto"/>
        </w:rPr>
      </w:pPr>
    </w:p>
    <w:p>
      <w:pPr>
        <w:ind w:right="3340"/>
        <w:spacing w:after="0" w:line="281" w:lineRule="auto"/>
        <w:rPr>
          <w:sz w:val="20"/>
          <w:szCs w:val="20"/>
          <w:color w:val="auto"/>
        </w:rPr>
      </w:pPr>
      <w:r>
        <w:rPr>
          <w:rFonts w:ascii="Times New Roman" w:cs="Times New Roman" w:eastAsia="Times New Roman" w:hAnsi="Times New Roman"/>
          <w:sz w:val="17"/>
          <w:szCs w:val="17"/>
          <w:color w:val="auto"/>
        </w:rPr>
        <w:t>NET INCREASE (DECREASE)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spacing w:after="0"/>
        <w:tabs>
          <w:tab w:leader="none" w:pos="1220" w:val="left"/>
        </w:tabs>
        <w:rPr>
          <w:sz w:val="20"/>
          <w:szCs w:val="20"/>
          <w:color w:val="auto"/>
        </w:rPr>
      </w:pPr>
      <w:r>
        <w:rPr>
          <w:rFonts w:ascii="Times New Roman" w:cs="Times New Roman" w:eastAsia="Times New Roman" w:hAnsi="Times New Roman"/>
          <w:sz w:val="18"/>
          <w:szCs w:val="18"/>
          <w:color w:val="auto"/>
        </w:rPr>
        <w:t>(823,954)</w:t>
      </w:r>
      <w:r>
        <w:rPr>
          <w:sz w:val="20"/>
          <w:szCs w:val="20"/>
          <w:color w:val="auto"/>
        </w:rPr>
        <w:tab/>
      </w:r>
      <w:r>
        <w:rPr>
          <w:rFonts w:ascii="Times New Roman" w:cs="Times New Roman" w:eastAsia="Times New Roman" w:hAnsi="Times New Roman"/>
          <w:sz w:val="18"/>
          <w:szCs w:val="18"/>
          <w:color w:val="auto"/>
        </w:rPr>
        <w:t>(313,382)</w:t>
      </w:r>
    </w:p>
    <w:p>
      <w:pPr>
        <w:spacing w:after="0" w:line="27"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color w:val="auto"/>
        </w:rPr>
        <w:t>5,122,573</w:t>
      </w:r>
      <w:r>
        <w:rPr>
          <w:sz w:val="20"/>
          <w:szCs w:val="20"/>
          <w:color w:val="auto"/>
        </w:rPr>
        <w:tab/>
      </w:r>
      <w:r>
        <w:rPr>
          <w:rFonts w:ascii="Times New Roman" w:cs="Times New Roman" w:eastAsia="Times New Roman" w:hAnsi="Times New Roman"/>
          <w:sz w:val="18"/>
          <w:szCs w:val="18"/>
          <w:color w:val="auto"/>
        </w:rPr>
        <w:t>7,034,647</w:t>
      </w:r>
    </w:p>
    <w:p>
      <w:pPr>
        <w:spacing w:after="0" w:line="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u w:val="single" w:color="auto"/>
          <w:color w:val="auto"/>
        </w:rPr>
        <w:t>$ 4,298,619</w:t>
      </w:r>
      <w:r>
        <w:rPr>
          <w:sz w:val="20"/>
          <w:szCs w:val="20"/>
          <w:color w:val="auto"/>
        </w:rPr>
        <w:tab/>
      </w:r>
      <w:r>
        <w:rPr>
          <w:rFonts w:ascii="Times New Roman" w:cs="Times New Roman" w:eastAsia="Times New Roman" w:hAnsi="Times New Roman"/>
          <w:sz w:val="17"/>
          <w:szCs w:val="17"/>
          <w:u w:val="single" w:color="auto"/>
          <w:color w:val="auto"/>
        </w:rPr>
        <w:t>$ 6,721,265</w:t>
      </w:r>
    </w:p>
    <w:p>
      <w:pPr>
        <w:spacing w:after="0" w:line="544" w:lineRule="exact"/>
        <w:rPr>
          <w:sz w:val="20"/>
          <w:szCs w:val="20"/>
          <w:color w:val="auto"/>
        </w:rPr>
      </w:pPr>
    </w:p>
    <w:p>
      <w:pPr>
        <w:sectPr>
          <w:pgSz w:w="11900" w:h="16838" w:orient="portrait"/>
          <w:cols w:equalWidth="0" w:num="2">
            <w:col w:w="8700" w:space="720"/>
            <w:col w:w="2000"/>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9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9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94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42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Non-cash issuance of shares to WPP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447,000</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420" w:type="dxa"/>
            <w:vAlign w:val="bottom"/>
            <w:vMerge w:val="restart"/>
          </w:tcPr>
          <w:p>
            <w:pPr>
              <w:ind w:left="21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9420" w:type="dxa"/>
            <w:vAlign w:val="bottom"/>
            <w:tcBorders>
              <w:bottom w:val="single" w:sz="8" w:color="auto"/>
            </w:tcBorders>
          </w:tcPr>
          <w:p>
            <w:pPr>
              <w:ind w:left="5600"/>
              <w:spacing w:after="0"/>
              <w:rPr>
                <w:sz w:val="20"/>
                <w:szCs w:val="20"/>
                <w:color w:val="auto"/>
              </w:rPr>
            </w:pPr>
            <w:r>
              <w:rPr>
                <w:rFonts w:ascii="Times New Roman" w:cs="Times New Roman" w:eastAsia="Times New Roman" w:hAnsi="Times New Roman"/>
                <w:sz w:val="18"/>
                <w:szCs w:val="18"/>
                <w:color w:val="auto"/>
              </w:rPr>
              <w:t>F-3</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type w:val="continuous"/>
        </w:sectPr>
      </w:pPr>
    </w:p>
    <w:bookmarkStart w:id="49" w:name="page50"/>
    <w:bookmarkEnd w:id="49"/>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the three months ended March 31, 2018 and 2017 have been prepared by us without audit pursuant to the rules and regulations of the U.S. Securities and Exchange Commission. In the opinion of management, all adjustments necessary to present fairly our financial position, results of operations, and cash flows as of March 31, 2018 and 2017, and for the periods then ended, have been made. Those adjustments consist of normal and recurring adjustments. The consolidated balance sheet as of December 31, 2017, has been derived from the audited consolidated balance sheet as of that date.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2017, as filed with the U.S. Securities and Exchange Commission.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2018, are not necessarily indicative of the results to be expected for the full year. Certain reclassifications have been made in the prior period’s consolidated financial statements to conform to the current period’s presentation.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FINANCIAL ACCOUNTING STANDARDS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On January 1, 2018, we adopted the new accounting standard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all of the related amendments (“new revenue standard”). We recorded the change, which was immaterial, related to adopting the new revenue standard using the modified retrospective method. Under this method, we recognized the cumulative effect of initially applying the new revenue standard as an adjustment to the opening balance of retained earnings. This results in no restatement of prior periods, which continue to be reported under the accounting standards in effect for those periods. We expect the impact of the adoption of the new revenue standard to continue to be immaterial on an ongoing basis.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applied the new revenue standard to all contracts as of the date of initial application. The overwhelming majority of our revenue continues to be recognized when transactions occur, such as the delivery of a message. We previously recognized revenue related to set-ups when a program launched, and all related activities had been accomplished. Under the new revenue standard, we are recognizing revenue related to these set ups over the term of the initial contract. Since set up fees are generally small relative to the size of the overall contract and because most contracts are for a year or less, the impact of this change is immaterial.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of recording this change as of January 1, 2018 resulted in an increase in deferred revenue of $142,027 at that date and a corresponding decrease in retained earnings as well. The impact of adopting the new revenue standard in 2018 resulted in lower revenues in the three months ended March 31, 2018. Had the new revenue standard not taken effect, our revenues for the period would have been higher by $117,911 and deferred revenues lower by $117,911. All of these revenues are expected to be recognized by December 31, 2018, so the primary effect of the new revenue standard is to shift revenues between quarters by immaterial amounts.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0" w:name="page51"/>
    <w:bookmarkEnd w:id="50"/>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STOCKHOLDERS’ EQUITY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both March 2018 and 2017, we issued 6,250 shares of our common stock to our independent directors in connection with our Director Compensation Plan, which calls for issuance of 6,250 shares per quarter to each independent director. These shares were valued at $28,875 and $15,375 at March 31, 2018 and 2017,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2018, we issued 100,000 shares of common stock to a subsidiary of WPP, one of the world’s largest advertising companies, and a shareholder, in full payment of all amounts due under a comarketing agreement that covered certain WPP agencies, whereby we shared a portion of our revenue with those agencies related to programs awarded to us by those agencies. The shares were valued at $447,000, the market value of the stock on the date of issuance. The amount due was recorded as a liability in revenue share payable at December 31, 2017.</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the same in both periods. The number of common shares potentially issuable related to dilutive securities that were excluded from the diluted loss per common share calculation was approximately 604,172, because they are anti-dilutive, as a result of a net loss for the quarter ended March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SHARE BASED PAYMENTS –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 fair value method to account for stock based compensation. We recorded $468,247 and $114,069 in compensation expense in the three months ended March 31, 2018 and 2017,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The assumptions used in this model were similar to the assumptions set forth in our Annual Report on Form 10-K for the fiscal year ended December 31, 2017 related to grants in 2017. As also discussed in the 10-K, we increased the shares of common stock authorized under our stock option plan during the quarter to 1,833,333 million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RELATED PARTY TRANSACTIONS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more detail in Note 3, Stockholders Equity, we issued 100,000 shares of our common stock to a subsidiary of WPP, a shareholder that owns approximately 20% of our common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involved in any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2018, we signed an agreement to issue 1,666,669 shares of common stock for gross proceeds of $9.0 million, with expected net proceeds of approximately $8.3 million. The transaction closed May 4, 2018. In addition, our Board of Directors approved a 1 for 3 stock split to meet the requirements of NASDAQ. The reverse split was effective May 14, 2018. These effective of this reverse split has been retroactively included in these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1" w:name="page52"/>
    <w:bookmarkEnd w:id="5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724025" cy="728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240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OptimizeRx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Opinion on the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OptimizeRx Corporation (“the Company”) as of December 31, 2017, the related consolidated statements of operations, stockholders’ equity, and cash flows for the year ended December 31, 2017 and the related notes (collectively referred to as the “financial statements”). In our opinion, the consolidated financial statements referred to above present fairly, in all material respects, the financial position of OptimizeRx Corporation as of December 31, 2017, and the results of its operations and its cash flows for the year ended December 31, 2017,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OptimizeRx Corporation consolidated financial statements based on our audit. We are a public accounting firm registered with the Public Company Accounting Oversight Board (United States) (“PCAOB”) and are required to be independent with respect to the Company in accordance with the U.S. federal security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the adjustments to the 2016 consolidated financial statements to retrospectively apply the effect of the reverse stock split, as described in Note 10. In our opinion, such adjustments are appropriate and have been properly applied. We were not engaged to audit, review, or apply any procedures to the 2016 consolidated financial statements of the Company other than with respect to the adjustments and, accordingly, we do not express an opinion or any other form of assurance on the 2016 consolidated financial statements taken as a whole.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Sadler, Gibb &amp; Associates,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2018, except for Note 10, as to which the date is May 17, 2018</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Office</w:t>
        <w:tab/>
        <w:t>801.783.2950</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801.783.2960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WWW</w:t>
      </w:r>
      <w:r>
        <w:rPr>
          <w:rFonts w:ascii="Times New Roman" w:cs="Times New Roman" w:eastAsia="Times New Roman" w:hAnsi="Times New Roman"/>
          <w:sz w:val="18"/>
          <w:szCs w:val="18"/>
          <w:color w:val="auto"/>
        </w:rPr>
        <w:t>.sadlergibb.com |</w:t>
      </w:r>
      <w:r>
        <w:rPr>
          <w:rFonts w:ascii="Times New Roman" w:cs="Times New Roman" w:eastAsia="Times New Roman" w:hAnsi="Times New Roman"/>
          <w:sz w:val="18"/>
          <w:szCs w:val="18"/>
          <w:b w:val="1"/>
          <w:bCs w:val="1"/>
          <w:color w:val="auto"/>
        </w:rPr>
        <w:t xml:space="preserve"> Main</w:t>
      </w:r>
      <w:r>
        <w:rPr>
          <w:rFonts w:ascii="Times New Roman" w:cs="Times New Roman" w:eastAsia="Times New Roman" w:hAnsi="Times New Roman"/>
          <w:sz w:val="18"/>
          <w:szCs w:val="18"/>
          <w:color w:val="auto"/>
        </w:rPr>
        <w:t>: 2455 East Parleys Way Suite 320, Salt Lake City, UT 84109 |</w:t>
      </w:r>
      <w:r>
        <w:rPr>
          <w:rFonts w:ascii="Times New Roman" w:cs="Times New Roman" w:eastAsia="Times New Roman" w:hAnsi="Times New Roman"/>
          <w:sz w:val="18"/>
          <w:szCs w:val="18"/>
          <w:b w:val="1"/>
          <w:bCs w:val="1"/>
          <w:color w:val="auto"/>
        </w:rPr>
        <w:t xml:space="preserve"> Provo</w:t>
      </w:r>
      <w:r>
        <w:rPr>
          <w:rFonts w:ascii="Times New Roman" w:cs="Times New Roman" w:eastAsia="Times New Roman" w:hAnsi="Times New Roman"/>
          <w:sz w:val="18"/>
          <w:szCs w:val="18"/>
          <w:color w:val="auto"/>
        </w:rPr>
        <w:t>: 3507 N University Ave #100, Provo, UT 84604</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2" w:name="page53"/>
    <w:bookmarkEnd w:id="5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KLJ &amp; Associates, LLP</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5201 Eden Ave.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763-592-8238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MI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OptimizeRx Corporation as of December 31,2016, and the related consolidated statements of operations, shareholders’ equity (deficit), and cash flows for the year then ended.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OptimizeRx Corporation as of December 31, 2016 and the results of their operations and their cash flows for year ended December 31, 2016,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Edina, MN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3" w:name="page54"/>
    <w:bookmarkEnd w:id="53"/>
    <w:p>
      <w:pPr>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ind w:left="180" w:right="680"/>
        <w:spacing w:after="0" w:line="255" w:lineRule="auto"/>
        <w:rPr>
          <w:sz w:val="20"/>
          <w:szCs w:val="20"/>
          <w:color w:val="auto"/>
        </w:rPr>
      </w:pPr>
      <w:r>
        <w:rPr>
          <w:rFonts w:ascii="Times New Roman" w:cs="Times New Roman" w:eastAsia="Times New Roman" w:hAnsi="Times New Roman"/>
          <w:sz w:val="18"/>
          <w:szCs w:val="18"/>
          <w:color w:val="auto"/>
        </w:rPr>
        <w:t>Accounts receivable – related party Prepaid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Patent rights,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Web development costs,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Security deposit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Consolidated Balance Sheets as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2017 and 2016</w:t>
      </w:r>
    </w:p>
    <w:p>
      <w:pPr>
        <w:spacing w:after="0" w:line="207" w:lineRule="exact"/>
        <w:rPr>
          <w:sz w:val="20"/>
          <w:szCs w:val="20"/>
          <w:color w:val="auto"/>
        </w:rPr>
      </w:pPr>
    </w:p>
    <w:tbl>
      <w:tblPr>
        <w:tblLayout w:type="fixed"/>
        <w:tblInd w:w="4940" w:type="dxa"/>
        <w:tblCellMar>
          <w:top w:w="0" w:type="dxa"/>
          <w:left w:w="0" w:type="dxa"/>
          <w:bottom w:w="0" w:type="dxa"/>
          <w:right w:w="0" w:type="dxa"/>
        </w:tblCellMar>
      </w:tblPr>
      <w:tr>
        <w:trPr>
          <w:trHeight w:val="216"/>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29" w:lineRule="exact"/>
        <w:rPr>
          <w:sz w:val="20"/>
          <w:szCs w:val="20"/>
          <w:color w:val="auto"/>
        </w:rPr>
      </w:pPr>
    </w:p>
    <w:p>
      <w:pPr>
        <w:ind w:left="4940"/>
        <w:spacing w:after="0"/>
        <w:tabs>
          <w:tab w:leader="none" w:pos="5200" w:val="left"/>
          <w:tab w:leader="none" w:pos="6140" w:val="left"/>
          <w:tab w:leader="none" w:pos="6440" w:val="left"/>
        </w:tabs>
        <w:rPr>
          <w:sz w:val="20"/>
          <w:szCs w:val="20"/>
          <w:color w:val="auto"/>
        </w:rPr>
      </w:pPr>
      <w:r>
        <w:rPr>
          <w:rFonts w:ascii="Times New Roman" w:cs="Times New Roman" w:eastAsia="Times New Roman" w:hAnsi="Times New Roman"/>
          <w:sz w:val="18"/>
          <w:szCs w:val="18"/>
          <w:color w:val="auto"/>
        </w:rPr>
        <w:t>$</w:t>
        <w:tab/>
        <w:t>5,122,573</w:t>
        <w:tab/>
        <w:t>$</w:t>
        <w:tab/>
        <w:t>7,034,647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-119380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5220"/>
        <w:spacing w:after="0"/>
        <w:tabs>
          <w:tab w:leader="none" w:pos="6440" w:val="left"/>
        </w:tabs>
        <w:rPr>
          <w:sz w:val="20"/>
          <w:szCs w:val="20"/>
          <w:color w:val="auto"/>
        </w:rPr>
      </w:pPr>
      <w:r>
        <w:rPr>
          <w:rFonts w:ascii="Times New Roman" w:cs="Times New Roman" w:eastAsia="Times New Roman" w:hAnsi="Times New Roman"/>
          <w:sz w:val="18"/>
          <w:szCs w:val="18"/>
          <w:color w:val="auto"/>
        </w:rPr>
        <w:t>2,257,276</w:t>
      </w:r>
      <w:r>
        <w:rPr>
          <w:sz w:val="20"/>
          <w:szCs w:val="20"/>
          <w:color w:val="auto"/>
        </w:rPr>
        <w:tab/>
      </w:r>
      <w:r>
        <w:rPr>
          <w:rFonts w:ascii="Times New Roman" w:cs="Times New Roman" w:eastAsia="Times New Roman" w:hAnsi="Times New Roman"/>
          <w:sz w:val="18"/>
          <w:szCs w:val="18"/>
          <w:color w:val="auto"/>
        </w:rPr>
        <w:t>1,951,811</w:t>
      </w:r>
    </w:p>
    <w:p>
      <w:pPr>
        <w:spacing w:after="0" w:line="9" w:lineRule="exact"/>
        <w:rPr>
          <w:sz w:val="20"/>
          <w:szCs w:val="20"/>
          <w:color w:val="auto"/>
        </w:rPr>
      </w:pPr>
    </w:p>
    <w:p>
      <w:pPr>
        <w:ind w:left="5220"/>
        <w:spacing w:after="0"/>
        <w:tabs>
          <w:tab w:leader="none" w:pos="6440" w:val="left"/>
        </w:tabs>
        <w:rPr>
          <w:sz w:val="20"/>
          <w:szCs w:val="20"/>
          <w:color w:val="auto"/>
        </w:rPr>
      </w:pPr>
      <w:r>
        <w:rPr>
          <w:rFonts w:ascii="Times New Roman" w:cs="Times New Roman" w:eastAsia="Times New Roman" w:hAnsi="Times New Roman"/>
          <w:sz w:val="18"/>
          <w:szCs w:val="18"/>
          <w:color w:val="auto"/>
        </w:rPr>
        <w:t>1,173,614</w:t>
      </w:r>
      <w:r>
        <w:rPr>
          <w:sz w:val="20"/>
          <w:szCs w:val="20"/>
          <w:color w:val="auto"/>
        </w:rPr>
        <w:tab/>
      </w:r>
      <w:r>
        <w:rPr>
          <w:rFonts w:ascii="Times New Roman" w:cs="Times New Roman" w:eastAsia="Times New Roman" w:hAnsi="Times New Roman"/>
          <w:sz w:val="18"/>
          <w:szCs w:val="18"/>
          <w:color w:val="auto"/>
        </w:rPr>
        <w:t>1,108,585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-130810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360"/>
        <w:spacing w:after="0"/>
        <w:tabs>
          <w:tab w:leader="none" w:pos="6660" w:val="left"/>
        </w:tabs>
        <w:rPr>
          <w:sz w:val="20"/>
          <w:szCs w:val="20"/>
          <w:color w:val="auto"/>
        </w:rPr>
      </w:pPr>
      <w:r>
        <w:rPr>
          <w:rFonts w:ascii="Times New Roman" w:cs="Times New Roman" w:eastAsia="Times New Roman" w:hAnsi="Times New Roman"/>
          <w:sz w:val="18"/>
          <w:szCs w:val="18"/>
          <w:color w:val="auto"/>
        </w:rPr>
        <w:t>255,428</w:t>
      </w:r>
      <w:r>
        <w:rPr>
          <w:sz w:val="20"/>
          <w:szCs w:val="20"/>
          <w:color w:val="auto"/>
        </w:rPr>
        <w:tab/>
      </w:r>
      <w:r>
        <w:rPr>
          <w:rFonts w:ascii="Times New Roman" w:cs="Times New Roman" w:eastAsia="Times New Roman" w:hAnsi="Times New Roman"/>
          <w:sz w:val="18"/>
          <w:szCs w:val="18"/>
          <w:color w:val="auto"/>
        </w:rPr>
        <w:t>80,820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14605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5220"/>
        <w:spacing w:after="0"/>
        <w:tabs>
          <w:tab w:leader="none" w:pos="6340" w:val="left"/>
        </w:tabs>
        <w:rPr>
          <w:sz w:val="20"/>
          <w:szCs w:val="20"/>
          <w:color w:val="auto"/>
        </w:rPr>
      </w:pPr>
      <w:r>
        <w:rPr>
          <w:rFonts w:ascii="Times New Roman" w:cs="Times New Roman" w:eastAsia="Times New Roman" w:hAnsi="Times New Roman"/>
          <w:sz w:val="18"/>
          <w:szCs w:val="18"/>
          <w:color w:val="auto"/>
        </w:rPr>
        <w:t>8,808,891</w:t>
      </w:r>
      <w:r>
        <w:rPr>
          <w:sz w:val="20"/>
          <w:szCs w:val="20"/>
          <w:color w:val="auto"/>
        </w:rPr>
        <w:tab/>
      </w:r>
      <w:r>
        <w:rPr>
          <w:rFonts w:ascii="Times New Roman" w:cs="Times New Roman" w:eastAsia="Times New Roman" w:hAnsi="Times New Roman"/>
          <w:sz w:val="18"/>
          <w:szCs w:val="18"/>
          <w:color w:val="auto"/>
        </w:rPr>
        <w:t>10,175,863</w:t>
      </w:r>
    </w:p>
    <w:p>
      <w:pPr>
        <w:spacing w:after="0" w:line="36" w:lineRule="exact"/>
        <w:rPr>
          <w:sz w:val="20"/>
          <w:szCs w:val="20"/>
          <w:color w:val="auto"/>
        </w:rPr>
      </w:pPr>
    </w:p>
    <w:p>
      <w:pPr>
        <w:ind w:left="5360"/>
        <w:spacing w:after="0"/>
        <w:tabs>
          <w:tab w:leader="none" w:pos="6560" w:val="left"/>
        </w:tabs>
        <w:rPr>
          <w:sz w:val="20"/>
          <w:szCs w:val="20"/>
          <w:color w:val="auto"/>
        </w:rPr>
      </w:pPr>
      <w:r>
        <w:rPr>
          <w:rFonts w:ascii="Times New Roman" w:cs="Times New Roman" w:eastAsia="Times New Roman" w:hAnsi="Times New Roman"/>
          <w:sz w:val="18"/>
          <w:szCs w:val="18"/>
          <w:color w:val="auto"/>
        </w:rPr>
        <w:t>167,305</w:t>
      </w:r>
      <w:r>
        <w:rPr>
          <w:sz w:val="20"/>
          <w:szCs w:val="20"/>
          <w:color w:val="auto"/>
        </w:rPr>
        <w:tab/>
      </w:r>
      <w:r>
        <w:rPr>
          <w:rFonts w:ascii="Times New Roman" w:cs="Times New Roman" w:eastAsia="Times New Roman" w:hAnsi="Times New Roman"/>
          <w:sz w:val="18"/>
          <w:szCs w:val="18"/>
          <w:color w:val="auto"/>
        </w:rPr>
        <w:t>173,649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17145</wp:posOffset>
            </wp:positionV>
            <wp:extent cx="72466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5360"/>
        <w:spacing w:after="0"/>
        <w:tabs>
          <w:tab w:leader="none" w:pos="6560" w:val="left"/>
        </w:tabs>
        <w:rPr>
          <w:sz w:val="20"/>
          <w:szCs w:val="20"/>
          <w:color w:val="auto"/>
        </w:rPr>
      </w:pPr>
      <w:r>
        <w:rPr>
          <w:rFonts w:ascii="Times New Roman" w:cs="Times New Roman" w:eastAsia="Times New Roman" w:hAnsi="Times New Roman"/>
          <w:sz w:val="18"/>
          <w:szCs w:val="18"/>
          <w:color w:val="auto"/>
        </w:rPr>
        <w:t>638,766</w:t>
      </w:r>
      <w:r>
        <w:rPr>
          <w:sz w:val="20"/>
          <w:szCs w:val="20"/>
          <w:color w:val="auto"/>
        </w:rPr>
        <w:tab/>
      </w:r>
      <w:r>
        <w:rPr>
          <w:rFonts w:ascii="Times New Roman" w:cs="Times New Roman" w:eastAsia="Times New Roman" w:hAnsi="Times New Roman"/>
          <w:sz w:val="18"/>
          <w:szCs w:val="18"/>
          <w:color w:val="auto"/>
        </w:rPr>
        <w:t>772,394</w:t>
      </w:r>
    </w:p>
    <w:p>
      <w:pPr>
        <w:spacing w:after="0" w:line="27" w:lineRule="exact"/>
        <w:rPr>
          <w:sz w:val="20"/>
          <w:szCs w:val="20"/>
          <w:color w:val="auto"/>
        </w:rPr>
      </w:pPr>
    </w:p>
    <w:p>
      <w:pPr>
        <w:ind w:left="5360"/>
        <w:spacing w:after="0"/>
        <w:tabs>
          <w:tab w:leader="none" w:pos="6560" w:val="left"/>
        </w:tabs>
        <w:rPr>
          <w:sz w:val="20"/>
          <w:szCs w:val="20"/>
          <w:color w:val="auto"/>
        </w:rPr>
      </w:pPr>
      <w:r>
        <w:rPr>
          <w:rFonts w:ascii="Times New Roman" w:cs="Times New Roman" w:eastAsia="Times New Roman" w:hAnsi="Times New Roman"/>
          <w:sz w:val="18"/>
          <w:szCs w:val="18"/>
          <w:color w:val="auto"/>
        </w:rPr>
        <w:t>143,730</w:t>
      </w:r>
      <w:r>
        <w:rPr>
          <w:sz w:val="20"/>
          <w:szCs w:val="20"/>
          <w:color w:val="auto"/>
        </w:rPr>
        <w:tab/>
      </w:r>
      <w:r>
        <w:rPr>
          <w:rFonts w:ascii="Times New Roman" w:cs="Times New Roman" w:eastAsia="Times New Roman" w:hAnsi="Times New Roman"/>
          <w:sz w:val="18"/>
          <w:szCs w:val="18"/>
          <w:color w:val="auto"/>
        </w:rPr>
        <w:t>351,804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-130810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540"/>
        <w:spacing w:after="0"/>
        <w:tabs>
          <w:tab w:leader="none" w:pos="6740" w:val="left"/>
        </w:tabs>
        <w:rPr>
          <w:sz w:val="20"/>
          <w:szCs w:val="20"/>
          <w:color w:val="auto"/>
        </w:rPr>
      </w:pPr>
      <w:r>
        <w:rPr>
          <w:rFonts w:ascii="Times New Roman" w:cs="Times New Roman" w:eastAsia="Times New Roman" w:hAnsi="Times New Roman"/>
          <w:sz w:val="18"/>
          <w:szCs w:val="18"/>
          <w:color w:val="auto"/>
        </w:rPr>
        <w:t>5,049</w:t>
      </w:r>
      <w:r>
        <w:rPr>
          <w:sz w:val="20"/>
          <w:szCs w:val="20"/>
          <w:color w:val="auto"/>
        </w:rPr>
        <w:tab/>
      </w:r>
      <w:r>
        <w:rPr>
          <w:rFonts w:ascii="Times New Roman" w:cs="Times New Roman" w:eastAsia="Times New Roman" w:hAnsi="Times New Roman"/>
          <w:sz w:val="18"/>
          <w:szCs w:val="18"/>
          <w:color w:val="auto"/>
        </w:rPr>
        <w:t>5,049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14605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18"/>
          <w:szCs w:val="18"/>
          <w:color w:val="auto"/>
        </w:rPr>
        <w:t>787,545</w:t>
      </w:r>
      <w:r>
        <w:rPr>
          <w:sz w:val="20"/>
          <w:szCs w:val="20"/>
          <w:color w:val="auto"/>
        </w:rPr>
        <w:tab/>
      </w:r>
      <w:r>
        <w:rPr>
          <w:rFonts w:ascii="Times New Roman" w:cs="Times New Roman" w:eastAsia="Times New Roman" w:hAnsi="Times New Roman"/>
          <w:sz w:val="18"/>
          <w:szCs w:val="18"/>
          <w:color w:val="auto"/>
        </w:rPr>
        <w:t>1,129,247</w:t>
      </w:r>
    </w:p>
    <w:p>
      <w:pPr>
        <w:spacing w:after="0" w:line="63" w:lineRule="exact"/>
        <w:rPr>
          <w:sz w:val="20"/>
          <w:szCs w:val="20"/>
          <w:color w:val="auto"/>
        </w:rPr>
      </w:pPr>
    </w:p>
    <w:p>
      <w:pPr>
        <w:jc w:val="both"/>
        <w:ind w:left="4940"/>
        <w:spacing w:after="0"/>
        <w:tabs>
          <w:tab w:leader="none" w:pos="5200" w:val="left"/>
          <w:tab w:leader="none" w:pos="6140" w:val="left"/>
        </w:tabs>
        <w:rPr>
          <w:sz w:val="20"/>
          <w:szCs w:val="20"/>
          <w:color w:val="auto"/>
        </w:rPr>
      </w:pPr>
      <w:r>
        <w:rPr>
          <w:rFonts w:ascii="Times New Roman" w:cs="Times New Roman" w:eastAsia="Times New Roman" w:hAnsi="Times New Roman"/>
          <w:sz w:val="18"/>
          <w:szCs w:val="18"/>
          <w:color w:val="auto"/>
        </w:rPr>
        <w:t>$</w:t>
        <w:tab/>
        <w:t>9,763,741</w:t>
        <w:tab/>
        <w:t>$  11,478,759</w:t>
      </w:r>
    </w:p>
    <w:p>
      <w:pPr>
        <w:spacing w:after="0" w:line="27" w:lineRule="exact"/>
        <w:rPr>
          <w:sz w:val="20"/>
          <w:szCs w:val="20"/>
          <w:color w:val="auto"/>
        </w:rPr>
      </w:pPr>
    </w:p>
    <w:p>
      <w:pPr>
        <w:sectPr>
          <w:pgSz w:w="11900" w:h="16838" w:orient="portrait"/>
          <w:cols w:equalWidth="0" w:num="2">
            <w:col w:w="3420" w:space="720"/>
            <w:col w:w="7280"/>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90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900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457,289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369,214</w:t>
            </w:r>
          </w:p>
        </w:tc>
      </w:tr>
      <w:tr>
        <w:trPr>
          <w:trHeight w:val="216"/>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953,947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288,268</w:t>
            </w:r>
          </w:p>
        </w:tc>
      </w:tr>
      <w:tr>
        <w:trPr>
          <w:trHeight w:val="216"/>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1,177,136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2,495,059</w:t>
            </w:r>
          </w:p>
        </w:tc>
      </w:tr>
      <w:tr>
        <w:trPr>
          <w:trHeight w:val="216"/>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 – related party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127,458</w:t>
            </w:r>
          </w:p>
        </w:tc>
      </w:tr>
      <w:tr>
        <w:trPr>
          <w:trHeight w:val="237"/>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507,160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386,581</w:t>
            </w:r>
          </w:p>
        </w:tc>
      </w:tr>
      <w:tr>
        <w:trPr>
          <w:trHeight w:val="236"/>
        </w:trPr>
        <w:tc>
          <w:tcPr>
            <w:tcW w:w="9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3,543,202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90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9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issued and outstanding at December 31, 2017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9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9,772,694 and 9,906,289 shares issued and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2017 and 2016,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9,906</w:t>
            </w:r>
          </w:p>
        </w:tc>
      </w:tr>
      <w:tr>
        <w:trPr>
          <w:trHeight w:val="216"/>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warrants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1,286,424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2,294,416</w:t>
            </w:r>
          </w:p>
        </w:tc>
      </w:tr>
      <w:tr>
        <w:trPr>
          <w:trHeight w:val="216"/>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35,287,464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33,766,950</w:t>
            </w:r>
          </w:p>
        </w:tc>
      </w:tr>
      <w:tr>
        <w:trPr>
          <w:trHeight w:val="250"/>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(30,363,122)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(28,259,093)</w:t>
            </w:r>
          </w:p>
        </w:tc>
      </w:tr>
      <w:tr>
        <w:trPr>
          <w:trHeight w:val="210"/>
        </w:trPr>
        <w:tc>
          <w:tcPr>
            <w:tcW w:w="90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6,220,539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7,812,179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9,763,741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11,478,759</w:t>
            </w:r>
          </w:p>
        </w:tc>
      </w:tr>
      <w:tr>
        <w:trPr>
          <w:trHeight w:val="21"/>
        </w:trPr>
        <w:tc>
          <w:tcPr>
            <w:tcW w:w="9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54" w:name="page55"/>
    <w:bookmarkEnd w:id="54"/>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December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For the</w:t>
            </w:r>
          </w:p>
        </w:tc>
        <w:tc>
          <w:tcPr>
            <w:tcW w:w="14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year ended</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40" w:type="dxa"/>
            <w:vAlign w:val="bottom"/>
            <w:gridSpan w:val="4"/>
          </w:tcPr>
          <w:p>
            <w:pPr>
              <w:ind w:left="1220"/>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8,431,208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6,209,051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 related party</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3,696,214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 REVENUE</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12,127,422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7,751,462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SHARE EXPENSE</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6,174,614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3,411,396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5,952,808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EXPENSES</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902,389</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324,551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Lawsuit settlement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6,855,834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5,076,993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bottom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8,082,774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5,921,578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(2,129,966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25,937</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bottom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OTHER INCOME</w:t>
            </w:r>
          </w:p>
        </w:tc>
        <w:tc>
          <w:tcPr>
            <w:tcW w:w="1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25,937</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(2,104,029)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(1,539,203)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(2,104,029</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BASIC &amp; DILUTIVE</w:t>
            </w: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vMerge w:val="continue"/>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9,819,753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9,902,639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BASIC &amp; DILUTIVE</w:t>
            </w: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5" w:name="page56"/>
    <w:bookmarkEnd w:id="55"/>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Preferred</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Preferred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Common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Stock</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Stock</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Accumulated</w:t>
            </w: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Amount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Warrants</w:t>
            </w:r>
          </w:p>
        </w:tc>
        <w:tc>
          <w:tcPr>
            <w:tcW w:w="6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Payable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9,676,974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$ 2,329,508</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$ 32,204,853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1,132,148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(13,800)</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(26,719,890)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8,942,496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employees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384,126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services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51,359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cash</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options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33,333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Issue shares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stock</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94,483</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(94,500)</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redeemed for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(1,037,648)</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(599,915)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Expiration of</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(35,092)</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35,092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13,800</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for</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year</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(1,539,203)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(1,539,203)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w:t>
            </w: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9,906,289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$ 2,294,416</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33,766,950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ind w:right="60"/>
              <w:spacing w:after="0" w:line="275" w:lineRule="exact"/>
              <w:rPr>
                <w:sz w:val="20"/>
                <w:szCs w:val="20"/>
                <w:color w:val="auto"/>
              </w:rPr>
            </w:pPr>
            <w:r>
              <w:rPr>
                <w:rFonts w:ascii="Times New Roman" w:cs="Times New Roman" w:eastAsia="Times New Roman" w:hAnsi="Times New Roman"/>
                <w:sz w:val="16"/>
                <w:szCs w:val="16"/>
                <w:color w:val="auto"/>
              </w:rPr>
              <w:t>$ (28,259,093</w:t>
            </w:r>
            <w:r>
              <w:rPr>
                <w:rFonts w:ascii="Times New Roman" w:cs="Times New Roman" w:eastAsia="Times New Roman" w:hAnsi="Times New Roman"/>
                <w:sz w:val="31"/>
                <w:szCs w:val="31"/>
                <w:color w:val="auto"/>
                <w:vertAlign w:val="superscript"/>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7,812,179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6" w:name="page57"/>
    <w:bookmarkEnd w:id="56"/>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Preferred</w:t>
            </w:r>
          </w:p>
        </w:tc>
        <w:tc>
          <w:tcPr>
            <w:tcW w:w="12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Preferred</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Common</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Accumulated</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4"/>
              </w:rPr>
              <w:t>Amount</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Warrants</w:t>
            </w:r>
          </w:p>
        </w:tc>
        <w:tc>
          <w:tcPr>
            <w:tcW w:w="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9,906,289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2,294,416</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$ 33,766,950</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(28,259,093)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options to</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815,014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services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87,350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options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redeemed for cash</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(389,834)</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Warrants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(1,007,992)</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1,007,992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(2,104,029)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(2,104,0290)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9,772,694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1,286,424</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35,287,464</w:t>
            </w:r>
          </w:p>
        </w:tc>
        <w:tc>
          <w:tcPr>
            <w:tcW w:w="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(30,363,122</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7" w:name="page58"/>
    <w:bookmarkEnd w:id="57"/>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December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For the</w:t>
            </w:r>
          </w:p>
        </w:tc>
        <w:tc>
          <w:tcPr>
            <w:tcW w:w="14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For the</w:t>
            </w:r>
          </w:p>
        </w:tc>
      </w:tr>
      <w:tr>
        <w:trPr>
          <w:trHeight w:val="216"/>
        </w:trPr>
        <w:tc>
          <w:tcPr>
            <w:tcW w:w="7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year ended</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year ended</w:t>
            </w:r>
          </w:p>
        </w:tc>
      </w:tr>
      <w:tr>
        <w:trPr>
          <w:trHeight w:val="216"/>
        </w:trPr>
        <w:tc>
          <w:tcPr>
            <w:tcW w:w="7200" w:type="dxa"/>
            <w:vAlign w:val="bottom"/>
          </w:tcPr>
          <w:p>
            <w:pPr>
              <w:spacing w:after="0"/>
              <w:rPr>
                <w:sz w:val="18"/>
                <w:szCs w:val="18"/>
                <w:color w:val="auto"/>
              </w:rPr>
            </w:pPr>
          </w:p>
        </w:tc>
        <w:tc>
          <w:tcPr>
            <w:tcW w:w="3120" w:type="dxa"/>
            <w:vAlign w:val="bottom"/>
            <w:gridSpan w:val="4"/>
          </w:tcPr>
          <w:p>
            <w:pPr>
              <w:ind w:left="1900"/>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7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0"/>
                <w:szCs w:val="20"/>
                <w:color w:val="auto"/>
              </w:rPr>
            </w:pPr>
          </w:p>
        </w:tc>
      </w:tr>
      <w:tr>
        <w:trPr>
          <w:trHeight w:val="432"/>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20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(2,104,029)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(1,539,203)</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324,551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235,284</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65,738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issued for services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815,014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384,126</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87,375</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175,175</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(305,465)</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514,514</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(65,029)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(727,460)</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(174,608)</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(10,197)</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88,075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(205,977)</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(1,317,923)</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177,254</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 – related party</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320,212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89,655</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665,679</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281,285</w:t>
            </w:r>
          </w:p>
        </w:tc>
      </w:tr>
      <w:tr>
        <w:trPr>
          <w:trHeight w:val="25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120,579</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159,579</w:t>
            </w:r>
          </w:p>
        </w:tc>
      </w:tr>
      <w:tr>
        <w:trPr>
          <w:trHeight w:val="210"/>
        </w:trPr>
        <w:tc>
          <w:tcPr>
            <w:tcW w:w="72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9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(1,479,831</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(465,965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(42,243)</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(178,434)</w:t>
            </w: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rights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(163,836)</w:t>
            </w:r>
          </w:p>
        </w:tc>
      </w:tr>
      <w:tr>
        <w:trPr>
          <w:trHeight w:val="236"/>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449,500</w:t>
            </w:r>
          </w:p>
        </w:tc>
      </w:tr>
      <w:tr>
        <w:trPr>
          <w:trHeight w:val="237"/>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common stock</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(390,000)</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(806,915)</w:t>
            </w:r>
          </w:p>
        </w:tc>
      </w:tr>
      <w:tr>
        <w:trPr>
          <w:trHeight w:val="236"/>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2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(1,912,074)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(1,172,918)</w:t>
            </w:r>
          </w:p>
        </w:tc>
        <w:tc>
          <w:tcPr>
            <w:tcW w:w="100" w:type="dxa"/>
            <w:vAlign w:val="bottom"/>
          </w:tcPr>
          <w:p>
            <w:pPr>
              <w:spacing w:after="0"/>
              <w:rPr>
                <w:sz w:val="17"/>
                <w:szCs w:val="17"/>
                <w:color w:val="auto"/>
              </w:rPr>
            </w:pPr>
          </w:p>
        </w:tc>
      </w:tr>
      <w:tr>
        <w:trPr>
          <w:trHeight w:val="250"/>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7,034,647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8,207,565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0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5,122,573</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7,034,647</w:t>
            </w: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20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tcBorders>
              <w:top w:val="single" w:sz="8" w:color="CCEEFF"/>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8" w:name="page59"/>
    <w:bookmarkEnd w:id="58"/>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ORGANIZATION AND NATURE OF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Corporation is a leading provider of digital health messaging via electronic health records (EHRs), providing a direct channel for pharmaceutical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and provides more than half a million healthcare providers access to these benefits within their workflow at the point of care.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 have been prepared in accordance with generally accepted accounting principles in the United States of America and are presented in US dollars. The Company has adopted a December 31 fiscal year-end.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accompanying financial statements, the Company considers all highly liquid instruments with an initial maturity of three months or less to be cash equivalents.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59" w:name="page60"/>
    <w:bookmarkEnd w:id="59"/>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Doubtful Accounts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2017 and 2016. The allowance for doubtful accounts was $0 as of both December 31, 2017 and 2016.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stated at cost and are being amortized over their estimated useful lives of seventeen years for patents and three to four years for software and websites using the straight-line method.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0" w:name="page61"/>
    <w:bookmarkEnd w:id="60"/>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and Revenue Share Expense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recognized when it is earned. Revenues are primarily generated from content delivery activities in which the Company delivers financial or brand messaging through a distribution network of ePrescribers and Electronic Health Record technology providers (channel partners), or from reselling services that complement the business for other partners.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setup fees that are required for integrating client offerings and campaigns into the rule-based content delivery system and network upon completion of the setup when the client’s campaign is ready to launch within the system. As the messaging is distributed through the platform and network of channel partners (a transaction), these transactions are recorded, and revenue is recognized, at the time of distribution. Revenue for transactions can be realized based on a price per message,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instances, the Company also resells products and or services that are available through channel partners on a commission basis, and that are complementary to the core business and client base. In these instances, net revenue is recognized based on the commission based revenue split that the Company receives. In instances where the Company resells services and have all financial risk and significant operation input and risk, the Company records the revenue gross.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volume of transactions that are delivered through the channel partner network, the Company provides a revenue share to compensate the partner for their promotion of the campaign. Revenue shares are a negotiated percentage of the transaction fees and can also be specific to special considerations and campaigns. In addition, the Company pays revenue share to ConnectiveRx (formerly LDM/PDR) as a result of a 2014 legal settlement in an amount equal to the greater of 10% of financial messaging distribution revenues generated through the network, or $0.37 per financial message distributed through our network. The contractual amount due to the channel partners is recorded as an expense at the time the eCoupon is distributed.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1" w:name="page62"/>
    <w:bookmarkEnd w:id="6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Payments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 - 1.81%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3.5 – 5 years</w:t>
            </w:r>
          </w:p>
        </w:tc>
        <w:tc>
          <w:tcPr>
            <w:tcW w:w="1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Turnover/forfeiture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65%-78%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 - 99%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OptimizeRx’s stock options have characteristics significantly different from those of traded options, and changes in the subjective input assumptions could materially affect the fair value estimate.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2" w:name="page63"/>
    <w:bookmarkEnd w:id="6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Common and Common Equivalent Share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The number of common shares potentially issuable upon the exercise of certain options and warrants that were excluded from the diluted loss per common share calculation was approximately 163,067, because they are anti-dilutive, as a result of a net loss for the year ended December 31, 2017. As described in Notes 11 and 12, the Company had options and warrants outstanding as indicated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1,368,750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348,194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(“ASU 2014-09”), which amends the existing accounting standards for revenue recognition. ASU 2014-09 is based on principles that govern the recognition of revenue at an amount an entity expects to be entitled when products are transferred to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Subsequently, the FASB has issued the following standards related to ASU 2014-09: ASU No. 2016-08, Revenue from Contracts with Customers (Topic 606):</w:t>
      </w:r>
    </w:p>
    <w:p>
      <w:pPr>
        <w:spacing w:after="0" w:line="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Principal versus Agent Considerations (“ASU 2016-08”); ASU No. 2016-10, Revenue from Contracts with Customers (Topic 606): Identifying Performance Obligations and Licensing (“ASU 2016-10”); ASU No. 2016-12, Revenue from Contracts with Customers (Topic 606): Narrow-Scope Improvements and Practical Expedients (“ASU 2016-12”); and ASU No. 2016-20, Technical Corrections and Improvements to Topic 606, Revenue from Contracts with Customers (“ASU 2016-20”). The Company must adopt ASU 2016-08, ASU 2016-10, ASU 2016-12 and ASU 2016-20 with ASU 2014-09 (collectively, the “new revenue standards”).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revenue standards may be applied retrospectively to each prior period presented or retrospectively with the cumulative effect recognized as of the date of adoption. The Company will adopt the new revenue standards in its first quarter of 2018. The new revenue standards are not expected to have a material impact on the amount and timing of revenue recognized in the Company’s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3" w:name="page64"/>
    <w:bookmarkEnd w:id="63"/>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consisted of the following as of December 31, 2017 and 2016:</w:t>
      </w:r>
    </w:p>
    <w:p>
      <w:pPr>
        <w:spacing w:after="0" w:line="239" w:lineRule="exact"/>
        <w:rPr>
          <w:sz w:val="20"/>
          <w:szCs w:val="20"/>
          <w:color w:val="auto"/>
        </w:rPr>
      </w:pPr>
    </w:p>
    <w:p>
      <w:pPr>
        <w:jc w:val="both"/>
        <w:ind w:left="9720"/>
        <w:spacing w:after="0"/>
        <w:tabs>
          <w:tab w:leader="none" w:pos="10720" w:val="left"/>
        </w:tabs>
        <w:rPr>
          <w:sz w:val="20"/>
          <w:szCs w:val="20"/>
          <w:color w:val="auto"/>
        </w:rPr>
      </w:pPr>
      <w:r>
        <w:rPr>
          <w:rFonts w:ascii="Times New Roman" w:cs="Times New Roman" w:eastAsia="Times New Roman" w:hAnsi="Times New Roman"/>
          <w:sz w:val="18"/>
          <w:szCs w:val="18"/>
          <w:color w:val="auto"/>
        </w:rPr>
        <w:t>2017</w:t>
      </w:r>
      <w:r>
        <w:rPr>
          <w:sz w:val="20"/>
          <w:szCs w:val="20"/>
          <w:color w:val="auto"/>
        </w:rPr>
        <w:tab/>
      </w:r>
      <w:r>
        <w:rPr>
          <w:rFonts w:ascii="Times New Roman" w:cs="Times New Roman" w:eastAsia="Times New Roman" w:hAnsi="Times New Roman"/>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EHR access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owned equipment recorded at cost which consisted of the following as of December 31, 2017 and 2016:</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311" w:hanging="311"/>
        <w:spacing w:after="0"/>
        <w:tabs>
          <w:tab w:leader="none" w:pos="3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43,764   $  43,608</w:t>
      </w:r>
    </w:p>
    <w:p>
      <w:pPr>
        <w:spacing w:after="0" w:line="27" w:lineRule="exact"/>
        <w:rPr>
          <w:sz w:val="20"/>
          <w:szCs w:val="20"/>
          <w:color w:val="auto"/>
        </w:rPr>
      </w:pPr>
    </w:p>
    <w:p>
      <w:pPr>
        <w:jc w:val="both"/>
        <w:ind w:left="411"/>
        <w:spacing w:after="0"/>
        <w:tabs>
          <w:tab w:leader="none" w:pos="1391" w:val="left"/>
        </w:tabs>
        <w:rPr>
          <w:sz w:val="20"/>
          <w:szCs w:val="20"/>
          <w:color w:val="auto"/>
        </w:rPr>
      </w:pPr>
      <w:r>
        <w:rPr>
          <w:rFonts w:ascii="Times New Roman" w:cs="Times New Roman" w:eastAsia="Times New Roman" w:hAnsi="Times New Roman"/>
          <w:sz w:val="18"/>
          <w:szCs w:val="18"/>
          <w:color w:val="auto"/>
        </w:rPr>
        <w:t>8,539</w:t>
      </w:r>
      <w:r>
        <w:rPr>
          <w:sz w:val="20"/>
          <w:szCs w:val="20"/>
          <w:color w:val="auto"/>
        </w:rPr>
        <w:tab/>
      </w:r>
      <w:r>
        <w:rPr>
          <w:rFonts w:ascii="Times New Roman" w:cs="Times New Roman" w:eastAsia="Times New Roman" w:hAnsi="Times New Roman"/>
          <w:sz w:val="18"/>
          <w:szCs w:val="18"/>
          <w:color w:val="auto"/>
        </w:rPr>
        <w:t>7,212</w:t>
      </w:r>
    </w:p>
    <w:p>
      <w:pPr>
        <w:spacing w:after="0" w:line="9" w:lineRule="exact"/>
        <w:rPr>
          <w:sz w:val="20"/>
          <w:szCs w:val="20"/>
          <w:color w:val="auto"/>
        </w:rPr>
      </w:pPr>
    </w:p>
    <w:p>
      <w:pPr>
        <w:jc w:val="both"/>
        <w:ind w:left="231"/>
        <w:spacing w:after="0"/>
        <w:tabs>
          <w:tab w:leader="none" w:pos="1751" w:val="left"/>
        </w:tabs>
        <w:rPr>
          <w:sz w:val="20"/>
          <w:szCs w:val="20"/>
          <w:color w:val="auto"/>
        </w:rPr>
      </w:pPr>
      <w:r>
        <w:rPr>
          <w:rFonts w:ascii="Times New Roman" w:cs="Times New Roman" w:eastAsia="Times New Roman" w:hAnsi="Times New Roman"/>
          <w:sz w:val="18"/>
          <w:szCs w:val="18"/>
          <w:color w:val="auto"/>
        </w:rPr>
        <w:t>203,125</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left="-9" w:right="100" w:firstLine="759"/>
        <w:spacing w:after="0" w:line="339" w:lineRule="auto"/>
        <w:tabs>
          <w:tab w:leader="none" w:pos="13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30,000 </w:t>
      </w:r>
      <w:r>
        <w:rPr>
          <w:rFonts w:ascii="Times New Roman" w:cs="Times New Roman" w:eastAsia="Times New Roman" w:hAnsi="Times New Roman"/>
          <w:sz w:val="18"/>
          <w:szCs w:val="18"/>
          <w:u w:val="single" w:color="auto"/>
          <w:color w:val="auto"/>
        </w:rPr>
        <w:t>$  255,428   $  80,820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15760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576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31"/>
        <w:spacing w:after="0"/>
        <w:tabs>
          <w:tab w:leader="none" w:pos="1231" w:val="left"/>
        </w:tabs>
        <w:rPr>
          <w:sz w:val="20"/>
          <w:szCs w:val="20"/>
          <w:color w:val="auto"/>
        </w:rPr>
      </w:pPr>
      <w:r>
        <w:rPr>
          <w:rFonts w:ascii="Times New Roman" w:cs="Times New Roman" w:eastAsia="Times New Roman" w:hAnsi="Times New Roman"/>
          <w:sz w:val="18"/>
          <w:szCs w:val="18"/>
          <w:color w:val="auto"/>
        </w:rPr>
        <w:t>2017</w:t>
      </w:r>
      <w:r>
        <w:rPr>
          <w:sz w:val="20"/>
          <w:szCs w:val="20"/>
          <w:color w:val="auto"/>
        </w:rPr>
        <w:tab/>
      </w:r>
      <w:r>
        <w:rPr>
          <w:rFonts w:ascii="Times New Roman" w:cs="Times New Roman" w:eastAsia="Times New Roman" w:hAnsi="Times New Roman"/>
          <w:sz w:val="18"/>
          <w:szCs w:val="18"/>
          <w:color w:val="auto"/>
        </w:rPr>
        <w:t>2016</w:t>
      </w:r>
    </w:p>
    <w:p>
      <w:pPr>
        <w:spacing w:after="0" w:line="27" w:lineRule="exact"/>
        <w:rPr>
          <w:sz w:val="20"/>
          <w:szCs w:val="20"/>
          <w:color w:val="auto"/>
        </w:rPr>
      </w:pPr>
    </w:p>
    <w:p>
      <w:pPr>
        <w:sectPr>
          <w:pgSz w:w="11900" w:h="16838" w:orient="portrait"/>
          <w:cols w:equalWidth="0" w:num="2">
            <w:col w:w="8769" w:space="720"/>
            <w:col w:w="1931"/>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66,433</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132,905</w:t>
            </w:r>
          </w:p>
        </w:tc>
      </w:tr>
      <w:tr>
        <w:trPr>
          <w:trHeight w:val="216"/>
        </w:trPr>
        <w:tc>
          <w:tcPr>
            <w:tcW w:w="9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(25,689)</w:t>
            </w:r>
          </w:p>
        </w:tc>
      </w:tr>
      <w:tr>
        <w:trPr>
          <w:trHeight w:val="250"/>
        </w:trPr>
        <w:tc>
          <w:tcPr>
            <w:tcW w:w="9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9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$48,587 and $22,414 for the years ended December 31, 2017 and 2016,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developing its technology, which consisted of the following as of December 31,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OptimizeRx consumer web-based technology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OptimizeRx EHR integrated technology</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1,304,230</w:t>
            </w:r>
          </w:p>
        </w:tc>
        <w:tc>
          <w:tcPr>
            <w:tcW w:w="0" w:type="dxa"/>
            <w:vAlign w:val="bottom"/>
          </w:tcPr>
          <w:p>
            <w:pPr>
              <w:spacing w:after="0"/>
              <w:rPr>
                <w:sz w:val="1"/>
                <w:szCs w:val="1"/>
                <w:color w:val="auto"/>
              </w:rPr>
            </w:pPr>
          </w:p>
        </w:tc>
      </w:tr>
      <w:tr>
        <w:trPr>
          <w:trHeight w:val="216"/>
        </w:trPr>
        <w:tc>
          <w:tcPr>
            <w:tcW w:w="9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1,458,362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(1,314,632)</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(1,106,559)</w:t>
            </w:r>
          </w:p>
        </w:tc>
        <w:tc>
          <w:tcPr>
            <w:tcW w:w="0" w:type="dxa"/>
            <w:vAlign w:val="bottom"/>
          </w:tcPr>
          <w:p>
            <w:pPr>
              <w:spacing w:after="0"/>
              <w:rPr>
                <w:sz w:val="1"/>
                <w:szCs w:val="1"/>
                <w:color w:val="auto"/>
              </w:rPr>
            </w:pPr>
          </w:p>
        </w:tc>
      </w:tr>
      <w:tr>
        <w:trPr>
          <w:trHeight w:val="27"/>
        </w:trPr>
        <w:tc>
          <w:tcPr>
            <w:tcW w:w="9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Web-based technology, net</w:t>
            </w: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351,804</w:t>
            </w:r>
          </w:p>
        </w:tc>
        <w:tc>
          <w:tcPr>
            <w:tcW w:w="0" w:type="dxa"/>
            <w:vAlign w:val="bottom"/>
          </w:tcPr>
          <w:p>
            <w:pPr>
              <w:spacing w:after="0"/>
              <w:rPr>
                <w:sz w:val="1"/>
                <w:szCs w:val="1"/>
                <w:color w:val="auto"/>
              </w:rPr>
            </w:pPr>
          </w:p>
        </w:tc>
      </w:tr>
      <w:tr>
        <w:trPr>
          <w:trHeight w:val="21"/>
        </w:trPr>
        <w:tc>
          <w:tcPr>
            <w:tcW w:w="9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is recorded using the straight-line method over periods of up to five years. The consumer web-based technology has no carrying value at either December 31, 2016 or 2017. Amortization expense for the technology costs was $208,074 and $152,502 for the years ended December 31, 2017 and 2016, respectively. Amortization expense related to these assets is expected to be $91,039 in 2018 and $52,691 in 2019 to completely amortize the December 31, 2017 carrying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64" w:name="page65"/>
    <w:bookmarkEnd w:id="64"/>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PATENT AND TRADEMARKS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2010, the Company acquired the technical contributions and assignment of all exclusive rights to and for a key patent from the former CEO of the Company in exchange for 100,000 shares of common stock, valued at $570,000 and 66,667 stock options, valued at $360,000.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purchasing and defending its patent, which consisted of the following as of December 31,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rights and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Patent defense costs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172,457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172,457</w:t>
            </w:r>
          </w:p>
        </w:tc>
        <w:tc>
          <w:tcPr>
            <w:tcW w:w="80" w:type="dxa"/>
            <w:vAlign w:val="bottom"/>
          </w:tcPr>
          <w:p>
            <w:pPr>
              <w:spacing w:after="0"/>
              <w:rPr>
                <w:sz w:val="18"/>
                <w:szCs w:val="18"/>
                <w:color w:val="auto"/>
              </w:rPr>
            </w:pPr>
          </w:p>
        </w:tc>
      </w:tr>
      <w:tr>
        <w:trPr>
          <w:trHeight w:val="250"/>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patents and trademarks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65,738</w:t>
            </w:r>
          </w:p>
        </w:tc>
        <w:tc>
          <w:tcPr>
            <w:tcW w:w="80" w:type="dxa"/>
            <w:vAlign w:val="bottom"/>
            <w:shd w:val="clear" w:color="auto" w:fill="CCEEFF"/>
          </w:tcPr>
          <w:p>
            <w:pPr>
              <w:spacing w:after="0"/>
              <w:rPr>
                <w:sz w:val="21"/>
                <w:szCs w:val="21"/>
                <w:color w:val="auto"/>
              </w:rPr>
            </w:pPr>
          </w:p>
        </w:tc>
      </w:tr>
      <w:tr>
        <w:trPr>
          <w:trHeight w:val="203"/>
        </w:trPr>
        <w:tc>
          <w:tcPr>
            <w:tcW w:w="94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1,102,457</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1,168,165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(463,691)</w:t>
            </w: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(395,801)</w:t>
            </w:r>
          </w:p>
        </w:tc>
      </w:tr>
      <w:tr>
        <w:trPr>
          <w:trHeight w:val="237"/>
        </w:trPr>
        <w:tc>
          <w:tcPr>
            <w:tcW w:w="94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Patent rights and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638,766</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772,394</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
        </w:trPr>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$67,890 and $67,758 for the years ended December 31, 2017 and 2016, respectively. We expect our amortization expense related to these patents to be $67,890 for each of the years from 2018 through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DEFERRED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$507,160 and $386,581 as of December 31, 2017 and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2010, the Company acquired the technical contributions and assignment of all exclusive rights to and for a key patent in process at the time from a former CEO in exchange for 100,000 shares of common stock to be granted at the discretion of the seller and 66,667 stock options, valued at $360,000, which expired in April 2015. The shares were valued on the grant date at $570,000 and were recorded as a payable to the related party. In 2016, the obligation to issue those shares was redeemed for a payment of $363,000 in cash.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WPP, plc made a strategic investment in the Company and is a shareholder that owns approximately 20% of the shares of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5" w:name="page66"/>
    <w:bookmarkEnd w:id="65"/>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NOTE 8 – RELATED PARTY TRANSACTIONS (continued)</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activity between the Company and WPP</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4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to WPP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3,554,168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2,613,942</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from WPP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3,696,214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1,542,411</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from WPP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1,173,614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1,108,585</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Rebates given to WPP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24,519</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 purchased from WPP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190,686</w:t>
            </w: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WPP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12,600</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expense recorded to WPP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401,596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177,372</w:t>
            </w:r>
          </w:p>
        </w:tc>
      </w:tr>
      <w:tr>
        <w:trPr>
          <w:trHeight w:val="23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Revenue share expenses owed to WPP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447,670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127,458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PREFERRED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10,000,000 shares of preferred stock, $.001 par value per share, authorized as of December 31, 2017. Of those shares, 1,000 were designated as Series A and Series B. There were no shares outstanding at any time during the periods covered by these financial statements. The Series A and B designations were transaction specific in 2008 and 2010 and were redeemed in 2014. When outstanding, the shares had a liquidation preference and bore dividends at a rate of 10%, payable in cash or stock, but are no longer applicable. The Company intends to remove the designations in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500,000,000 shares of common stock, $.001 par value per share, authorized as of December 31, 2017. There were 9,772,694 and 9,906,289 shares of common stock issued and outstanding at December 31, 2017 and 2016,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2017, the Company purchased and cancelled 166,666 shares held by the previous CEO at a price of $2.34 per share for a total payment of $390,000.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2017 the Company issued 8,071 shares in connection with the exercise of employee stock options by former employees. The options were exercised on a net settled basis and no cash proceeds were received.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Director Compensation plan covering its independent non-employee Directors. A total of 25,000 and 16,667 shares were granted and issued in the years ended December 31, 2017 and 2016, respectively in connection with this compensation plan. These shares were valued at $87,375 and $51,375,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2016, we issued 128,063 shares of common stock to an unrelated party in a private transaction, the proceeds of which were used to redeem shares of common stock payable to an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2016, the Company issued 33,333 shares of common stock, valued at $110,000, to Shadron Stastney in connection with the settlement of litigation.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34,585 shares of common stock in 2016 in connection with the cashless exercise of stock options granted in prior years that were about to expire in 2016.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6" w:name="page67"/>
    <w:bookmarkEnd w:id="66"/>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2015, the Company agreed to grant 65,868 fully vested shares of its common stock to two executive officers as bonuses. These shares were not issued at the time, but were recorded as stock payable. The obligation to issue these shares was redeemed for cash in 2016 for a total payment of $232,602.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2015, the Company entered into a new capital markets advisory agreement covering a one-year period, which called for 30,000 shares of common stock to be issued as compensation. The first 15,000 shares were issued in September 2015 and valued at $41,400. These shares were amortized over a six-month period. The agreement was cancelled in 2016 and the remaining 15,000 shares were not issued.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2014, the Company agreed to grant 112,500 shares of common stock to two executive officers at the time as bonuses based on their efforts to recapitalize the Company. Stock-based compensation related to these bonuses of $570,375 was recorded during the year ended December 31, 2014. These shares were not issued at the time and were recorded as stock payable. The obligation to issue these shares was redeemed in 2016 for cash payments of $397,038. Also in 2014, as part of a capital raise, the Company agreed to grant 66,667 shares of common stock to three executive officers at the time. The shares were part of an equity raise and the issuance was recorded as part of equity issuance costs, so no expense was recorded. In 2016, a total of 50,000 of those shares were redeemed for a cash payment of $177,275 and the remaining 16,667 shares were issued to a former executive officer.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approved a one for three reverse stock split that became effective May 14, 2018. The effect of this reverse stock split has been retroactively reflected in these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sponsors a stock-based incentive compensation plan known as the 2013 Equity Compensation Plan (the “Plan”), which was established by the Board of Directors of the Company in June 2013. A total of 500,000 shares were initially reserved for issuance under the Plan. The Plan was amended in 2016 to increase the authorized shares to 1,333,333 shares and again in 2018 to increase the authorized shares to 1,833,333. A total of 1,368,750 options were outstanding at December 31, 2016. In addition, a total of 245,035 restricted shares were granted in 2014 and 2015, but not issued at the time. A total 228,338 of these shares were redeemed for cash in 2016, and 16,667 of these shares were issued in 2016. As of December 31, 2017, the Company has no remaining restricted shares owed. The Company had no remaining shares available to grant under the Plan at December 31, 2017.</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may be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establishment of the Plan, the Board granted options under terms similar to those described in the preceding paragraphs. A total of 8,333 options were outstanding at December 31, 2016 that were granted prior to the establishment of the 2013 Plan, but those options expired in 2017.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cost that has been charged against income related to options for the years ended December 31, 2017 and 2016, was $815,014 and $384,126, respectively. No income tax benefit was recognized in the income statement and no compensation was capitalized in any of the years presented.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7" w:name="page68"/>
    <w:bookmarkEnd w:id="67"/>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STOCK OPTIONS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option activity during the years ended December 31, 2017 and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average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average</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remaining</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16"/>
        </w:trPr>
        <w:tc>
          <w:tcPr>
            <w:tcW w:w="74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exercise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contractual</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intrinsic</w:t>
            </w:r>
          </w:p>
        </w:tc>
      </w:tr>
      <w:tr>
        <w:trPr>
          <w:trHeight w:val="241"/>
        </w:trPr>
        <w:tc>
          <w:tcPr>
            <w:tcW w:w="74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price</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life (years)</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value $</w:t>
            </w:r>
          </w:p>
        </w:tc>
      </w:tr>
      <w:tr>
        <w:trPr>
          <w:trHeight w:val="216"/>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Granted - 2016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- 2016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(161,666)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Expired – 2016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Granted – 2017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 2017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Expired – 2017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$ 2,173,700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December 31, 2017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630,417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$ 1,035,900</w:t>
            </w:r>
          </w:p>
        </w:tc>
        <w:tc>
          <w:tcPr>
            <w:tcW w:w="80" w:type="dxa"/>
            <w:vAlign w:val="bottom"/>
          </w:tcPr>
          <w:p>
            <w:pPr>
              <w:spacing w:after="0"/>
              <w:rPr>
                <w:sz w:val="20"/>
                <w:szCs w:val="20"/>
                <w:color w:val="auto"/>
              </w:rPr>
            </w:pPr>
          </w:p>
        </w:tc>
      </w:tr>
      <w:tr>
        <w:trPr>
          <w:trHeight w:val="21"/>
        </w:trPr>
        <w:tc>
          <w:tcPr>
            <w:tcW w:w="7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options outstanding at December 31, 2016, 406,667 were exercisable with a weighted average contractual life of 1.1 years and the remaining 633,333 were non-vested.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expiration date and exercise price of the options outstanding at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Number of Options</w:t>
            </w:r>
          </w:p>
        </w:tc>
        <w:tc>
          <w:tcPr>
            <w:tcW w:w="38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Exercise Price</w:t>
            </w:r>
          </w:p>
        </w:tc>
        <w:tc>
          <w:tcPr>
            <w:tcW w:w="35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216"/>
        </w:trPr>
        <w:tc>
          <w:tcPr>
            <w:tcW w:w="39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03/31/22</w:t>
            </w:r>
          </w:p>
        </w:tc>
      </w:tr>
      <w:tr>
        <w:trPr>
          <w:trHeight w:val="216"/>
        </w:trPr>
        <w:tc>
          <w:tcPr>
            <w:tcW w:w="3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50,000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35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10/30/18</w:t>
            </w:r>
          </w:p>
        </w:tc>
      </w:tr>
      <w:tr>
        <w:trPr>
          <w:trHeight w:val="216"/>
        </w:trPr>
        <w:tc>
          <w:tcPr>
            <w:tcW w:w="3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378,333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03/03/19</w:t>
            </w:r>
          </w:p>
        </w:tc>
      </w:tr>
      <w:tr>
        <w:trPr>
          <w:trHeight w:val="216"/>
        </w:trPr>
        <w:tc>
          <w:tcPr>
            <w:tcW w:w="3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35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02/22/21</w:t>
            </w:r>
          </w:p>
        </w:tc>
      </w:tr>
      <w:tr>
        <w:trPr>
          <w:trHeight w:val="216"/>
        </w:trPr>
        <w:tc>
          <w:tcPr>
            <w:tcW w:w="3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166,667</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07/28/21</w:t>
            </w:r>
          </w:p>
        </w:tc>
      </w:tr>
      <w:tr>
        <w:trPr>
          <w:trHeight w:val="216"/>
        </w:trPr>
        <w:tc>
          <w:tcPr>
            <w:tcW w:w="3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6,667</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c>
          <w:tcPr>
            <w:tcW w:w="35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11/01/22</w:t>
            </w:r>
          </w:p>
        </w:tc>
      </w:tr>
      <w:tr>
        <w:trPr>
          <w:trHeight w:val="216"/>
        </w:trPr>
        <w:tc>
          <w:tcPr>
            <w:tcW w:w="3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33,333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03/03/19</w:t>
            </w:r>
          </w:p>
        </w:tc>
      </w:tr>
      <w:tr>
        <w:trPr>
          <w:trHeight w:val="216"/>
        </w:trPr>
        <w:tc>
          <w:tcPr>
            <w:tcW w:w="3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10,417</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8"/>
                <w:szCs w:val="18"/>
                <w:color w:val="auto"/>
              </w:rPr>
            </w:pPr>
          </w:p>
        </w:tc>
        <w:tc>
          <w:tcPr>
            <w:tcW w:w="35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12/31/22</w:t>
            </w:r>
          </w:p>
        </w:tc>
      </w:tr>
      <w:tr>
        <w:trPr>
          <w:trHeight w:val="216"/>
        </w:trPr>
        <w:tc>
          <w:tcPr>
            <w:tcW w:w="3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01/29/19</w:t>
            </w:r>
          </w:p>
        </w:tc>
      </w:tr>
      <w:tr>
        <w:trPr>
          <w:trHeight w:val="655"/>
        </w:trPr>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ind w:left="1540"/>
              <w:spacing w:after="0"/>
              <w:rPr>
                <w:sz w:val="20"/>
                <w:szCs w:val="20"/>
                <w:color w:val="auto"/>
              </w:rPr>
            </w:pPr>
            <w:r>
              <w:rPr>
                <w:rFonts w:ascii="Times New Roman" w:cs="Times New Roman" w:eastAsia="Times New Roman" w:hAnsi="Times New Roman"/>
                <w:sz w:val="18"/>
                <w:szCs w:val="18"/>
                <w:color w:val="auto"/>
              </w:rPr>
              <w:t>F-22</w:t>
            </w: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0" w:right="239" w:bottom="1440" w:gutter="0" w:footer="0" w:header="0"/>
        </w:sectPr>
      </w:pPr>
    </w:p>
    <w:bookmarkStart w:id="68" w:name="page69"/>
    <w:bookmarkEnd w:id="68"/>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issued warrants to purchase common stock, primarily in connection with capital raising activities. As discussed in Note 10, in connection with the strategic investment by WPP, in 2015 the Company issued warrants to purchase 80,148 shares of common stock with an exercise price of $2.3625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warrants, with an intrinsic value of $485,678, outstanding as of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Number of Shares Underlying Warrants</w:t>
            </w:r>
          </w:p>
        </w:tc>
        <w:tc>
          <w:tcPr>
            <w:tcW w:w="38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Exercise Price</w:t>
            </w:r>
          </w:p>
        </w:tc>
        <w:tc>
          <w:tcPr>
            <w:tcW w:w="35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216"/>
        </w:trPr>
        <w:tc>
          <w:tcPr>
            <w:tcW w:w="39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268,046</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03/17/2019</w:t>
            </w:r>
          </w:p>
        </w:tc>
      </w:tr>
      <w:tr>
        <w:trPr>
          <w:trHeight w:val="234"/>
        </w:trPr>
        <w:tc>
          <w:tcPr>
            <w:tcW w:w="39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80,148</w:t>
            </w:r>
          </w:p>
        </w:tc>
        <w:tc>
          <w:tcPr>
            <w:tcW w:w="120" w:type="dxa"/>
            <w:vAlign w:val="bottom"/>
          </w:tcPr>
          <w:p>
            <w:pPr>
              <w:spacing w:after="0"/>
              <w:rPr>
                <w:sz w:val="20"/>
                <w:szCs w:val="20"/>
                <w:color w:val="auto"/>
              </w:rPr>
            </w:pPr>
          </w:p>
        </w:tc>
        <w:tc>
          <w:tcPr>
            <w:tcW w:w="37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$2.3625</w:t>
            </w:r>
          </w:p>
        </w:tc>
        <w:tc>
          <w:tcPr>
            <w:tcW w:w="120" w:type="dxa"/>
            <w:vAlign w:val="bottom"/>
          </w:tcPr>
          <w:p>
            <w:pPr>
              <w:spacing w:after="0"/>
              <w:rPr>
                <w:sz w:val="20"/>
                <w:szCs w:val="20"/>
                <w:color w:val="auto"/>
              </w:rPr>
            </w:pPr>
          </w:p>
        </w:tc>
        <w:tc>
          <w:tcPr>
            <w:tcW w:w="35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09/24/2020</w:t>
            </w:r>
          </w:p>
        </w:tc>
      </w:tr>
    </w:tbl>
    <w:p>
      <w:pPr>
        <w:spacing w:after="0" w:line="179" w:lineRule="exact"/>
        <w:rPr>
          <w:sz w:val="20"/>
          <w:szCs w:val="20"/>
          <w:color w:val="auto"/>
        </w:rPr>
      </w:pPr>
    </w:p>
    <w:p>
      <w:pPr>
        <w:sectPr>
          <w:pgSz w:w="11900" w:h="16838" w:orient="portrait"/>
          <w:cols w:equalWidth="0" w:num="1">
            <w:col w:w="11420"/>
          </w:cols>
          <w:pgMar w:left="240" w:top="220"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Company had the following warrant activity during the years 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December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Expired</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Number of</w:t>
            </w:r>
          </w:p>
        </w:tc>
        <w:tc>
          <w:tcPr>
            <w:tcW w:w="20" w:type="dxa"/>
            <w:vAlign w:val="bottom"/>
          </w:tcPr>
          <w:p>
            <w:pPr>
              <w:spacing w:after="0"/>
              <w:rPr>
                <w:sz w:val="18"/>
                <w:szCs w:val="18"/>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Underlying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exercise</w:t>
            </w:r>
          </w:p>
        </w:tc>
      </w:tr>
      <w:tr>
        <w:trPr>
          <w:trHeight w:val="241"/>
        </w:trPr>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Warrants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price</w:t>
            </w:r>
          </w:p>
        </w:tc>
      </w:tr>
      <w:tr>
        <w:trPr>
          <w:trHeight w:val="198"/>
        </w:trPr>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698,194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7"/>
                <w:szCs w:val="17"/>
                <w:color w:val="auto"/>
              </w:rPr>
            </w:pPr>
          </w:p>
        </w:tc>
      </w:tr>
      <w:tr>
        <w:trPr>
          <w:trHeight w:val="216"/>
        </w:trPr>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(16,667)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r>
      <w:tr>
        <w:trPr>
          <w:trHeight w:val="198"/>
        </w:trPr>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681,527</w:t>
            </w:r>
          </w:p>
        </w:tc>
        <w:tc>
          <w:tcPr>
            <w:tcW w:w="200" w:type="dxa"/>
            <w:vAlign w:val="bottom"/>
          </w:tcPr>
          <w:p>
            <w:pPr>
              <w:spacing w:after="0"/>
              <w:rPr>
                <w:sz w:val="17"/>
                <w:szCs w:val="17"/>
                <w:color w:val="auto"/>
              </w:rPr>
            </w:pPr>
          </w:p>
        </w:tc>
        <w:tc>
          <w:tcPr>
            <w:tcW w:w="10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5.01</w:t>
            </w:r>
          </w:p>
        </w:tc>
      </w:tr>
      <w:tr>
        <w:trPr>
          <w:trHeight w:val="216"/>
        </w:trPr>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(333,333)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w:t>
            </w:r>
          </w:p>
        </w:tc>
      </w:tr>
      <w:tr>
        <w:trPr>
          <w:trHeight w:val="250"/>
        </w:trPr>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348,194</w:t>
            </w:r>
          </w:p>
        </w:tc>
        <w:tc>
          <w:tcPr>
            <w:tcW w:w="200" w:type="dxa"/>
            <w:vAlign w:val="bottom"/>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760" w:space="720"/>
            <w:col w:w="1940"/>
          </w:cols>
          <w:pgMar w:left="240" w:top="22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NOTE 13 – MAJOR CUSTOMERS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one customer that individually accounted for approximately 12% of revenue in 2017 and a different customer that individually accounted for approximately 12% of revenue in 2016. No other customers accounted for more than 10% of revenue in either year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2017, the Company had net operating loss carry forwards of approximately $12.2 million that expire from 2027 through 2037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69" w:name="page70"/>
    <w:bookmarkEnd w:id="69"/>
    <w:p>
      <w:pPr>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1"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INCOME TAXES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income tax consists of the following for the years ended December 31, 2017 and 2016:</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benefit attributable to:</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Current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Permanent and timing differences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Tax rate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provision for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color w:val="auto"/>
        </w:rPr>
        <w:t>2017</w:t>
      </w:r>
      <w:r>
        <w:rPr>
          <w:sz w:val="20"/>
          <w:szCs w:val="20"/>
          <w:color w:val="auto"/>
        </w:rPr>
        <w:tab/>
      </w:r>
      <w:r>
        <w:rPr>
          <w:rFonts w:ascii="Times New Roman" w:cs="Times New Roman" w:eastAsia="Times New Roman" w:hAnsi="Times New Roman"/>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20078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232" w:lineRule="exact"/>
        <w:rPr>
          <w:sz w:val="20"/>
          <w:szCs w:val="20"/>
          <w:color w:val="auto"/>
        </w:rPr>
      </w:pPr>
    </w:p>
    <w:p>
      <w:pPr>
        <w:ind w:left="300" w:hanging="299"/>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715,000   $ 523,000</w:t>
      </w:r>
    </w:p>
    <w:p>
      <w:pPr>
        <w:spacing w:after="0" w:line="27"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(280,000)133,000</w:t>
      </w:r>
    </w:p>
    <w:p>
      <w:pPr>
        <w:spacing w:after="0" w:line="9" w:lineRule="exact"/>
        <w:rPr>
          <w:sz w:val="20"/>
          <w:szCs w:val="20"/>
          <w:color w:val="auto"/>
        </w:rPr>
      </w:pPr>
    </w:p>
    <w:p>
      <w:pPr>
        <w:ind w:left="120"/>
        <w:spacing w:after="0"/>
        <w:tabs>
          <w:tab w:leader="none" w:pos="1820" w:val="left"/>
        </w:tabs>
        <w:rPr>
          <w:sz w:val="20"/>
          <w:szCs w:val="20"/>
          <w:color w:val="auto"/>
        </w:rPr>
      </w:pPr>
      <w:r>
        <w:rPr>
          <w:rFonts w:ascii="Times New Roman" w:cs="Times New Roman" w:eastAsia="Times New Roman" w:hAnsi="Times New Roman"/>
          <w:sz w:val="18"/>
          <w:szCs w:val="18"/>
          <w:color w:val="auto"/>
        </w:rPr>
        <w:t>(1,600,000)</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80"/>
        <w:spacing w:after="0"/>
        <w:tabs>
          <w:tab w:leader="none" w:pos="1220" w:val="left"/>
        </w:tabs>
        <w:rPr>
          <w:sz w:val="20"/>
          <w:szCs w:val="20"/>
          <w:color w:val="auto"/>
        </w:rPr>
      </w:pPr>
      <w:r>
        <w:rPr>
          <w:rFonts w:ascii="Times New Roman" w:cs="Times New Roman" w:eastAsia="Times New Roman" w:hAnsi="Times New Roman"/>
          <w:sz w:val="18"/>
          <w:szCs w:val="18"/>
          <w:color w:val="auto"/>
        </w:rPr>
        <w:t>1,165,000</w:t>
      </w:r>
      <w:r>
        <w:rPr>
          <w:sz w:val="20"/>
          <w:szCs w:val="20"/>
          <w:color w:val="auto"/>
        </w:rPr>
        <w:tab/>
      </w:r>
      <w:r>
        <w:rPr>
          <w:rFonts w:ascii="Times New Roman" w:cs="Times New Roman" w:eastAsia="Times New Roman" w:hAnsi="Times New Roman"/>
          <w:sz w:val="18"/>
          <w:szCs w:val="18"/>
          <w:color w:val="auto"/>
        </w:rPr>
        <w:t>(656,000)</w:t>
      </w:r>
    </w:p>
    <w:p>
      <w:pPr>
        <w:spacing w:after="0" w:line="58" w:lineRule="exact"/>
        <w:rPr>
          <w:sz w:val="20"/>
          <w:szCs w:val="20"/>
          <w:color w:val="auto"/>
        </w:rPr>
      </w:pPr>
    </w:p>
    <w:p>
      <w:pPr>
        <w:spacing w:after="0"/>
        <w:tabs>
          <w:tab w:leader="none" w:pos="820" w:val="left"/>
          <w:tab w:leader="none" w:pos="1080" w:val="left"/>
          <w:tab w:leader="none" w:pos="1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120078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00" w:space="720"/>
            <w:col w:w="2000"/>
          </w:cols>
          <w:pgMar w:left="240" w:top="220" w:right="239" w:bottom="1440" w:gutter="0" w:footer="0" w:header="0"/>
          <w:type w:val="continuous"/>
        </w:sectPr>
      </w:pPr>
    </w:p>
    <w:p>
      <w:pPr>
        <w:spacing w:after="0" w:line="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cumulative tax effect at the expected rate of 34%, as of December 31, 2016, and 21% as of December 31, 2017, of significant items comprising our net deferred tax amount is as follows as of December 31, 2017 and 2016:</w:t>
      </w:r>
    </w:p>
    <w:p>
      <w:pPr>
        <w:sectPr>
          <w:pgSz w:w="11900" w:h="16838" w:orient="portrait"/>
          <w:cols w:equalWidth="0" w:num="1">
            <w:col w:w="11420"/>
          </w:cols>
          <w:pgMar w:left="240" w:top="220" w:right="2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color w:val="auto"/>
        </w:rPr>
        <w:t>Deferred tax asset attributable to:</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operating loss carryover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60"/>
        <w:spacing w:after="0"/>
        <w:tabs>
          <w:tab w:leader="none" w:pos="1340" w:val="left"/>
        </w:tabs>
        <w:rPr>
          <w:sz w:val="20"/>
          <w:szCs w:val="20"/>
          <w:color w:val="auto"/>
        </w:rPr>
      </w:pPr>
      <w:r>
        <w:rPr>
          <w:rFonts w:ascii="Times New Roman" w:cs="Times New Roman" w:eastAsia="Times New Roman" w:hAnsi="Times New Roman"/>
          <w:sz w:val="18"/>
          <w:szCs w:val="18"/>
          <w:color w:val="auto"/>
        </w:rPr>
        <w:t>2017</w:t>
      </w:r>
      <w:r>
        <w:rPr>
          <w:sz w:val="20"/>
          <w:szCs w:val="20"/>
          <w:color w:val="auto"/>
        </w:rPr>
        <w:tab/>
      </w:r>
      <w:r>
        <w:rPr>
          <w:rFonts w:ascii="Times New Roman" w:cs="Times New Roman" w:eastAsia="Times New Roman" w:hAnsi="Times New Roman"/>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2693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6936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$ 2,551,000</w:t>
        <w:tab/>
        <w:t>$ 3,648,000</w:t>
      </w:r>
    </w:p>
    <w:p>
      <w:pPr>
        <w:spacing w:after="0" w:line="27" w:lineRule="exact"/>
        <w:rPr>
          <w:sz w:val="20"/>
          <w:szCs w:val="20"/>
          <w:color w:val="auto"/>
        </w:rPr>
      </w:pPr>
    </w:p>
    <w:p>
      <w:pPr>
        <w:ind w:left="380"/>
        <w:spacing w:after="0"/>
        <w:tabs>
          <w:tab w:leader="none" w:pos="1380" w:val="left"/>
        </w:tabs>
        <w:rPr>
          <w:sz w:val="20"/>
          <w:szCs w:val="20"/>
          <w:color w:val="auto"/>
        </w:rPr>
      </w:pPr>
      <w:r>
        <w:rPr>
          <w:rFonts w:ascii="Times New Roman" w:cs="Times New Roman" w:eastAsia="Times New Roman" w:hAnsi="Times New Roman"/>
          <w:sz w:val="18"/>
          <w:szCs w:val="18"/>
          <w:color w:val="auto"/>
        </w:rPr>
        <w:t>98,000</w:t>
      </w:r>
      <w:r>
        <w:rPr>
          <w:sz w:val="20"/>
          <w:szCs w:val="20"/>
          <w:color w:val="auto"/>
        </w:rPr>
        <w:tab/>
      </w:r>
      <w:r>
        <w:rPr>
          <w:rFonts w:ascii="Times New Roman" w:cs="Times New Roman" w:eastAsia="Times New Roman" w:hAnsi="Times New Roman"/>
          <w:sz w:val="18"/>
          <w:szCs w:val="18"/>
          <w:color w:val="auto"/>
        </w:rPr>
        <w:t>126,000</w:t>
      </w:r>
    </w:p>
    <w:p>
      <w:pPr>
        <w:spacing w:after="0" w:line="9" w:lineRule="exact"/>
        <w:rPr>
          <w:sz w:val="20"/>
          <w:szCs w:val="20"/>
          <w:color w:val="auto"/>
        </w:rPr>
      </w:pPr>
    </w:p>
    <w:p>
      <w:pPr>
        <w:ind w:left="300"/>
        <w:spacing w:after="0"/>
        <w:tabs>
          <w:tab w:leader="none" w:pos="1380" w:val="left"/>
        </w:tabs>
        <w:rPr>
          <w:sz w:val="20"/>
          <w:szCs w:val="20"/>
          <w:color w:val="auto"/>
        </w:rPr>
      </w:pPr>
      <w:r>
        <w:rPr>
          <w:rFonts w:ascii="Times New Roman" w:cs="Times New Roman" w:eastAsia="Times New Roman" w:hAnsi="Times New Roman"/>
          <w:sz w:val="18"/>
          <w:szCs w:val="18"/>
          <w:color w:val="auto"/>
        </w:rPr>
        <w:t>372,000</w:t>
      </w:r>
      <w:r>
        <w:rPr>
          <w:sz w:val="20"/>
          <w:szCs w:val="20"/>
          <w:color w:val="auto"/>
        </w:rPr>
        <w:tab/>
      </w:r>
      <w:r>
        <w:rPr>
          <w:rFonts w:ascii="Times New Roman" w:cs="Times New Roman" w:eastAsia="Times New Roman" w:hAnsi="Times New Roman"/>
          <w:sz w:val="18"/>
          <w:szCs w:val="18"/>
          <w:color w:val="auto"/>
        </w:rPr>
        <w:t>339,000</w:t>
      </w:r>
    </w:p>
    <w:p>
      <w:pPr>
        <w:spacing w:after="0" w:line="9" w:lineRule="exact"/>
        <w:rPr>
          <w:sz w:val="20"/>
          <w:szCs w:val="20"/>
          <w:color w:val="auto"/>
        </w:rPr>
      </w:pPr>
    </w:p>
    <w:p>
      <w:pPr>
        <w:ind w:left="1500" w:hanging="675"/>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73,000</w:t>
      </w:r>
    </w:p>
    <w:p>
      <w:pPr>
        <w:spacing w:after="0" w:line="9"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(3,021,000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(4,186,000</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tabs>
          <w:tab w:leader="none" w:pos="800" w:val="left"/>
          <w:tab w:leader="none" w:pos="1080" w:val="left"/>
          <w:tab w:leader="none" w:pos="1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269365"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6936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0" w:space="720"/>
            <w:col w:w="2100"/>
          </w:cols>
          <w:pgMar w:left="240" w:top="220" w:right="239" w:bottom="1440" w:gutter="0" w:footer="0" w:header="0"/>
          <w:type w:val="continuous"/>
        </w:sectPr>
      </w:pP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involved in any legal proceedings.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Revenue-share contracts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70" w:name="page71"/>
    <w:bookmarkEnd w:id="70"/>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COMMITMENTS AND CONTINGENT LIABILITIES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initially signed the lease for its current office space located in Rochester Michigan on December 1, 2011. That lease expired November 30, 2016 and the Company signed a new lease for the same space. The current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the Company fails to exercise its option for option years 4 and 5, a least termination payment of $7,300 will be due at the end of the initial 3-year term.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month to month leases on shared office spaces in Cambridge Massachusetts and Nashville, Tennessee, payable at rates of $2,700 per month and $1,370 per month,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Minimum annual rent payments are as follows for the remaining term of the leases: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520" w:type="dxa"/>
            <w:vAlign w:val="bottom"/>
            <w:shd w:val="clear" w:color="auto" w:fill="CCEEFF"/>
          </w:tcPr>
          <w:p>
            <w:pPr>
              <w:jc w:val="right"/>
              <w:ind w:right="9890"/>
              <w:spacing w:after="0"/>
              <w:rPr>
                <w:sz w:val="20"/>
                <w:szCs w:val="20"/>
                <w:color w:val="auto"/>
              </w:rPr>
            </w:pPr>
            <w:r>
              <w:rPr>
                <w:rFonts w:ascii="Times New Roman" w:cs="Times New Roman" w:eastAsia="Times New Roman" w:hAnsi="Times New Roman"/>
                <w:sz w:val="18"/>
                <w:szCs w:val="18"/>
                <w:color w:val="auto"/>
              </w:rPr>
              <w:t>2018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75,772</w:t>
            </w:r>
          </w:p>
        </w:tc>
      </w:tr>
      <w:tr>
        <w:trPr>
          <w:trHeight w:val="237"/>
        </w:trPr>
        <w:tc>
          <w:tcPr>
            <w:tcW w:w="10520" w:type="dxa"/>
            <w:vAlign w:val="bottom"/>
            <w:tcBorders>
              <w:bottom w:val="single" w:sz="8" w:color="CCEEFF"/>
            </w:tcBorders>
          </w:tcPr>
          <w:p>
            <w:pPr>
              <w:jc w:val="right"/>
              <w:ind w:right="989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70,224</w:t>
            </w:r>
          </w:p>
        </w:tc>
        <w:tc>
          <w:tcPr>
            <w:tcW w:w="100" w:type="dxa"/>
            <w:vAlign w:val="bottom"/>
            <w:tcBorders>
              <w:bottom w:val="single" w:sz="8" w:color="CCEEFF"/>
            </w:tcBorders>
          </w:tcPr>
          <w:p>
            <w:pPr>
              <w:spacing w:after="0"/>
              <w:rPr>
                <w:sz w:val="20"/>
                <w:szCs w:val="20"/>
                <w:color w:val="auto"/>
              </w:rPr>
            </w:pPr>
          </w:p>
        </w:tc>
      </w:tr>
      <w:tr>
        <w:trPr>
          <w:trHeight w:val="250"/>
        </w:trPr>
        <w:tc>
          <w:tcPr>
            <w:tcW w:w="10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commitment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145,996</w:t>
            </w:r>
          </w:p>
        </w:tc>
      </w:tr>
      <w:tr>
        <w:trPr>
          <w:trHeight w:val="21"/>
        </w:trPr>
        <w:tc>
          <w:tcPr>
            <w:tcW w:w="10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Allscripts Agreement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originally was due when the e-Coupon functionality was launched on a widespread basis in the Touchworks platform, which occurred February 28, 2017. A payment of $325,000 was made at the time and the remaining amount due was extended until October,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Hosting agreement</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an agreement with a third party to host and administer its software through March 31, 2018 at a rate of $24,230 per month for a total of $72,690 for the three-month period. That agreement was terminated in December 2017 with an effective date of March 31, 2018 in conjunction with moving to a more cost-effective solution and in connection with that termination, the Company will make additional payments of $220,440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RETIREMENT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$137,858 and $64,690 recorded in 2017 and 2016, respectively, for company contributions to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SUBSEQUENT EVENTS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2018, the Company’s Board of Directors amended the 2013 Equity Compensation Plan to increase the number of shares authorized under the plan to 1,833,333. At the same time, the Company granted 130,000 shares of restricted common stock to officers and options to purchase 106,667 shares of common stock with an exercise price of $4.20 to non-officers, both of which vest only if the Company achieves certain stretch revenue goals in either 2019 or 2020. In addition, the Company accelerated vesting to 2018 on 100,000 existing options that previously vested in 2021.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1" w:name="page72"/>
    <w:bookmarkEnd w:id="71"/>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2017, KLJ &amp; Associates LLP resigned as our independent registered accounting firm. We engaged Sadler, Gibb &amp; Associates, LLC as our independent registered accounting firm effective August 30, 2017. The decision to change accountants was approved by our board of directors. For more information on the change in accountants, please see our Form 8-K filed with the Securities and Exchange Commission on September 1, 2017.</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_______________, all dealers that effect transactions in these securities whether or not participating in this offering may be required to deliver a</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prospectus. This is in addition to the dealers’ obligation to deliver a prospectus when acting as underwriters and with respect to their unsold allotments or subscriptions.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2" w:name="page73"/>
    <w:bookmarkEnd w:id="72"/>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INFORMATION NOT REQUIRED IN PROSPECTUS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1,711.88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Accounting Fees and Expenses</w:t>
            </w:r>
            <w:r>
              <w:rPr>
                <w:rFonts w:ascii="Times New Roman" w:cs="Times New Roman" w:eastAsia="Times New Roman" w:hAnsi="Times New Roman"/>
                <w:sz w:val="29"/>
                <w:szCs w:val="29"/>
                <w:color w:val="auto"/>
                <w:vertAlign w:val="superscript"/>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Legal Fees and Expenses</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160" w:type="dxa"/>
            <w:vAlign w:val="bottom"/>
            <w:tcBorders>
              <w:bottom w:val="single" w:sz="8" w:color="CCEEFF"/>
            </w:tcBorders>
            <w:gridSpan w:val="2"/>
          </w:tcPr>
          <w:p>
            <w:pPr>
              <w:spacing w:after="0" w:line="269" w:lineRule="exact"/>
              <w:rPr>
                <w:sz w:val="20"/>
                <w:szCs w:val="20"/>
                <w:color w:val="auto"/>
              </w:rPr>
            </w:pPr>
            <w:r>
              <w:rPr>
                <w:rFonts w:ascii="Times New Roman" w:cs="Times New Roman" w:eastAsia="Times New Roman" w:hAnsi="Times New Roman"/>
                <w:sz w:val="18"/>
                <w:szCs w:val="18"/>
                <w:color w:val="auto"/>
              </w:rPr>
              <w:t>Miscellaneous</w:t>
            </w:r>
            <w:r>
              <w:rPr>
                <w:rFonts w:ascii="Times New Roman" w:cs="Times New Roman" w:eastAsia="Times New Roman" w:hAnsi="Times New Roman"/>
                <w:sz w:val="30"/>
                <w:szCs w:val="30"/>
                <w:color w:val="auto"/>
                <w:vertAlign w:val="superscript"/>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340" w:type="dxa"/>
            <w:vAlign w:val="bottom"/>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16,431.75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officers and directors are indemnified as provided by the Nevada Revised Statutes and our bylaws.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76" w:lineRule="exact"/>
        <w:rPr>
          <w:sz w:val="20"/>
          <w:szCs w:val="20"/>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failure to deal fairly with the company or its shareholders in connection with a matter in which the director has a material conflict of interest;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criminal law (unless the director had reasonable cause to believe that his or her conduct was lawful or no reasonable cause to believe that his or her conduct was unlawful);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director derived an improper personal profit;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76"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required to be made by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 was authorized by our Board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provided by us, in our sole discretion, pursuant to the powers vested us under Nevada law;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required to be made pursuant to the bylaws.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3" w:name="page74"/>
    <w:bookmarkEnd w:id="73"/>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2017, we issued 6,250 shares of restricted Common Stock to our outside Directors as part of our director compensation package for services rendered in Q4 2017.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2018, we granted 130,000 shares of Common Stock to officers and options to purchase 106,667 shares of Common Stock with an exercise price of $4.20 to non-officers, both of which vest only if we achieve certain stretch revenue goals in either 2019 or 2020.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2018, we issued 6,250 shares of Common Stock to our independent directors in connection with our Director Compensation Plan. We also issued 100,000 shares of Common Stock to a subsidiary of WPP, a shareholder of the Company, in payment of amounts due under a comarketing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2018, we sold to accredited investors an aggregate of 1,666,669 shares of our Common Stock, for gross proceeds of approximately $9,000,000.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4" w:name="page75"/>
    <w:bookmarkEnd w:id="74"/>
    <w:p>
      <w:pPr>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00"/>
          </w:cols>
          <w:pgMar w:left="240" w:top="220" w:right="2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2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19685</wp:posOffset>
            </wp:positionV>
            <wp:extent cx="724662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20"/>
        <w:spacing w:after="0" w:line="220" w:lineRule="auto"/>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Articles of Incorporation of OptimizeRx Corporation (the “Company”)</w:t>
        </w:r>
        <w:r>
          <w:rPr>
            <w:rFonts w:ascii="Times New Roman" w:cs="Times New Roman" w:eastAsia="Times New Roman" w:hAnsi="Times New Roman"/>
            <w:sz w:val="30"/>
            <w:szCs w:val="30"/>
            <w:u w:val="single" w:color="auto"/>
            <w:color w:val="0000EE"/>
            <w:vertAlign w:val="superscript"/>
          </w:rPr>
          <w:t>1</w:t>
        </w:r>
      </w:hyperlink>
    </w:p>
    <w:p>
      <w:pPr>
        <w:ind w:left="120"/>
        <w:spacing w:after="0" w:line="184" w:lineRule="auto"/>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Amended and Restated Bylaws of the Company</w:t>
        </w:r>
        <w:r>
          <w:rPr>
            <w:rFonts w:ascii="Times New Roman" w:cs="Times New Roman" w:eastAsia="Times New Roman" w:hAnsi="Times New Roman"/>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Certificate of Designation, filed on September 5, 2008 with the Secretary of State of the State of Nevada by the Company</w:t>
        </w:r>
        <w:r>
          <w:rPr>
            <w:rFonts w:ascii="Times New Roman" w:cs="Times New Roman" w:eastAsia="Times New Roman" w:hAnsi="Times New Roman"/>
            <w:sz w:val="29"/>
            <w:szCs w:val="29"/>
            <w:u w:val="single" w:color="auto"/>
            <w:color w:val="0000EE"/>
            <w:vertAlign w:val="superscript"/>
          </w:rPr>
          <w:t>1</w:t>
        </w:r>
      </w:hyperlink>
    </w:p>
    <w:p>
      <w:pPr>
        <w:ind w:left="120"/>
        <w:spacing w:after="0" w:line="185" w:lineRule="auto"/>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Certificate of Designation, filed on June 3, 2010 with the Secretary of State of the State of Nevada by the Company</w:t>
        </w:r>
        <w:r>
          <w:rPr>
            <w:rFonts w:ascii="Times New Roman" w:cs="Times New Roman" w:eastAsia="Times New Roman" w:hAnsi="Times New Roman"/>
            <w:sz w:val="29"/>
            <w:szCs w:val="29"/>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u w:val="single" w:color="auto"/>
          <w:color w:val="0000EE"/>
        </w:rPr>
        <w:t>Opinion of The Doney Law firm with Consent to use**</w:t>
      </w:r>
    </w:p>
    <w:p>
      <w:pPr>
        <w:ind w:left="120"/>
        <w:spacing w:after="0" w:line="184" w:lineRule="auto"/>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Separation Agreement, dated September 20, 2013</w:t>
        </w:r>
        <w:r>
          <w:rPr>
            <w:rFonts w:ascii="Times New Roman" w:cs="Times New Roman" w:eastAsia="Times New Roman" w:hAnsi="Times New Roman"/>
            <w:sz w:val="30"/>
            <w:szCs w:val="30"/>
            <w:u w:val="single" w:color="auto"/>
            <w:color w:val="0000EE"/>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Securities Purchase Agreement</w:t>
        </w:r>
        <w:r>
          <w:rPr>
            <w:rFonts w:ascii="Times New Roman" w:cs="Times New Roman" w:eastAsia="Times New Roman" w:hAnsi="Times New Roman"/>
            <w:sz w:val="29"/>
            <w:szCs w:val="29"/>
            <w:u w:val="single" w:color="auto"/>
            <w:color w:val="0000EE"/>
            <w:vertAlign w:val="superscript"/>
          </w:rPr>
          <w:t>5</w:t>
        </w:r>
      </w:hyperlink>
    </w:p>
    <w:p>
      <w:pPr>
        <w:ind w:left="120"/>
        <w:spacing w:after="0" w:line="185" w:lineRule="auto"/>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Registration Rights Agreement</w:t>
        </w:r>
        <w:r>
          <w:rPr>
            <w:rFonts w:ascii="Times New Roman" w:cs="Times New Roman" w:eastAsia="Times New Roman" w:hAnsi="Times New Roman"/>
            <w:sz w:val="29"/>
            <w:szCs w:val="29"/>
            <w:u w:val="single" w:color="auto"/>
            <w:color w:val="0000EE"/>
            <w:vertAlign w:val="superscript"/>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Investor Agreement</w:t>
        </w:r>
        <w:r>
          <w:rPr>
            <w:rFonts w:ascii="Times New Roman" w:cs="Times New Roman" w:eastAsia="Times New Roman" w:hAnsi="Times New Roman"/>
            <w:sz w:val="29"/>
            <w:szCs w:val="29"/>
            <w:u w:val="single" w:color="auto"/>
            <w:color w:val="0000EE"/>
            <w:vertAlign w:val="superscript"/>
          </w:rPr>
          <w:t>5</w:t>
        </w:r>
      </w:hyperlink>
    </w:p>
    <w:p>
      <w:pPr>
        <w:ind w:left="120"/>
        <w:spacing w:after="0" w:line="185" w:lineRule="auto"/>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Warrant Agreement</w:t>
        </w:r>
        <w:r>
          <w:rPr>
            <w:rFonts w:ascii="Times New Roman" w:cs="Times New Roman" w:eastAsia="Times New Roman" w:hAnsi="Times New Roman"/>
            <w:sz w:val="29"/>
            <w:szCs w:val="29"/>
            <w:u w:val="single" w:color="auto"/>
            <w:color w:val="0000EE"/>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Warrant Agreement</w:t>
        </w:r>
        <w:r>
          <w:rPr>
            <w:rFonts w:ascii="Times New Roman" w:cs="Times New Roman" w:eastAsia="Times New Roman" w:hAnsi="Times New Roman"/>
            <w:sz w:val="29"/>
            <w:szCs w:val="29"/>
            <w:u w:val="single" w:color="auto"/>
            <w:color w:val="0000EE"/>
            <w:vertAlign w:val="superscript"/>
          </w:rPr>
          <w:t>6</w:t>
        </w:r>
      </w:hyperlink>
    </w:p>
    <w:p>
      <w:pPr>
        <w:ind w:left="120"/>
        <w:spacing w:after="0" w:line="184" w:lineRule="auto"/>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18"/>
            <w:szCs w:val="18"/>
            <w:u w:val="single" w:color="auto"/>
            <w:color w:val="0000EE"/>
          </w:rPr>
          <w:t>Stock Purchase Agreement, dated September 24, 2015</w:t>
        </w:r>
        <w:r>
          <w:rPr>
            <w:rFonts w:ascii="Times New Roman" w:cs="Times New Roman" w:eastAsia="Times New Roman" w:hAnsi="Times New Roman"/>
            <w:sz w:val="29"/>
            <w:szCs w:val="29"/>
            <w:u w:val="single" w:color="auto"/>
            <w:color w:val="0000EE"/>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Investor Rights Agreement, dated September 24, 2015</w:t>
        </w:r>
        <w:r>
          <w:rPr>
            <w:rFonts w:ascii="Times New Roman" w:cs="Times New Roman" w:eastAsia="Times New Roman" w:hAnsi="Times New Roman"/>
            <w:sz w:val="29"/>
            <w:szCs w:val="29"/>
            <w:u w:val="single" w:color="auto"/>
            <w:color w:val="0000EE"/>
            <w:vertAlign w:val="superscript"/>
          </w:rPr>
          <w:t>7</w:t>
        </w:r>
      </w:hyperlink>
    </w:p>
    <w:p>
      <w:pPr>
        <w:ind w:left="120"/>
        <w:spacing w:after="0" w:line="185" w:lineRule="auto"/>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Indemnity Agreement, dated September 24, 2015</w:t>
        </w:r>
        <w:r>
          <w:rPr>
            <w:rFonts w:ascii="Times New Roman" w:cs="Times New Roman" w:eastAsia="Times New Roman" w:hAnsi="Times New Roman"/>
            <w:sz w:val="29"/>
            <w:szCs w:val="29"/>
            <w:u w:val="single" w:color="auto"/>
            <w:color w:val="0000EE"/>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Employment Agreement between the Company and James Brooks, dated December 4, 2015</w:t>
        </w:r>
        <w:r>
          <w:rPr>
            <w:rFonts w:ascii="Times New Roman" w:cs="Times New Roman" w:eastAsia="Times New Roman" w:hAnsi="Times New Roman"/>
            <w:sz w:val="29"/>
            <w:szCs w:val="29"/>
            <w:u w:val="single" w:color="auto"/>
            <w:color w:val="0000EE"/>
            <w:vertAlign w:val="superscript"/>
          </w:rPr>
          <w:t>8</w:t>
        </w:r>
      </w:hyperlink>
    </w:p>
    <w:p>
      <w:pPr>
        <w:ind w:left="120"/>
        <w:spacing w:after="0" w:line="185" w:lineRule="auto"/>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Employment Agreement between the Company and William Febbo, dated February 12, 2016</w:t>
        </w:r>
        <w:r>
          <w:rPr>
            <w:rFonts w:ascii="Times New Roman" w:cs="Times New Roman" w:eastAsia="Times New Roman" w:hAnsi="Times New Roman"/>
            <w:sz w:val="29"/>
            <w:szCs w:val="29"/>
            <w:u w:val="single" w:color="auto"/>
            <w:color w:val="0000EE"/>
            <w:vertAlign w:val="superscript"/>
          </w:rPr>
          <w:t>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300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120"/>
        <w:spacing w:after="0" w:line="205" w:lineRule="auto"/>
        <w:rPr>
          <w:rFonts w:ascii="Times New Roman" w:cs="Times New Roman" w:eastAsia="Times New Roman" w:hAnsi="Times New Roman"/>
          <w:sz w:val="18"/>
          <w:szCs w:val="18"/>
          <w:u w:val="single" w:color="auto"/>
          <w:color w:val="0000EE"/>
        </w:rPr>
      </w:pPr>
      <w:hyperlink r:id="rId139">
        <w:r>
          <w:rPr>
            <w:rFonts w:ascii="Times New Roman" w:cs="Times New Roman" w:eastAsia="Times New Roman" w:hAnsi="Times New Roman"/>
            <w:sz w:val="18"/>
            <w:szCs w:val="18"/>
            <w:u w:val="single" w:color="auto"/>
            <w:color w:val="0000EE"/>
          </w:rPr>
          <w:t>Separation Agreement, Corporate Consulting Agreement and Confidentiality Agreement between the Company and David Harrell dated May</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5, 2016</w:t>
        </w:r>
        <w:r>
          <w:rPr>
            <w:rFonts w:ascii="Times New Roman" w:cs="Times New Roman" w:eastAsia="Times New Roman" w:hAnsi="Times New Roman"/>
            <w:sz w:val="30"/>
            <w:szCs w:val="30"/>
            <w:u w:val="single" w:color="auto"/>
            <w:color w:val="0000EE"/>
            <w:vertAlign w:val="superscript"/>
          </w:rPr>
          <w:t>10</w:t>
        </w:r>
      </w:hyperlink>
    </w:p>
    <w:p>
      <w:pPr>
        <w:ind w:left="120"/>
        <w:spacing w:after="0" w:line="185" w:lineRule="auto"/>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Employment Agreement with Brian Dillon, dated June 22, 2016</w:t>
        </w:r>
        <w:r>
          <w:rPr>
            <w:rFonts w:ascii="Times New Roman" w:cs="Times New Roman" w:eastAsia="Times New Roman" w:hAnsi="Times New Roman"/>
            <w:sz w:val="29"/>
            <w:szCs w:val="29"/>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Employment Agreement with Douglas Baker, dated June 27, 2016</w:t>
        </w:r>
        <w:r>
          <w:rPr>
            <w:rFonts w:ascii="Times New Roman" w:cs="Times New Roman" w:eastAsia="Times New Roman" w:hAnsi="Times New Roman"/>
            <w:sz w:val="29"/>
            <w:szCs w:val="29"/>
            <w:u w:val="single" w:color="auto"/>
            <w:color w:val="0000EE"/>
            <w:vertAlign w:val="superscript"/>
          </w:rPr>
          <w:t>11</w:t>
        </w:r>
      </w:hyperlink>
    </w:p>
    <w:p>
      <w:pPr>
        <w:ind w:left="120"/>
        <w:spacing w:after="0" w:line="184" w:lineRule="auto"/>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Employment Agreement with Terry Hamilton, dated June 27, 2016</w:t>
        </w:r>
        <w:r>
          <w:rPr>
            <w:rFonts w:ascii="Times New Roman" w:cs="Times New Roman" w:eastAsia="Times New Roman" w:hAnsi="Times New Roman"/>
            <w:sz w:val="29"/>
            <w:szCs w:val="29"/>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Purchase Agreement, dated May 2, 2018</w:t>
        </w:r>
        <w:r>
          <w:rPr>
            <w:rFonts w:ascii="Times New Roman" w:cs="Times New Roman" w:eastAsia="Times New Roman" w:hAnsi="Times New Roman"/>
            <w:sz w:val="29"/>
            <w:szCs w:val="29"/>
            <w:u w:val="single" w:color="auto"/>
            <w:color w:val="0000EE"/>
            <w:vertAlign w:val="superscript"/>
          </w:rPr>
          <w:t>12</w:t>
        </w:r>
      </w:hyperlink>
    </w:p>
    <w:p>
      <w:pPr>
        <w:ind w:left="120"/>
        <w:spacing w:after="0" w:line="185" w:lineRule="auto"/>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Registration Rights Agreement, dated May 2, 2018</w:t>
        </w:r>
        <w:r>
          <w:rPr>
            <w:rFonts w:ascii="Times New Roman" w:cs="Times New Roman" w:eastAsia="Times New Roman" w:hAnsi="Times New Roman"/>
            <w:sz w:val="29"/>
            <w:szCs w:val="29"/>
            <w:u w:val="single" w:color="auto"/>
            <w:color w:val="0000EE"/>
            <w:vertAlign w:val="superscript"/>
          </w:rPr>
          <w:t>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List of Subsidiaries</w:t>
        </w:r>
        <w:r>
          <w:rPr>
            <w:rFonts w:ascii="Times New Roman" w:cs="Times New Roman" w:eastAsia="Times New Roman" w:hAnsi="Times New Roman"/>
            <w:sz w:val="29"/>
            <w:szCs w:val="29"/>
            <w:u w:val="single" w:color="auto"/>
            <w:color w:val="0000EE"/>
            <w:vertAlign w:val="superscript"/>
          </w:rPr>
          <w:t>1</w:t>
        </w:r>
      </w:hyperlink>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Consent of KLJ &amp; Associates**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Consent of Sadler, Gibb &amp;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-130810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640" w:space="400"/>
            <w:col w:w="10360"/>
          </w:cols>
          <w:pgMar w:left="240" w:top="220" w:right="259" w:bottom="1440" w:gutter="0" w:footer="0" w:header="0"/>
          <w:type w:val="continuous"/>
        </w:sectPr>
      </w:pPr>
    </w:p>
    <w:p>
      <w:pPr>
        <w:ind w:left="340" w:hanging="332"/>
        <w:spacing w:after="0"/>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July 16, 2010.</w:t>
      </w:r>
    </w:p>
    <w:p>
      <w:pPr>
        <w:ind w:left="340" w:hanging="332"/>
        <w:spacing w:after="0" w:line="180" w:lineRule="auto"/>
        <w:tabs>
          <w:tab w:leader="none" w:pos="34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June 11, 2010.</w:t>
      </w:r>
    </w:p>
    <w:p>
      <w:pPr>
        <w:ind w:left="340" w:hanging="332"/>
        <w:spacing w:after="0" w:line="181" w:lineRule="auto"/>
        <w:tabs>
          <w:tab w:leader="none" w:pos="34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September 20, 2013.</w:t>
      </w:r>
    </w:p>
    <w:p>
      <w:pPr>
        <w:ind w:left="340" w:hanging="332"/>
        <w:spacing w:after="0" w:line="180" w:lineRule="auto"/>
        <w:tabs>
          <w:tab w:leader="none" w:pos="34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March 18, 2014.</w:t>
      </w:r>
    </w:p>
    <w:p>
      <w:pPr>
        <w:ind w:left="340" w:hanging="332"/>
        <w:spacing w:after="0" w:line="180" w:lineRule="auto"/>
        <w:tabs>
          <w:tab w:leader="none" w:pos="340"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S-1/A filed by the Company with the Securities and Exchange Commission on May 12, 2014.</w:t>
      </w:r>
    </w:p>
    <w:p>
      <w:pPr>
        <w:ind w:left="340" w:hanging="332"/>
        <w:spacing w:after="0" w:line="181" w:lineRule="auto"/>
        <w:tabs>
          <w:tab w:leader="none" w:pos="34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September 30, 2015.</w:t>
      </w:r>
    </w:p>
    <w:p>
      <w:pPr>
        <w:ind w:left="340" w:hanging="332"/>
        <w:spacing w:after="0" w:line="180" w:lineRule="auto"/>
        <w:tabs>
          <w:tab w:leader="none" w:pos="34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January 8, 2016.</w:t>
      </w:r>
    </w:p>
    <w:p>
      <w:pPr>
        <w:ind w:left="340" w:hanging="332"/>
        <w:spacing w:after="0" w:line="181" w:lineRule="auto"/>
        <w:tabs>
          <w:tab w:leader="none" w:pos="34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February 19, 2016.</w:t>
      </w:r>
    </w:p>
    <w:p>
      <w:pPr>
        <w:ind w:left="340" w:hanging="332"/>
        <w:spacing w:after="0" w:line="180" w:lineRule="auto"/>
        <w:tabs>
          <w:tab w:leader="none" w:pos="340" w:val="left"/>
        </w:tabs>
        <w:numPr>
          <w:ilvl w:val="0"/>
          <w:numId w:val="4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10-Q, filed by the Company with the Securities and Exchange Commission on May 9, 2016.</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6" w:lineRule="auto"/>
        <w:tabs>
          <w:tab w:leader="none" w:pos="3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Incorporated by reference to the Form 8-K, filed by the Company with the Securities and Exchange Commission on June 27, 2016.</w:t>
      </w:r>
    </w:p>
    <w:p>
      <w:pPr>
        <w:spacing w:after="0" w:line="2" w:lineRule="exact"/>
        <w:rPr>
          <w:rFonts w:ascii="Times New Roman" w:cs="Times New Roman" w:eastAsia="Times New Roman" w:hAnsi="Times New Roman"/>
          <w:sz w:val="24"/>
          <w:szCs w:val="24"/>
          <w:color w:val="auto"/>
          <w:vertAlign w:val="superscript"/>
        </w:rPr>
      </w:pPr>
    </w:p>
    <w:p>
      <w:pPr>
        <w:ind w:left="340" w:hanging="332"/>
        <w:spacing w:after="0" w:line="186" w:lineRule="auto"/>
        <w:tabs>
          <w:tab w:leader="none" w:pos="34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Incorporated by reference to the Form 10-Q, filed by the Company with the Securities and Exchange Commission on May 2,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type w:val="continuous"/>
        </w:sectPr>
      </w:pPr>
    </w:p>
    <w:bookmarkStart w:id="75" w:name="page76"/>
    <w:bookmarkEnd w:id="75"/>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undertakes:</w:t>
      </w:r>
    </w:p>
    <w:p>
      <w:pPr>
        <w:spacing w:after="0" w:line="225" w:lineRule="exact"/>
        <w:rPr>
          <w:sz w:val="20"/>
          <w:szCs w:val="20"/>
          <w:color w:val="auto"/>
        </w:rPr>
      </w:pPr>
    </w:p>
    <w:p>
      <w:pPr>
        <w:ind w:left="900" w:hanging="244"/>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firstLine="980"/>
        <w:spacing w:after="0" w:line="256" w:lineRule="auto"/>
        <w:tabs>
          <w:tab w:leader="none" w:pos="12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firstLine="980"/>
        <w:spacing w:after="0" w:line="282" w:lineRule="auto"/>
        <w:tabs>
          <w:tab w:leader="none" w:pos="130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sz w:val="20"/>
          <w:szCs w:val="20"/>
          <w:color w:val="auto"/>
        </w:rPr>
      </w:pPr>
    </w:p>
    <w:p>
      <w:pPr>
        <w:ind w:left="880" w:hanging="224"/>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 (§230.430B of this chapter):</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6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70" w:lineRule="auto"/>
        <w:tabs>
          <w:tab w:leader="none" w:pos="160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3" w:lineRule="exact"/>
        <w:rPr>
          <w:rFonts w:ascii="Times New Roman" w:cs="Times New Roman" w:eastAsia="Times New Roman" w:hAnsi="Times New Roman"/>
          <w:sz w:val="17"/>
          <w:szCs w:val="17"/>
          <w:color w:val="auto"/>
        </w:rPr>
      </w:pPr>
    </w:p>
    <w:p>
      <w:pPr>
        <w:jc w:val="both"/>
        <w:ind w:firstLine="656"/>
        <w:spacing w:after="0" w:line="255" w:lineRule="auto"/>
        <w:tabs>
          <w:tab w:leader="none" w:pos="9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firstLine="656"/>
        <w:spacing w:after="0" w:line="255" w:lineRule="auto"/>
        <w:tabs>
          <w:tab w:leader="none" w:pos="8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420"/>
          </w:cols>
          <w:pgMar w:left="240" w:top="22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76" w:name="page77"/>
    <w:bookmarkEnd w:id="76"/>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May 22,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William Febbo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Doug Baker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Febbo</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William Febbo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22, 2018</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Lang</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James Lang</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22, 2018</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Vos</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Lynn Vos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22, 2018</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Gus D. Halas</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Gus D. Halas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22, 2018</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Spangler</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Patrick Spangler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22, 2018</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 Archambault</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Bryan Archambault</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22, 2018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168275</wp:posOffset>
            </wp:positionV>
            <wp:extent cx="4716780" cy="668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471678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 OptimizeRx Corp. 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have acted as counsel for OptimizeRx Corp., a Nevada corporation (the “Company”), in connection with the registration statement on Form S-1 (the “Registration Statement”) filed with the Securities and Exchange Commission (the “Commission”) on May 17, 2018, and any amendments thereto, pursuant to the Securities Act of 1933, as amended (the “Act”). The Registration Statement relates to the resale registration of 1,666,669 shares of the Company’s common stock, all of which are to be offered and sold by certain stockholders of the Company (the “Selling Stockholders”) as set forth in the Registration Statement.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rendering the opinion set forth below, I have reviewed: (a) the Registration Statement and the exhibits attached thereto; (b) the Company's Articles of Incorporation; (c) the Company's Bylaws; (d) certain records of the Company's corporate proceedings as reflected in its minute books; and (e) such statutes, records and other documents as we have deemed relevant. In my examination, I have assumed the genuineness of all signatures, the authenticity of all documents submitted to us as originals, and conformity with the originals of all documents submitted to us as copies thereof. In addition, I have made such other examinations of law and fact, as I have deemed relevant in order to form a basis for the opinion hereinafter expressed.</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foregoing, I am of the opinion that the shares of common stock to be sold by the Selling Stockholders are legally and validly issued, fully paid and non-assessable.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is based on Nevada general corporate law, including the statutory provisions, all applicable provisions of the Nevada constitution and reported judicial decisions interpreting those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HEREBY CONSENT to the use of my opinion in connection with the Registration Statement on Form S-1 Registration Statement and any amendments thereto filed with the Securities and Exchange Commission as counsel for the registrant, OptimizeRx Corp.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056380" cy="11918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405638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independent registered public accountants, we hereby consent to the use of our audit report dated March 8, 2017, with respect to the consolidated financial statements of OptimizeRx Corporation in its registration statement Form S-1. We also consent to the reference of our firm under the caption “interest of named experts and counsel” in the registration statement.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Edina, MN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8000"/>
        </w:rPr>
        <w:t>5201 Eden Ave</w:t>
      </w:r>
    </w:p>
    <w:p>
      <w:pPr>
        <w:spacing w:after="0" w:line="226" w:lineRule="auto"/>
        <w:rPr>
          <w:sz w:val="20"/>
          <w:szCs w:val="20"/>
          <w:color w:val="auto"/>
        </w:rPr>
      </w:pPr>
      <w:r>
        <w:rPr>
          <w:rFonts w:ascii="Times New Roman" w:cs="Times New Roman" w:eastAsia="Times New Roman" w:hAnsi="Times New Roman"/>
          <w:sz w:val="14"/>
          <w:szCs w:val="14"/>
          <w:color w:val="008000"/>
        </w:rPr>
        <w:t>Suite 300</w:t>
      </w:r>
    </w:p>
    <w:p>
      <w:pPr>
        <w:spacing w:after="0" w:line="222" w:lineRule="auto"/>
        <w:rPr>
          <w:sz w:val="20"/>
          <w:szCs w:val="20"/>
          <w:color w:val="auto"/>
        </w:rPr>
      </w:pPr>
      <w:r>
        <w:rPr>
          <w:rFonts w:ascii="Times New Roman" w:cs="Times New Roman" w:eastAsia="Times New Roman" w:hAnsi="Times New Roman"/>
          <w:sz w:val="14"/>
          <w:szCs w:val="14"/>
          <w:color w:val="008000"/>
        </w:rPr>
        <w:t>Edina, MN 55436</w:t>
      </w:r>
    </w:p>
    <w:p>
      <w:pPr>
        <w:spacing w:after="0"/>
        <w:rPr>
          <w:sz w:val="20"/>
          <w:szCs w:val="20"/>
          <w:color w:val="auto"/>
        </w:rPr>
      </w:pPr>
      <w:r>
        <w:rPr>
          <w:rFonts w:ascii="Times New Roman" w:cs="Times New Roman" w:eastAsia="Times New Roman" w:hAnsi="Times New Roman"/>
          <w:sz w:val="14"/>
          <w:szCs w:val="14"/>
          <w:color w:val="008000"/>
        </w:rPr>
        <w:t>630.277.2330</w:t>
      </w:r>
    </w:p>
    <w:p>
      <w:pPr>
        <w:sectPr>
          <w:pgSz w:w="11900" w:h="16838" w:orient="portrait"/>
          <w:cols w:equalWidth="0" w:num="1">
            <w:col w:w="11420"/>
          </w:cols>
          <w:pgMar w:left="240" w:top="108"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168275</wp:posOffset>
            </wp:positionV>
            <wp:extent cx="2444115" cy="127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244411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with the Public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Oversight Board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our report dual dated March 7, 2018 and May 17, 2018, with respect to the consolidated financial statements of OptimizeRx Corp., in its registration statement on Form S-1 relating to the registration of 1,666,669 shares of common stock, to be filed on or about May 21, 2018. We also consent to the reference of our firm under the caption “interests of named experts and counsel”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023745" cy="368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20237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SADLER, GIBB AND ASSOCIATES,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160020</wp:posOffset>
            </wp:positionV>
            <wp:extent cx="6689090" cy="7029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6689090" cy="702945"/>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2"/>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o"/>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bullet"/>
      <w:start w:val="1"/>
    </w:lvl>
  </w:abstractNum>
  <w:abstractNum w:abstractNumId="38">
    <w:nsid w:val="2CD89A32"/>
    <w:multiLevelType w:val="hybridMultilevel"/>
    <w:lvl w:ilvl="0">
      <w:lvlJc w:val="left"/>
      <w:lvlText w:val="2"/>
      <w:numFmt w:val="bullet"/>
      <w:start w:val="1"/>
    </w:lvl>
  </w:abstractNum>
  <w:abstractNum w:abstractNumId="39">
    <w:nsid w:val="57E4CCAF"/>
    <w:multiLevelType w:val="hybridMultilevel"/>
    <w:lvl w:ilvl="0">
      <w:lvlJc w:val="left"/>
      <w:lvlText w:val="3"/>
      <w:numFmt w:val="bullet"/>
      <w:start w:val="1"/>
    </w:lvl>
  </w:abstractNum>
  <w:abstractNum w:abstractNumId="40">
    <w:nsid w:val="7A6D8D3C"/>
    <w:multiLevelType w:val="hybridMultilevel"/>
    <w:lvl w:ilvl="0">
      <w:lvlJc w:val="left"/>
      <w:lvlText w:val="4"/>
      <w:numFmt w:val="bullet"/>
      <w:start w:val="1"/>
    </w:lvl>
  </w:abstractNum>
  <w:abstractNum w:abstractNumId="41">
    <w:nsid w:val="4B588F54"/>
    <w:multiLevelType w:val="hybridMultilevel"/>
    <w:lvl w:ilvl="0">
      <w:lvlJc w:val="left"/>
      <w:lvlText w:val="5"/>
      <w:numFmt w:val="bullet"/>
      <w:start w:val="1"/>
    </w:lvl>
  </w:abstractNum>
  <w:abstractNum w:abstractNumId="42">
    <w:nsid w:val="542289EC"/>
    <w:multiLevelType w:val="hybridMultilevel"/>
    <w:lvl w:ilvl="0">
      <w:lvlJc w:val="left"/>
      <w:lvlText w:val="6"/>
      <w:numFmt w:val="bullet"/>
      <w:start w:val="1"/>
    </w:lvl>
  </w:abstractNum>
  <w:abstractNum w:abstractNumId="43">
    <w:nsid w:val="6DE91B18"/>
    <w:multiLevelType w:val="hybridMultilevel"/>
    <w:lvl w:ilvl="0">
      <w:lvlJc w:val="left"/>
      <w:lvlText w:val="7"/>
      <w:numFmt w:val="bullet"/>
      <w:start w:val="1"/>
    </w:lvl>
  </w:abstractNum>
  <w:abstractNum w:abstractNumId="44">
    <w:nsid w:val="38437FDB"/>
    <w:multiLevelType w:val="hybridMultilevel"/>
    <w:lvl w:ilvl="0">
      <w:lvlJc w:val="left"/>
      <w:lvlText w:val="8"/>
      <w:numFmt w:val="bullet"/>
      <w:start w:val="1"/>
    </w:lvl>
  </w:abstractNum>
  <w:abstractNum w:abstractNumId="45">
    <w:nsid w:val="7644A45C"/>
    <w:multiLevelType w:val="hybridMultilevel"/>
    <w:lvl w:ilvl="0">
      <w:lvlJc w:val="left"/>
      <w:lvlText w:val="9"/>
      <w:numFmt w:val="bullet"/>
      <w:start w:val="1"/>
    </w:lvl>
  </w:abstractNum>
  <w:abstractNum w:abstractNumId="46">
    <w:nsid w:val="32FFF902"/>
    <w:multiLevelType w:val="hybridMultilevel"/>
    <w:lvl w:ilvl="0">
      <w:lvlJc w:val="left"/>
      <w:lvlText w:val="%1"/>
      <w:numFmt w:val="decimal"/>
      <w:start w:val="10"/>
    </w:lvl>
  </w:abstractNum>
  <w:abstractNum w:abstractNumId="47">
    <w:nsid w:val="684A481A"/>
    <w:multiLevelType w:val="hybridMultilevel"/>
    <w:lvl w:ilvl="0">
      <w:lvlJc w:val="left"/>
      <w:lvlText w:val="(%1)"/>
      <w:numFmt w:val="lowerLetter"/>
      <w:start w:val="1"/>
    </w:lvl>
    <w:lvl w:ilvl="1">
      <w:lvlJc w:val="left"/>
      <w:lvlText w:val="(%2)"/>
      <w:numFmt w:val="lowerRoman"/>
      <w:start w:val="1"/>
    </w:lvl>
  </w:abstractNum>
  <w:abstractNum w:abstractNumId="48">
    <w:nsid w:val="579478FE"/>
    <w:multiLevelType w:val="hybridMultilevel"/>
    <w:lvl w:ilvl="0">
      <w:lvlJc w:val="left"/>
      <w:lvlText w:val="(%1)"/>
      <w:numFmt w:val="lowerRoman"/>
      <w:start w:val="1"/>
    </w:lvl>
    <w:lvl w:ilvl="1">
      <w:lvlJc w:val="left"/>
      <w:lvlText w:val="(%2)"/>
      <w:numFmt w:val="upperLetter"/>
      <w:start w:val="1"/>
    </w:lvl>
  </w:abstractNum>
  <w:abstractNum w:abstractNumId="49">
    <w:nsid w:val="749ABB43"/>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8" Type="http://schemas.openxmlformats.org/officeDocument/2006/relationships/image" Target="media/image109.png"/><Relationship Id="rId121" Type="http://schemas.openxmlformats.org/officeDocument/2006/relationships/image" Target="media/image110.png"/><Relationship Id="rId123" Type="http://schemas.openxmlformats.org/officeDocument/2006/relationships/image" Target="media/image111.png"/><Relationship Id="rId126" Type="http://schemas.openxmlformats.org/officeDocument/2006/relationships/image" Target="media/image112.png"/><Relationship Id="rId129" Type="http://schemas.openxmlformats.org/officeDocument/2006/relationships/image" Target="media/image113.png"/><Relationship Id="rId132" Type="http://schemas.openxmlformats.org/officeDocument/2006/relationships/image" Target="media/image114.png"/><Relationship Id="rId135" Type="http://schemas.openxmlformats.org/officeDocument/2006/relationships/image" Target="media/image115.png"/><Relationship Id="rId138" Type="http://schemas.openxmlformats.org/officeDocument/2006/relationships/image" Target="media/image116.png"/><Relationship Id="rId141" Type="http://schemas.openxmlformats.org/officeDocument/2006/relationships/image" Target="media/image117.png"/><Relationship Id="rId144" Type="http://schemas.openxmlformats.org/officeDocument/2006/relationships/image" Target="media/image118.png"/><Relationship Id="rId147"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jpe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jpeg"/><Relationship Id="rId161" Type="http://schemas.openxmlformats.org/officeDocument/2006/relationships/image" Target="media/image132.jpeg"/><Relationship Id="rId162" Type="http://schemas.openxmlformats.org/officeDocument/2006/relationships/image" Target="media/image133.jpeg"/><Relationship Id="rId163" Type="http://schemas.openxmlformats.org/officeDocument/2006/relationships/image" Target="media/image134.jpeg"/><Relationship Id="rId116" Type="http://schemas.openxmlformats.org/officeDocument/2006/relationships/hyperlink" Target="http://www.sec.gov/Archives/edgar/data/1448431/000136110608000414/optimizerx_s1-ex0301.htm" TargetMode="External"/><Relationship Id="rId117" Type="http://schemas.openxmlformats.org/officeDocument/2006/relationships/hyperlink" Target="http://www.sec.gov/Archives/edgar/data/1448431/000125529410000605/ex3_1.htm" TargetMode="External"/><Relationship Id="rId119" Type="http://schemas.openxmlformats.org/officeDocument/2006/relationships/hyperlink" Target="http://www.sec.gov/Archives/edgar/data/1448431/000136110608000414/optimizerx_s1-ex0401.htm" TargetMode="External"/><Relationship Id="rId120" Type="http://schemas.openxmlformats.org/officeDocument/2006/relationships/hyperlink" Target="http://www.sec.gov/Archives/edgar/data/1448431/000125529410000492/ex4_1.htm" TargetMode="External"/><Relationship Id="rId122" Type="http://schemas.openxmlformats.org/officeDocument/2006/relationships/hyperlink" Target="http://www.sec.gov/Archives/edgar/data/1448431/000125529413000753/ex10_1.htm" TargetMode="External"/><Relationship Id="rId124" Type="http://schemas.openxmlformats.org/officeDocument/2006/relationships/hyperlink" Target="http://www.sec.gov/Archives/edgar/data/1448431/000125529414000204/ex10_1.htm" TargetMode="External"/><Relationship Id="rId125" Type="http://schemas.openxmlformats.org/officeDocument/2006/relationships/hyperlink" Target="http://www.sec.gov/Archives/edgar/data/1448431/000125529414000204/ex10_2.htm" TargetMode="External"/><Relationship Id="rId127" Type="http://schemas.openxmlformats.org/officeDocument/2006/relationships/hyperlink" Target="http://www.sec.gov/Archives/edgar/data/1448431/000125529414000204/ex10_3.htm" TargetMode="External"/><Relationship Id="rId128" Type="http://schemas.openxmlformats.org/officeDocument/2006/relationships/hyperlink" Target="http://www.sec.gov/Archives/edgar/data/1448431/000125529414000402/ex10_19.htm" TargetMode="External"/><Relationship Id="rId130" Type="http://schemas.openxmlformats.org/officeDocument/2006/relationships/hyperlink" Target="http://www.sec.gov/Archives/edgar/data/1448431/000125529414000402/ex10_20.htm" TargetMode="External"/><Relationship Id="rId131" Type="http://schemas.openxmlformats.org/officeDocument/2006/relationships/hyperlink" Target="http://www.sec.gov/Archives/edgar/data/1448431/000121390015007373/f8k092415ex10i_optimizerx.htm" TargetMode="External"/><Relationship Id="rId133" Type="http://schemas.openxmlformats.org/officeDocument/2006/relationships/hyperlink" Target="http://www.sec.gov/Archives/edgar/data/1448431/000121390015007373/f8k092415ex10ii_optimizerx.htm" TargetMode="External"/><Relationship Id="rId134" Type="http://schemas.openxmlformats.org/officeDocument/2006/relationships/hyperlink" Target="http://www.sec.gov/Archives/edgar/data/1448431/000121390015007373/f8k092415ex10iii_optimizerx.htm" TargetMode="External"/><Relationship Id="rId136" Type="http://schemas.openxmlformats.org/officeDocument/2006/relationships/hyperlink" Target="http://www.sec.gov/Archives/edgar/data/1448431/000121390016010017/f8k010416ex10i_optimizerx.htm" TargetMode="External"/><Relationship Id="rId137" Type="http://schemas.openxmlformats.org/officeDocument/2006/relationships/hyperlink" Target="http://www.sec.gov/Archives/edgar/data/1448431/000121390016011106/f8k021216ex10i_optimizerx.htm" TargetMode="External"/><Relationship Id="rId139" Type="http://schemas.openxmlformats.org/officeDocument/2006/relationships/hyperlink" Target="http://www.sec.gov/Archives/edgar/data/1448431/000121390016013077/f10q0316ex10i_optimizerx.htm" TargetMode="External"/><Relationship Id="rId140" Type="http://schemas.openxmlformats.org/officeDocument/2006/relationships/hyperlink" Target="http://www.sec.gov/Archives/edgar/data/1448431/000121390016014498/f8k062216ex10i_optimizerx.htm" TargetMode="External"/><Relationship Id="rId142" Type="http://schemas.openxmlformats.org/officeDocument/2006/relationships/hyperlink" Target="http://www.sec.gov/Archives/edgar/data/1448431/000121390016014498/f8k062216ex10ii_optimizerx.htm" TargetMode="External"/><Relationship Id="rId143" Type="http://schemas.openxmlformats.org/officeDocument/2006/relationships/hyperlink" Target="http://www.sec.gov/Archives/edgar/data/1448431/000121390016014498/f8k062216ex10iii_optimizerx.htm" TargetMode="External"/><Relationship Id="rId145" Type="http://schemas.openxmlformats.org/officeDocument/2006/relationships/hyperlink" Target="http://www.sec.gov/Archives/edgar/data/1448431/000121390018005414/f10q0318ex10-1_optimizerx.htm" TargetMode="External"/><Relationship Id="rId146" Type="http://schemas.openxmlformats.org/officeDocument/2006/relationships/hyperlink" Target="http://www.sec.gov/Archives/edgar/data/1448431/000121390018005414/f10q0318ex10-2_optimizerx.htm" TargetMode="External"/><Relationship Id="rId148" Type="http://schemas.openxmlformats.org/officeDocument/2006/relationships/hyperlink" Target="http://www.sec.gov/Archives/edgar/data/1448431/000136110608000414/optimizerx_s1-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2019-12-07T15:07:39Z</dcterms:created>
  <dcterms:modified xsi:type="dcterms:W3CDTF">2019-12-07T15:07:39Z</dcterms:modified>
</cp:coreProperties>
</file>