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4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4860" w:type="dxa"/>
            <w:vAlign w:val="bottom"/>
            <w:gridSpan w:val="9"/>
          </w:tcPr>
          <w:p>
            <w:pPr>
              <w:jc w:val="center"/>
              <w:ind w:left="90"/>
              <w:spacing w:after="0"/>
              <w:rPr>
                <w:sz w:val="20"/>
                <w:szCs w:val="20"/>
                <w:color w:val="auto"/>
              </w:rPr>
            </w:pPr>
            <w:r>
              <w:rPr>
                <w:rFonts w:ascii="Arial" w:cs="Arial" w:eastAsia="Arial" w:hAnsi="Arial"/>
                <w:sz w:val="18"/>
                <w:szCs w:val="18"/>
                <w:color w:val="auto"/>
                <w:w w:val="91"/>
              </w:rPr>
              <w:t>Date of Report (Date of earliest event reported): July 7, 2020</w:t>
            </w:r>
          </w:p>
        </w:tc>
        <w:tc>
          <w:tcPr>
            <w:tcW w:w="3280" w:type="dxa"/>
            <w:vAlign w:val="bottom"/>
          </w:tcPr>
          <w:p>
            <w:pPr>
              <w:spacing w:after="0"/>
              <w:rPr>
                <w:sz w:val="24"/>
                <w:szCs w:val="24"/>
                <w:color w:val="auto"/>
              </w:rPr>
            </w:pPr>
          </w:p>
        </w:tc>
      </w:tr>
      <w:tr>
        <w:trPr>
          <w:trHeight w:val="391"/>
        </w:trPr>
        <w:tc>
          <w:tcPr>
            <w:tcW w:w="3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color w:val="auto"/>
                <w:w w:val="93"/>
              </w:rPr>
              <w:t>OptimizeRx Corporation</w:t>
            </w:r>
          </w:p>
        </w:tc>
        <w:tc>
          <w:tcPr>
            <w:tcW w:w="3280" w:type="dxa"/>
            <w:vAlign w:val="bottom"/>
          </w:tcPr>
          <w:p>
            <w:pPr>
              <w:spacing w:after="0"/>
              <w:rPr>
                <w:sz w:val="24"/>
                <w:szCs w:val="24"/>
                <w:color w:val="auto"/>
              </w:rPr>
            </w:pPr>
          </w:p>
        </w:tc>
      </w:tr>
      <w:tr>
        <w:trPr>
          <w:trHeight w:val="20"/>
        </w:trPr>
        <w:tc>
          <w:tcPr>
            <w:tcW w:w="3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37"/>
        </w:trPr>
        <w:tc>
          <w:tcPr>
            <w:tcW w:w="3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40" w:type="dxa"/>
            <w:vAlign w:val="bottom"/>
            <w:gridSpan w:val="8"/>
          </w:tcPr>
          <w:p>
            <w:pPr>
              <w:jc w:val="center"/>
              <w:ind w:right="44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53"/>
        </w:trPr>
        <w:tc>
          <w:tcPr>
            <w:tcW w:w="3100" w:type="dxa"/>
            <w:vAlign w:val="bottom"/>
          </w:tcPr>
          <w:p>
            <w:pPr>
              <w:jc w:val="center"/>
              <w:ind w:left="530"/>
              <w:spacing w:after="0"/>
              <w:rPr>
                <w:sz w:val="20"/>
                <w:szCs w:val="20"/>
                <w:color w:val="auto"/>
              </w:rPr>
            </w:pPr>
            <w:r>
              <w:rPr>
                <w:rFonts w:ascii="Arial" w:cs="Arial" w:eastAsia="Arial" w:hAnsi="Arial"/>
                <w:sz w:val="18"/>
                <w:szCs w:val="18"/>
                <w:color w:val="auto"/>
                <w:w w:val="90"/>
              </w:rPr>
              <w:t>Nevada</w:t>
            </w:r>
          </w:p>
        </w:tc>
        <w:tc>
          <w:tcPr>
            <w:tcW w:w="3420" w:type="dxa"/>
            <w:vAlign w:val="bottom"/>
            <w:gridSpan w:val="6"/>
          </w:tcPr>
          <w:p>
            <w:pPr>
              <w:jc w:val="center"/>
              <w:ind w:left="155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jc w:val="center"/>
              <w:ind w:right="330"/>
              <w:spacing w:after="0"/>
              <w:rPr>
                <w:sz w:val="20"/>
                <w:szCs w:val="20"/>
                <w:color w:val="auto"/>
              </w:rPr>
            </w:pPr>
            <w:r>
              <w:rPr>
                <w:rFonts w:ascii="Arial" w:cs="Arial" w:eastAsia="Arial" w:hAnsi="Arial"/>
                <w:sz w:val="18"/>
                <w:szCs w:val="18"/>
                <w:color w:val="auto"/>
                <w:w w:val="89"/>
              </w:rPr>
              <w:t>26-1265381</w:t>
            </w:r>
          </w:p>
        </w:tc>
      </w:tr>
      <w:tr>
        <w:trPr>
          <w:trHeight w:val="202"/>
        </w:trPr>
        <w:tc>
          <w:tcPr>
            <w:tcW w:w="310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1"/>
              </w:rPr>
              <w:t>(State or other jurisdiction</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3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00" w:type="dxa"/>
            <w:vAlign w:val="bottom"/>
          </w:tcPr>
          <w:p>
            <w:pPr>
              <w:jc w:val="center"/>
              <w:ind w:left="550"/>
              <w:spacing w:after="0"/>
              <w:rPr>
                <w:sz w:val="20"/>
                <w:szCs w:val="20"/>
                <w:color w:val="auto"/>
              </w:rPr>
            </w:pPr>
            <w:r>
              <w:rPr>
                <w:rFonts w:ascii="Arial" w:cs="Arial" w:eastAsia="Arial" w:hAnsi="Arial"/>
                <w:sz w:val="18"/>
                <w:szCs w:val="18"/>
                <w:color w:val="auto"/>
                <w:w w:val="93"/>
              </w:rPr>
              <w:t>of incorporation)</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960" w:type="dxa"/>
            <w:vAlign w:val="bottom"/>
            <w:gridSpan w:val="10"/>
          </w:tcPr>
          <w:p>
            <w:pPr>
              <w:jc w:val="center"/>
              <w:ind w:right="2440"/>
              <w:spacing w:after="0"/>
              <w:rPr>
                <w:sz w:val="20"/>
                <w:szCs w:val="20"/>
                <w:color w:val="auto"/>
              </w:rPr>
            </w:pPr>
            <w:r>
              <w:rPr>
                <w:rFonts w:ascii="Arial" w:cs="Arial" w:eastAsia="Arial" w:hAnsi="Arial"/>
                <w:sz w:val="18"/>
                <w:szCs w:val="18"/>
                <w:color w:val="auto"/>
                <w:w w:val="89"/>
              </w:rPr>
              <w:t>400 Water Street, Suite 200, Rochester, MI</w:t>
            </w:r>
          </w:p>
        </w:tc>
        <w:tc>
          <w:tcPr>
            <w:tcW w:w="328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1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46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29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Trading symbol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16"/>
        </w:trPr>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8"/>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439"/>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July 7, 2020, we issued a press release announcing that we have secured two new SaaS-based enterprise-level engagements that provide the full spectrum of access to our nationwide digital healthcare platform.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July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7,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154305</wp:posOffset>
            </wp:positionV>
            <wp:extent cx="349758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Sales Momentum Continues with Two New Enterprise-level Engagements Added to its Digital Health Platform</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ROCHESTER, Mich. – July 7, 2020 – </w:t>
      </w:r>
      <w:r>
        <w:rPr>
          <w:rFonts w:ascii="Arial" w:cs="Arial" w:eastAsia="Arial" w:hAnsi="Arial"/>
          <w:sz w:val="18"/>
          <w:szCs w:val="18"/>
          <w:color w:val="auto"/>
        </w:rPr>
        <w:t>OptimizeRx Corp. (Nasdaq: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payers, has secured two new SaaS-based enterprise-level engagements that provide the full spectrum of access to the company’s nationwide digital healthcare platform.</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win represents a new platform client and the other the transition of a legacy client to the company’s new enterprise solution suite. The two deals have on average an annual contract value of $3.6 million.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wins demonstrate the exceptional capabilities and reach of our solutions and their proven ability to deliver value to our clients,” said OptimizeRx chief commercial officer, Steve Silvestro. “Our enterprise engagements have been producing strong results due to the improved interoperability between our point-of-care and direct-to-patient solutions, with this all working together to deliver better outcomes for patients.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pharma continues to see restricted travel and limited patient access to healthcare providers due to COVID-19, our platform has become a ‘must-have’ solution for maintaining the flow of critical communications between industry and healthcare providers regardless of location.”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OptimizeRx’s newly integrated digital health platform enables unprecedented transparency into patient medication behavior, and provides access to patient-provider-pharma communications across the care continuum and in a variety of care settings. By improving these communications, pharmaceutical companies, healthcare providers and payers can more efficiently and effectively address patient medication affordability and therapeutic adherence.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OptimizeRx CEO, William Febbo, commented: “We are encouraged by the continued conversion of our pipeline of enterprise-level opportunities and the resulting buildup in recurring revenue. As these more expansive enterprise deployments better address the need for greater digital connectivity, they also provide us more revenue per customer and a more consistent revenue stream.”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up-sell opportunity for converting just our legacy clients from individual solutions to enterprise platform engagements remains greater than $100 million,” added Febbo. “While naturally this will not be realized overnight, these two wins, making it six in total so far in 2020, demonstrate the strength of our new sales team and solid results from our integrated platform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2020-07-07T15:24:44Z</dcterms:created>
  <dcterms:modified xsi:type="dcterms:W3CDTF">2020-07-07T15:24:44Z</dcterms:modified>
</cp:coreProperties>
</file>