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22,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Nevada</w:t>
            </w:r>
          </w:p>
        </w:tc>
        <w:tc>
          <w:tcPr>
            <w:tcW w:w="39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001-38543</w:t>
            </w:r>
          </w:p>
        </w:tc>
        <w:tc>
          <w:tcPr>
            <w:tcW w:w="260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26-1265381</w:t>
            </w:r>
          </w:p>
        </w:tc>
        <w:tc>
          <w:tcPr>
            <w:tcW w:w="780" w:type="dxa"/>
            <w:vAlign w:val="bottom"/>
            <w:tcBorders>
              <w:bottom w:val="single" w:sz="8" w:color="auto"/>
            </w:tcBorders>
          </w:tcPr>
          <w:p>
            <w:pPr>
              <w:spacing w:after="0"/>
              <w:rPr>
                <w:sz w:val="20"/>
                <w:szCs w:val="20"/>
                <w:color w:val="auto"/>
              </w:rPr>
            </w:pPr>
          </w:p>
        </w:tc>
      </w:tr>
      <w:tr>
        <w:trPr>
          <w:trHeight w:val="195"/>
        </w:trPr>
        <w:tc>
          <w:tcPr>
            <w:tcW w:w="3940" w:type="dxa"/>
            <w:vAlign w:val="bottom"/>
          </w:tcPr>
          <w:p>
            <w:pPr>
              <w:jc w:val="center"/>
              <w:ind w:left="30"/>
              <w:spacing w:after="0" w:line="195" w:lineRule="exact"/>
              <w:rPr>
                <w:sz w:val="20"/>
                <w:szCs w:val="20"/>
                <w:color w:val="auto"/>
              </w:rPr>
            </w:pPr>
            <w:r>
              <w:rPr>
                <w:rFonts w:ascii="Arial" w:cs="Arial" w:eastAsia="Arial" w:hAnsi="Arial"/>
                <w:sz w:val="18"/>
                <w:szCs w:val="18"/>
                <w:color w:val="auto"/>
                <w:w w:val="92"/>
              </w:rPr>
              <w:t>(State or other jurisdiction</w:t>
            </w:r>
          </w:p>
        </w:tc>
        <w:tc>
          <w:tcPr>
            <w:tcW w:w="392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3380" w:type="dxa"/>
            <w:vAlign w:val="bottom"/>
            <w:gridSpan w:val="2"/>
          </w:tcPr>
          <w:p>
            <w:pPr>
              <w:ind w:left="1100"/>
              <w:spacing w:after="0" w:line="195" w:lineRule="exact"/>
              <w:rPr>
                <w:sz w:val="20"/>
                <w:szCs w:val="20"/>
                <w:color w:val="auto"/>
              </w:rPr>
            </w:pPr>
            <w:r>
              <w:rPr>
                <w:rFonts w:ascii="Arial" w:cs="Arial" w:eastAsia="Arial" w:hAnsi="Arial"/>
                <w:sz w:val="18"/>
                <w:szCs w:val="18"/>
                <w:color w:val="auto"/>
              </w:rPr>
              <w:t>(IRS Employer</w:t>
            </w:r>
          </w:p>
        </w:tc>
      </w:tr>
      <w:tr>
        <w:trPr>
          <w:trHeight w:val="230"/>
        </w:trPr>
        <w:tc>
          <w:tcPr>
            <w:tcW w:w="3940" w:type="dxa"/>
            <w:vAlign w:val="bottom"/>
          </w:tcPr>
          <w:p>
            <w:pPr>
              <w:jc w:val="center"/>
              <w:ind w:left="30"/>
              <w:spacing w:after="0"/>
              <w:rPr>
                <w:sz w:val="20"/>
                <w:szCs w:val="20"/>
                <w:color w:val="auto"/>
              </w:rPr>
            </w:pPr>
            <w:r>
              <w:rPr>
                <w:rFonts w:ascii="Arial" w:cs="Arial" w:eastAsia="Arial" w:hAnsi="Arial"/>
                <w:sz w:val="18"/>
                <w:szCs w:val="18"/>
                <w:color w:val="auto"/>
                <w:w w:val="93"/>
              </w:rPr>
              <w:t>of incorporation)</w:t>
            </w:r>
          </w:p>
        </w:tc>
        <w:tc>
          <w:tcPr>
            <w:tcW w:w="3920" w:type="dxa"/>
            <w:vAlign w:val="bottom"/>
          </w:tcPr>
          <w:p>
            <w:pPr>
              <w:spacing w:after="0"/>
              <w:rPr>
                <w:sz w:val="20"/>
                <w:szCs w:val="20"/>
                <w:color w:val="auto"/>
              </w:rPr>
            </w:pPr>
          </w:p>
        </w:tc>
        <w:tc>
          <w:tcPr>
            <w:tcW w:w="3380" w:type="dxa"/>
            <w:vAlign w:val="bottom"/>
            <w:gridSpan w:val="2"/>
          </w:tcPr>
          <w:p>
            <w:pPr>
              <w:ind w:left="960"/>
              <w:spacing w:after="0"/>
              <w:rPr>
                <w:sz w:val="20"/>
                <w:szCs w:val="20"/>
                <w:color w:val="auto"/>
              </w:rPr>
            </w:pPr>
            <w:r>
              <w:rPr>
                <w:rFonts w:ascii="Arial" w:cs="Arial" w:eastAsia="Arial" w:hAnsi="Arial"/>
                <w:sz w:val="18"/>
                <w:szCs w:val="18"/>
                <w:color w:val="auto"/>
              </w:rPr>
              <w:t>Identification No.)</w:t>
            </w:r>
          </w:p>
        </w:tc>
      </w:tr>
      <w:tr>
        <w:trPr>
          <w:trHeight w:val="648"/>
        </w:trPr>
        <w:tc>
          <w:tcPr>
            <w:tcW w:w="78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26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48307</w:t>
            </w:r>
          </w:p>
        </w:tc>
        <w:tc>
          <w:tcPr>
            <w:tcW w:w="780" w:type="dxa"/>
            <w:vAlign w:val="bottom"/>
          </w:tcPr>
          <w:p>
            <w:pPr>
              <w:spacing w:after="0"/>
              <w:rPr>
                <w:sz w:val="24"/>
                <w:szCs w:val="24"/>
                <w:color w:val="auto"/>
              </w:rPr>
            </w:pPr>
          </w:p>
        </w:tc>
      </w:tr>
      <w:tr>
        <w:trPr>
          <w:trHeight w:val="224"/>
        </w:trPr>
        <w:tc>
          <w:tcPr>
            <w:tcW w:w="786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ind w:left="1020"/>
              <w:spacing w:after="0"/>
              <w:rPr>
                <w:sz w:val="20"/>
                <w:szCs w:val="20"/>
                <w:color w:val="auto"/>
              </w:rPr>
            </w:pPr>
            <w:r>
              <w:rPr>
                <w:rFonts w:ascii="Arial" w:cs="Arial" w:eastAsia="Arial" w:hAnsi="Arial"/>
                <w:sz w:val="18"/>
                <w:szCs w:val="18"/>
                <w:color w:val="auto"/>
              </w:rPr>
              <w:t>(Zip Code)</w:t>
            </w:r>
          </w:p>
        </w:tc>
        <w:tc>
          <w:tcPr>
            <w:tcW w:w="780" w:type="dxa"/>
            <w:vAlign w:val="bottom"/>
          </w:tcPr>
          <w:p>
            <w:pPr>
              <w:spacing w:after="0"/>
              <w:rPr>
                <w:sz w:val="19"/>
                <w:szCs w:val="19"/>
                <w:color w:val="auto"/>
              </w:rPr>
            </w:pPr>
          </w:p>
        </w:tc>
      </w:tr>
    </w:tbl>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wp:posOffset>
            </wp:positionV>
            <wp:extent cx="2383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221E1F"/>
                <w:w w:val="95"/>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24"/>
                <w:szCs w:val="24"/>
                <w:color w:val="auto"/>
              </w:rPr>
            </w:pPr>
          </w:p>
        </w:tc>
      </w:tr>
      <w:tr>
        <w:trPr>
          <w:trHeight w:val="234"/>
        </w:trPr>
        <w:tc>
          <w:tcPr>
            <w:tcW w:w="4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18"/>
                <w:szCs w:val="18"/>
                <w:color w:val="auto"/>
              </w:rPr>
            </w:pPr>
          </w:p>
        </w:tc>
        <w:tc>
          <w:tcPr>
            <w:tcW w:w="5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0" w:lineRule="exact"/>
        <w:rPr>
          <w:sz w:val="24"/>
          <w:szCs w:val="24"/>
          <w:color w:val="auto"/>
        </w:rPr>
      </w:pPr>
    </w:p>
    <w:p>
      <w:pPr>
        <w:spacing w:after="0" w:line="218" w:lineRule="exact"/>
        <w:rPr>
          <w:sz w:val="24"/>
          <w:szCs w:val="24"/>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description of the Amended and Restated Bylaws (as defined below) included under Item 5.03 of this Current Report on Form 8-K is incorporated into this Item 3.03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June 22, 2021, the Board of Directors (the “Board”) of OptimizeRx Corporation (the “Corporation”) approved the Second Amended and Restated Bylaws of the Corporation (the “Amended and Restated Bylaws”) to modernize and update the Company’s bylaws to (a) conform to Nevada law;</w:t>
      </w:r>
    </w:p>
    <w:p>
      <w:pPr>
        <w:ind w:right="18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 developments in public company governance; (c) remove certain outdated provisions; (d) clarify certain corporate procedures; and (e) conform language and style. The Amended and Restated Bylaws became effective immediately upon their adoption by the Board. The Amended and Restated Bylaws, among other things:</w:t>
      </w:r>
    </w:p>
    <w:p>
      <w:pPr>
        <w:spacing w:after="0" w:line="81" w:lineRule="exact"/>
        <w:rPr>
          <w:rFonts w:ascii="Arial" w:cs="Arial" w:eastAsia="Arial" w:hAnsi="Arial"/>
          <w:sz w:val="18"/>
          <w:szCs w:val="18"/>
          <w:color w:val="auto"/>
        </w:rPr>
      </w:pPr>
    </w:p>
    <w:p>
      <w:pPr>
        <w:ind w:left="980" w:right="20" w:hanging="324"/>
        <w:spacing w:after="0" w:line="255"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provide that special meetings of stockholders may be called by the Chairperson or the Chief Executive Officer of the Corporation and must be called by the Secretary of the Corporation upon the written request of at least a majority of the Board or stockholders who together own of record not less than 50.1% of the issued and outstanding capital stock of the Corporation entitled to vote at such meeting (the prior bylaw provision provided that a special meeting could be called by the President of the Corporation and must be called at the request of a majority of the Board or of stockholders who together hold at least 50.1% of the entire issued and outstanding capital stock of the Corporation and are entitled to vote);</w:t>
      </w:r>
    </w:p>
    <w:p>
      <w:pPr>
        <w:spacing w:after="0" w:line="84" w:lineRule="exact"/>
        <w:rPr>
          <w:rFonts w:ascii="Arial" w:cs="Arial" w:eastAsia="Arial" w:hAnsi="Arial"/>
          <w:sz w:val="18"/>
          <w:szCs w:val="18"/>
          <w:color w:val="auto"/>
        </w:rPr>
      </w:pPr>
    </w:p>
    <w:p>
      <w:pPr>
        <w:ind w:left="980" w:right="54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expressly state that a meeting of stockholders can be held via electronic communications, videoconferencing, teleconferencing or other available technology;</w:t>
      </w:r>
    </w:p>
    <w:p>
      <w:pPr>
        <w:spacing w:after="0" w:line="62" w:lineRule="exact"/>
        <w:rPr>
          <w:rFonts w:ascii="Arial" w:cs="Arial" w:eastAsia="Arial" w:hAnsi="Arial"/>
          <w:sz w:val="18"/>
          <w:szCs w:val="18"/>
          <w:color w:val="auto"/>
        </w:rPr>
      </w:pPr>
    </w:p>
    <w:p>
      <w:pPr>
        <w:ind w:left="980" w:right="34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provide that notice must be given to stockholders not less than 10 nor more than 60 days prior to a meeting (the prior bylaw provision had provided that notice be delivered not less than 14 nor more than 60 days prior to a meeting);</w:t>
      </w:r>
    </w:p>
    <w:p>
      <w:pPr>
        <w:spacing w:after="0" w:line="62" w:lineRule="exact"/>
        <w:rPr>
          <w:rFonts w:ascii="Arial" w:cs="Arial" w:eastAsia="Arial" w:hAnsi="Arial"/>
          <w:sz w:val="18"/>
          <w:szCs w:val="18"/>
          <w:color w:val="auto"/>
        </w:rPr>
      </w:pPr>
    </w:p>
    <w:p>
      <w:pPr>
        <w:ind w:left="980" w:right="50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provide that, pursuant to Nevada law, certain forms of electronic transmission may be used for communications and notices by or to the Company, directors and stockholders</w:t>
      </w:r>
    </w:p>
    <w:p>
      <w:pPr>
        <w:spacing w:after="0" w:line="62" w:lineRule="exact"/>
        <w:rPr>
          <w:rFonts w:ascii="Arial" w:cs="Arial" w:eastAsia="Arial" w:hAnsi="Arial"/>
          <w:sz w:val="18"/>
          <w:szCs w:val="18"/>
          <w:color w:val="auto"/>
        </w:rPr>
      </w:pPr>
    </w:p>
    <w:p>
      <w:pPr>
        <w:ind w:left="980" w:right="100" w:hanging="324"/>
        <w:spacing w:after="0" w:line="26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 a new provision which provides that the Board may fix in advance, consistent with Nevada law, a record date for the purpose of determining stockholders entitled to notice of and to vote at any meeting of stockholders or any adjournment or postponement thereof, which shall not be more than 60 days nor less than 10 days before the date of the meeting;</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add advance notice provisions that apply to stockholder nominations or proposals in connection with annual and special stockholder meetings;</w:t>
      </w:r>
    </w:p>
    <w:p>
      <w:pPr>
        <w:spacing w:after="0" w:line="140" w:lineRule="exact"/>
        <w:rPr>
          <w:rFonts w:ascii="Arial" w:cs="Arial" w:eastAsia="Arial" w:hAnsi="Arial"/>
          <w:sz w:val="16"/>
          <w:szCs w:val="16"/>
          <w:color w:val="auto"/>
        </w:rPr>
      </w:pPr>
    </w:p>
    <w:p>
      <w:pPr>
        <w:ind w:left="980" w:right="80" w:hanging="324"/>
        <w:spacing w:after="0" w:line="272"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adjust the voting standard to be consistent with the default voting provision under Nevada law, and, accordingly, provide that when a quorum is present at any meeting of stockholders, an action by the stockholders (other than the election of directors) is approved if the number of votes cast in favor of the action exceeds the number of votes cast in opposition to the action unless a different vote is required pursuant to the Corporation’s articles of incorporation, Amended and Restated Bylaws, the rules or regulations of any stock exchange applicable to the Corporation, or applicable law (the prior bylaw provision provided that the vote of the holders of a majority of the stock having voting power present in person or represented by proxy shall decide any question brought before a meeting, unless the question is one upon which by express provision of the statutes or of the incorporating documents, a different vote is required);</w:t>
      </w:r>
    </w:p>
    <w:p>
      <w:pPr>
        <w:spacing w:after="0" w:line="69" w:lineRule="exact"/>
        <w:rPr>
          <w:rFonts w:ascii="Arial" w:cs="Arial" w:eastAsia="Arial" w:hAnsi="Arial"/>
          <w:sz w:val="17"/>
          <w:szCs w:val="17"/>
          <w:color w:val="auto"/>
        </w:rPr>
      </w:pPr>
    </w:p>
    <w:p>
      <w:pPr>
        <w:ind w:left="980" w:right="60" w:hanging="324"/>
        <w:spacing w:after="0" w:line="255"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revise the removal of director provision to be consistent with Nevada law and, accordingly, provide that subject to any rights of the holders of preferred stock, if any, and except as otherwise provided in Nevada law, any director or the entire Board may be removed by a vote of stockholders representing not less than two-thirds of the voting power of the issued and outstanding stock entitled to vote at a stockholders meeting (the prior bylaw provision provided that, subject to the Corporation’s articles of incorporation and any certificate of designation, any director or the entire Board could be removed, with or without cause, by a majority vote of the Corporation’s issued and outstanding shares eligible to vote);</w:t>
      </w:r>
    </w:p>
    <w:p>
      <w:pPr>
        <w:spacing w:after="0" w:line="84"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 new provisions related to the conduct of stockholder meetings and removed the ability of stockholders to take action by written consent in lieu of a meeting;</w:t>
      </w:r>
    </w:p>
    <w:p>
      <w:pPr>
        <w:spacing w:after="0" w:line="62" w:lineRule="exact"/>
        <w:rPr>
          <w:rFonts w:ascii="Arial" w:cs="Arial" w:eastAsia="Arial" w:hAnsi="Arial"/>
          <w:sz w:val="18"/>
          <w:szCs w:val="18"/>
          <w:color w:val="auto"/>
        </w:rPr>
      </w:pPr>
    </w:p>
    <w:p>
      <w:pPr>
        <w:ind w:left="980" w:right="120" w:hanging="324"/>
        <w:spacing w:after="0" w:line="25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amend the indemnification provisions to clarify the scope and nature of the indemnification rights granted by the Company and add a provision which requires the Corporation to pay the expenses of directors and officers incurred in defending a proceeding involving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w:t>
      </w:r>
    </w:p>
    <w:p>
      <w:pPr>
        <w:spacing w:after="0" w:line="79" w:lineRule="exact"/>
        <w:rPr>
          <w:rFonts w:ascii="Arial" w:cs="Arial" w:eastAsia="Arial" w:hAnsi="Arial"/>
          <w:sz w:val="18"/>
          <w:szCs w:val="18"/>
          <w:color w:val="auto"/>
        </w:rPr>
      </w:pPr>
    </w:p>
    <w:p>
      <w:pPr>
        <w:ind w:left="980" w:right="20" w:hanging="324"/>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 a provision which provides that any amendments to the indemnification provisions contained in the Amended and Restated Bylaws which limit or reduce the indemnification must be approved by the unanimous vote of the directors of the Corporation then serving or by the vote of stockholders representing not less than two-thirds of the voting power of the issued and outstanding stock entitled to vote at a stockholders meeting;</w:t>
      </w:r>
    </w:p>
    <w:p>
      <w:pPr>
        <w:spacing w:after="0" w:line="78" w:lineRule="exact"/>
        <w:rPr>
          <w:rFonts w:ascii="Arial" w:cs="Arial" w:eastAsia="Arial" w:hAnsi="Arial"/>
          <w:sz w:val="18"/>
          <w:szCs w:val="18"/>
          <w:color w:val="auto"/>
        </w:rPr>
      </w:pPr>
    </w:p>
    <w:p>
      <w:pPr>
        <w:ind w:left="980" w:right="100" w:hanging="324"/>
        <w:spacing w:after="0" w:line="275"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provide that, except as otherwise provided by the Amended and Restated Bylaws, the bylaws may be amended, revised, or repealed or new bylaws may be adopted only by the vote of a majority of the Board or stockholders representing not less than a majority of the voting power of the issued and outstanding stock entitled to vote at a stockholders meeting (the prior bylaw provision provided that the bylaws may be amended, revised, or repealed or new bylaws may be adopted by a majority of the stockholders at a legal meeting of the stockholders entitled to vote or by a resolution adopted by a majority of the directors then in office); and</w:t>
      </w:r>
    </w:p>
    <w:p>
      <w:pPr>
        <w:spacing w:after="0" w:line="68" w:lineRule="exact"/>
        <w:rPr>
          <w:rFonts w:ascii="Arial" w:cs="Arial" w:eastAsia="Arial" w:hAnsi="Arial"/>
          <w:sz w:val="17"/>
          <w:szCs w:val="17"/>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 a forum selection clause.</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of the Amended and Restated Bylaws does not purport to be complete and is qualified in its entirety by the full text of the Amended and Restated Bylaws, which are attached as Exhibit 3.1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22, 2021, the Board adopted revisions to the Corporation’s Code of Business Conduct and Ethics (the “Code”) applicable to the Corporation’s directors, officers, and employees. The revisions to the Code were adopted to reflect current best practices, improve readability, promote awareness of ethical issues that may be encountered in carrying out an employee's or a director's responsibilities, and more clearly communicate the Corporation’s expectations regarding ethical business conduct. The new Code updated and clarified topics previously addressed in the prior Code, including conflicts of interest, corporate opportunities, confidential information, protection of corporate assets, fair employment practices, financial reports, and anti-corruption and anti-bribery laws. The Code also includes other clarifying, administrative and non-substantive revisions.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adoption of the revisions to the Code did not relate to or result in any waiver, whether explicit or implicit, of any provision of the Code.</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description of revisions to the Code does not purport to be complete and is qualified in its entirety by the full text of the Code, which is attached as Exhibit 14.1 hereto and incorporated herein by reference. The Code is also available on the Corporation’s website at www.optimizerx.com. Information contained on, or that can be accessed through, the Corporation’s website does not constitute a part of this Report and is not incorporated by reference herein.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30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2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9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0220" w:type="dxa"/>
            <w:vAlign w:val="bottom"/>
            <w:tcBorders>
              <w:top w:val="single" w:sz="8" w:color="auto"/>
            </w:tcBorders>
            <w:gridSpan w:val="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Second Amended and Restated Bylaws of OptimizeRx Corporation</w:t>
              </w:r>
            </w:hyperlink>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860" w:type="dxa"/>
            <w:vAlign w:val="bottom"/>
            <w:tcBorders>
              <w:top w:val="single" w:sz="8" w:color="0000EE"/>
            </w:tcBorders>
            <w:gridSpan w:val="2"/>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OptimizeRx Corporation Code of Business Conduct and Ethics</w:t>
              </w:r>
            </w:hyperlink>
          </w:p>
        </w:tc>
        <w:tc>
          <w:tcPr>
            <w:tcW w:w="5360" w:type="dxa"/>
            <w:vAlign w:val="bottom"/>
          </w:tcPr>
          <w:p>
            <w:pPr>
              <w:spacing w:after="0"/>
              <w:rPr>
                <w:sz w:val="19"/>
                <w:szCs w:val="19"/>
                <w:color w:val="auto"/>
              </w:rPr>
            </w:pPr>
          </w:p>
        </w:tc>
      </w:tr>
      <w:tr>
        <w:trPr>
          <w:trHeight w:val="615"/>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960" w:type="dxa"/>
            <w:vAlign w:val="bottom"/>
            <w:gridSpan w:val="2"/>
          </w:tcPr>
          <w:p>
            <w:pPr>
              <w:ind w:left="2820"/>
              <w:spacing w:after="0"/>
              <w:rPr>
                <w:sz w:val="20"/>
                <w:szCs w:val="20"/>
                <w:color w:val="auto"/>
              </w:rPr>
            </w:pPr>
            <w:r>
              <w:rPr>
                <w:rFonts w:ascii="Arial" w:cs="Arial" w:eastAsia="Arial" w:hAnsi="Arial"/>
                <w:sz w:val="18"/>
                <w:szCs w:val="18"/>
                <w:b w:val="1"/>
                <w:bCs w:val="1"/>
                <w:color w:val="auto"/>
              </w:rPr>
              <w:t>OPTIMIZERX CORPORATION</w:t>
            </w:r>
          </w:p>
        </w:tc>
      </w:tr>
      <w:tr>
        <w:trPr>
          <w:trHeight w:val="648"/>
        </w:trPr>
        <w:tc>
          <w:tcPr>
            <w:tcW w:w="4280" w:type="dxa"/>
            <w:vAlign w:val="bottom"/>
          </w:tcPr>
          <w:p>
            <w:pPr>
              <w:spacing w:after="0"/>
              <w:rPr>
                <w:sz w:val="20"/>
                <w:szCs w:val="20"/>
                <w:color w:val="auto"/>
              </w:rPr>
            </w:pPr>
            <w:r>
              <w:rPr>
                <w:rFonts w:ascii="Arial" w:cs="Arial" w:eastAsia="Arial" w:hAnsi="Arial"/>
                <w:sz w:val="18"/>
                <w:szCs w:val="18"/>
                <w:color w:val="auto"/>
              </w:rPr>
              <w:t>Date: June 25, 2021</w:t>
            </w:r>
          </w:p>
        </w:tc>
        <w:tc>
          <w:tcPr>
            <w:tcW w:w="6960" w:type="dxa"/>
            <w:vAlign w:val="bottom"/>
            <w:gridSpan w:val="2"/>
          </w:tcPr>
          <w:p>
            <w:pPr>
              <w:ind w:left="2820"/>
              <w:spacing w:after="0"/>
              <w:rPr>
                <w:sz w:val="20"/>
                <w:szCs w:val="20"/>
                <w:color w:val="auto"/>
              </w:rPr>
            </w:pPr>
            <w:r>
              <w:rPr>
                <w:rFonts w:ascii="Arial" w:cs="Arial" w:eastAsia="Arial" w:hAnsi="Arial"/>
                <w:sz w:val="18"/>
                <w:szCs w:val="18"/>
                <w:color w:val="auto"/>
              </w:rPr>
              <w:t>By: /s/ Doug Baker</w:t>
            </w:r>
          </w:p>
        </w:tc>
      </w:tr>
      <w:tr>
        <w:trPr>
          <w:trHeight w:val="195"/>
        </w:trPr>
        <w:tc>
          <w:tcPr>
            <w:tcW w:w="42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 Baker</w:t>
            </w:r>
          </w:p>
        </w:tc>
      </w:tr>
      <w:tr>
        <w:trPr>
          <w:trHeight w:val="230"/>
        </w:trPr>
        <w:tc>
          <w:tcPr>
            <w:tcW w:w="4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59"/>
        </w:trPr>
        <w:tc>
          <w:tcPr>
            <w:tcW w:w="4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office of OptimizeRx Corporation (the “Corporation”) shall be at such place within or outside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Nevada as the board of directors of the Corporation (the “Board”) shall from time to time designate.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Other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also have other offices at such other places within or outside of the State of Nevada as the Board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designate or the business of the Corporation shall require. The street address of the Corporation’s registered agent is the registered office of the Corporation in Nevada.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of the stockholders of the Corporation shall be held on such date and at such time as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purpose of this meeting shall be for the election of directors and for the transaction of such other business as may properly come before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907"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 meetings of the stockholders may be called only by the Chairperson or the chief executive officer, if any, and shall be called by the secretary upon the written request of (i) at least a majority of the Board, or (ii) stockholders who together own of record not less than 50.1% of the capital stock of the Corporation issued and outstanding and entitled to vote at such meeting. Such written request of stockholders shall state the purpose or purposes of the proposed special meeting, contain all of the information required to be disclosed pursuant to Section 2.13(c)(1) of these Second Amended and Restated Bylaws (as amended or amended and restated from time to time, the “Bylaws”) and comply with the other requirements set forth in these Bylaws.</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Place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Any meeting of the stockholders may be held at any location within or outside of the State of Nevada as may be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notice of meeting. The Board may, in its sole discretion, determine that a meeting of stockholders shall not be held at any place, but may instead be held solely by means of electronic communications, videoconferencing, teleconferencing or other available technology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by law or by the Corporation’s articles of incorporation (as amended or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from time to time, the “Articles of Incorporation”), a written notice of each annual and special meeting of stockholders shall be given not less than ten (10) days nor more than sixty (60) days before the date of such meeting to each stockholder of record of the Corporation entitled to vote at such meeting. The notice of a meeting of stockholders shall state the place (if any), date and hour of the meeting, the means of any electronic communication by which stockholders may participate in the meeting and, in the case of a special meeting, the purpose or purposes for which the meeting is called. Notice to each stockholder entitled to vote at the meeting shall be given personally, by mail, or by electronic transmission if consented to by a stockholder in accordance with Nevada law, by or at the direction of the secretary or the officer or person calling the meeting. The notice shall be delivered in accordance with, and shall contain or be accompanied by such additional information as may be required by the Nevada Revised Statutes (as amended from time to time, the “NRS”), including, without limitation, NRS 78.370, 92A.120 or 92A.410.</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any annual or special meeting may be waived either before, at or after such meeting by a signed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persons entitled to the notice or by any other method permitted by Nevada law. Attendance of a person at a meeting shall constitute a waiver of notice of such meeting, except when the person attends a meeting for the express purpose of objecting at the beginning of the meeting to the transacting of any business because the meeting is not lawfully called or convened.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Determination of Stockholders of Record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922"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 of determining the stockholders entitled to notice of and to vote at any meeting of stockholders or any adjournment or postponement thereof, the Board may fix, in advance, a record date, which shall not be more than sixty (60) days nor less than ten (10) days before the date of such meeting. If no record date is fixed, the record date for determining stockholders entitled to notice of and to vote at a meeting of stockholders shall be the close of business on the day before the day the first notice of the meeting is given or, if notice is waived, the close of business on the day before the day the meeting is held.</w:t>
      </w:r>
    </w:p>
    <w:p>
      <w:pPr>
        <w:spacing w:after="0" w:line="187" w:lineRule="exact"/>
        <w:rPr>
          <w:rFonts w:ascii="Arial" w:cs="Arial" w:eastAsia="Arial" w:hAnsi="Arial"/>
          <w:sz w:val="18"/>
          <w:szCs w:val="18"/>
          <w:color w:val="auto"/>
        </w:rPr>
      </w:pPr>
    </w:p>
    <w:p>
      <w:pPr>
        <w:jc w:val="both"/>
        <w:ind w:firstLine="656"/>
        <w:spacing w:after="0" w:line="286" w:lineRule="auto"/>
        <w:tabs>
          <w:tab w:leader="none" w:pos="919"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 determination of stockholders of record entitled to notice of or to vote at any meeting of stockholders shall apply to any adjournment or postponement of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fix a new record date for the adjourned or postponed meeting and must fix a new record date if the meeting is adjourned or postponed to a date more than sixty (60) days later than the meeting date set for the original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Quorum; Adjourned Meetings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93" w:lineRule="auto"/>
        <w:tabs>
          <w:tab w:leader="none" w:pos="908"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otherwise provided by law or by the Articles of Incorporation, the holders of shares representing at least a majority of the voting power of the Corporation’s capital stock, present in person or by proxy (regardless of whether the proxy has authority to vote on any matter), shall constitute a quorum for the transaction of business at any annual or special meeting. If any class or series of shares is permitted or required to vote separately on any action, the holders of at least a majority of the voting power, present in person or by proxy (regardless of whether the proxy has authority to vote on any matter), of such class or series is necessary to constitute a quorum of such class or series. If a quorum is present, the stockholders may continue to transact business until adjournment notwithstanding the withdrawal of enough stockholders to leave less than a quorum.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56"/>
        <w:spacing w:after="0" w:line="257" w:lineRule="auto"/>
        <w:tabs>
          <w:tab w:leader="none" w:pos="907"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quorum is not represented, a majority of the voting power represented in person or by proxy at the meeting may adjourn the meeting from time to time until a quorum shall be represented. Notice of any adjourned meeting need not be given if the time and place thereof are announced at the meeting at which the adjournment is taken. However, if a new record date is fixed for the adjourned meeting, notice of the adjourned meeting must be given to each stockholder of record as of the new record date. At adjourned meetings at which a quorum is present, any business may be transacted which might have been transacted at the meeting as originally noticed.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Section 2.8 </w:t>
      </w:r>
      <w:r>
        <w:rPr>
          <w:rFonts w:ascii="Arial" w:cs="Arial" w:eastAsia="Arial" w:hAnsi="Arial"/>
          <w:sz w:val="17"/>
          <w:szCs w:val="17"/>
          <w:b w:val="1"/>
          <w:bCs w:val="1"/>
          <w:u w:val="single" w:color="auto"/>
          <w:color w:val="auto"/>
        </w:rPr>
        <w:t>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entitled to vote at a meeting of stockholders may authorize a proxy to represent him or her at the meeting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executed in writing. Each such proxy shall be valid until its expiration or revocation in a manner permitted by the laws of the State of Nevada. A proxy may be irrevocable if it states that it is irrevocable and, if, and only as long as, it is coupled with an interest sufficient to support an irrevocable power. Subject to the above, any proxy may be revoked if an instrument or transmission revoking it or a properly created proxy bearing a later date is filed with or transmitted to the secretary or another person appointed by the Corporation to count the votes of stockholders and determine the validity of proxies and ballots, or, in the case of a meeting of stockholders, the stockholder revokes the proxy by attending the meeting and voting the stockholder’s shares in person, in which case, any vote cast by the person or persons designated by the stockholder to act as a proxy or proxies must be disregarded by the Corporation when the votes are counted.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6" w:lineRule="auto"/>
        <w:tabs>
          <w:tab w:leader="none" w:pos="893"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outstanding share of stock, regardless of class or series, shall be entitled to one (1) vote on each matter submitted to a vote at a meeting of stockholders, except to the extent that the Articles of Incorporation or the certificate of designation establishing the class or series of stock provides for more or less than one (1) vote per share or limits or denies voting rights to the holders of the shares of any class or series of stock.</w:t>
      </w:r>
    </w:p>
    <w:p>
      <w:pPr>
        <w:spacing w:after="0" w:line="165" w:lineRule="exact"/>
        <w:rPr>
          <w:rFonts w:ascii="Arial" w:cs="Arial" w:eastAsia="Arial" w:hAnsi="Arial"/>
          <w:sz w:val="17"/>
          <w:szCs w:val="17"/>
          <w:color w:val="auto"/>
        </w:rPr>
      </w:pPr>
    </w:p>
    <w:p>
      <w:pPr>
        <w:jc w:val="both"/>
        <w:ind w:firstLine="656"/>
        <w:spacing w:after="0" w:line="259" w:lineRule="auto"/>
        <w:tabs>
          <w:tab w:leader="none" w:pos="91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quorum is present, unless the Articles of Incorporation, these Bylaws, the rules or regulations of any stock exchange applicable to the Corporation, or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w:t>
      </w:r>
    </w:p>
    <w:p>
      <w:pPr>
        <w:spacing w:after="0" w:line="186" w:lineRule="exact"/>
        <w:rPr>
          <w:rFonts w:ascii="Arial" w:cs="Arial" w:eastAsia="Arial" w:hAnsi="Arial"/>
          <w:sz w:val="18"/>
          <w:szCs w:val="18"/>
          <w:color w:val="auto"/>
        </w:rPr>
      </w:pPr>
    </w:p>
    <w:p>
      <w:pPr>
        <w:ind w:right="20" w:firstLine="656"/>
        <w:spacing w:after="0" w:line="277" w:lineRule="auto"/>
        <w:tabs>
          <w:tab w:leader="none" w:pos="90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quorum is present, unless otherwise provided by the Articles of Incorporation or these Bylaws, directors shall be elected by a plurality of the votes cast.</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u w:val="single" w:color="auto"/>
          <w:color w:val="auto"/>
        </w:rPr>
        <w:t>No Action Without a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No action of the stockholders shall be taken by either unanimous consent or partial written consent in lieu of</w:t>
      </w:r>
      <w:r>
        <w:rPr>
          <w:rFonts w:ascii="Arial" w:cs="Arial" w:eastAsia="Arial" w:hAnsi="Arial"/>
          <w:sz w:val="17"/>
          <w:szCs w:val="17"/>
          <w:b w:val="1"/>
          <w:bCs w:val="1"/>
          <w:color w:val="auto"/>
        </w:rPr>
        <w:t xml:space="preserve"> </w:t>
      </w:r>
      <w:r>
        <w:rPr>
          <w:rFonts w:ascii="Arial" w:cs="Arial" w:eastAsia="Arial" w:hAnsi="Arial"/>
          <w:sz w:val="17"/>
          <w:szCs w:val="17"/>
          <w:color w:val="auto"/>
        </w:rPr>
        <w:t>a meeting. No action shall be taken by the stockholders except at an annual or special meeting of the stockholders called and noticed in the manner required by these Bylaws. Any purported action taken in violation of this Section shall be null, void and of no legal effect.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9" w:lineRule="auto"/>
        <w:tabs>
          <w:tab w:leader="none" w:pos="894" w:val="left"/>
        </w:tabs>
        <w:numPr>
          <w:ilvl w:val="0"/>
          <w:numId w:val="8"/>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Chairperson, or, in the absence of the Chairperson, the chief executive officer, if any, or, in the absence of the chief executive officer, by the president, or, in the absence of the foregoing persons, by a chairman designated by the Board, or, in the absence of such designation by the Board,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56"/>
        <w:spacing w:after="0" w:line="291" w:lineRule="auto"/>
        <w:tabs>
          <w:tab w:leader="none" w:pos="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w:t>
      </w:r>
    </w:p>
    <w:p>
      <w:pPr>
        <w:ind w:firstLine="8"/>
        <w:spacing w:after="0" w:line="260"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count all votes and ballots; (iv) determine any challenges made to any determination made by the inspector(s); and (v) certify the determination of the number of shares represented at the meeting and the count of all votes and ballots.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Order of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308" w:lineRule="auto"/>
        <w:tabs>
          <w:tab w:leader="none" w:pos="89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At any annual meeting of the stockholders, only such nominations of individuals for election to the Board shall be made, and only such other business shall be conducted or considered, as shall have been properly brought before the meeting.</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(ii) otherwise properly made at the annual meeting, by or at the direction of the Board or (iii) otherwise properly requested to be brought before the annual meeting by a stockholder of the Corporation in accordance with these Bylaws. For nominations of individuals for election to the Board or proposals of other business to be properly requested by a stockholder to be made at an annual meeting, a stockholder must (i) be a stockholder of record at the time of giving of notice of such annual meeting by or at the direction of the Board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w:t>
      </w:r>
    </w:p>
    <w:p>
      <w:pPr>
        <w:spacing w:after="0" w:line="185" w:lineRule="exact"/>
        <w:rPr>
          <w:sz w:val="20"/>
          <w:szCs w:val="20"/>
          <w:color w:val="auto"/>
        </w:rPr>
      </w:pPr>
    </w:p>
    <w:p>
      <w:pPr>
        <w:jc w:val="both"/>
        <w:ind w:firstLine="656"/>
        <w:spacing w:after="0" w:line="270" w:lineRule="auto"/>
        <w:tabs>
          <w:tab w:leader="none" w:pos="91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(ii) otherwise properly brought before the special meeting, by or at the direction of the Board or (iii) specified in the Corporation’s notice of meeting (or any supplement thereto) given by the Corporation pursuant to a valid stockholder request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these Bylaws, it being understood that business transacted at such a special meeting shall be limited to the matters stated in such valid stockholder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herein shall prohibit the Board from submitting additional matters to stockholders at any such special meeting. In order for any business to be brought before a special meeting pursuant to a stockholder request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these Bylaws, such business must be a proper matter for stockholder action under applicable law.</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Nominations of individuals for election to the Board may be made at a special meeting of stockholders at which directors are to be elected pursuant to the Corporation’s notice of meeting (i) by or at the direction of the Board or (ii) provided that the Board has determined that directors shall be elected at such meeting, by any stockholder of the Corporation who (A) is a stockholder of record at the time of giving of notice of such special meeting and at the time of the special meeting, (B) is entitled to vote at the meeting, and (C) complies with the procedures set forth in these Bylaws as to such nomination. This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56"/>
        <w:spacing w:after="0" w:line="279" w:lineRule="auto"/>
        <w:tabs>
          <w:tab w:leader="none" w:pos="89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Except as otherwise provided by law, the Articles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b w:val="1"/>
          <w:bCs w:val="1"/>
          <w:u w:val="single" w:color="auto"/>
          <w:color w:val="auto"/>
        </w:rPr>
        <w:t>Advance Notice of Stockholder Business and Nominations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89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Annual Meeting of Stockholders</w:t>
      </w:r>
      <w:r>
        <w:rPr>
          <w:rFonts w:ascii="Arial" w:cs="Arial" w:eastAsia="Arial" w:hAnsi="Arial"/>
          <w:sz w:val="17"/>
          <w:szCs w:val="17"/>
          <w:color w:val="auto"/>
        </w:rPr>
        <w:t xml:space="preserve">. Without qualification or limitation, subject to </w:t>
      </w:r>
      <w:r>
        <w:rPr>
          <w:rFonts w:ascii="Arial" w:cs="Arial" w:eastAsia="Arial" w:hAnsi="Arial"/>
          <w:sz w:val="17"/>
          <w:szCs w:val="17"/>
          <w:u w:val="single" w:color="auto"/>
          <w:color w:val="auto"/>
        </w:rPr>
        <w:t>Section 2.13(c)(4)</w:t>
      </w:r>
      <w:r>
        <w:rPr>
          <w:rFonts w:ascii="Arial" w:cs="Arial" w:eastAsia="Arial" w:hAnsi="Arial"/>
          <w:sz w:val="17"/>
          <w:szCs w:val="17"/>
          <w:color w:val="auto"/>
        </w:rPr>
        <w:t xml:space="preserve"> of these Bylaws, for any nominations or any other business to be properly brought before an annual meeting by a stockholder pursuant to </w:t>
      </w:r>
      <w:r>
        <w:rPr>
          <w:rFonts w:ascii="Arial" w:cs="Arial" w:eastAsia="Arial" w:hAnsi="Arial"/>
          <w:sz w:val="17"/>
          <w:szCs w:val="17"/>
          <w:u w:val="single" w:color="auto"/>
          <w:color w:val="auto"/>
        </w:rPr>
        <w:t>Section 2.12(a)</w:t>
      </w:r>
      <w:r>
        <w:rPr>
          <w:rFonts w:ascii="Arial" w:cs="Arial" w:eastAsia="Arial" w:hAnsi="Arial"/>
          <w:sz w:val="17"/>
          <w:szCs w:val="17"/>
          <w:color w:val="auto"/>
        </w:rPr>
        <w:t xml:space="preserve"> of these Bylaws, the stockholder must have given timely notice thereof (including, in the case of nominations, the completed and signed questionnaire, representation and agreement required by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these Bylaws), and timely updates and supplements thereof, in each case in proper form, in writing to the secretary, and such other business must otherwise be a proper matter for stockholder action under applicable law.</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more than thirty (30) days before or more than sixty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one hundred (100)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anything in the immediately preceding paragraph to the contrary, in the event that the number of directors to be elected to the Board is increased by the Board, and there is no public announcement by the Corporation naming all of the nominees for director or specifying the size of the increased Board at least one hundred (100) days prior to the first anniversary of the preceding year’s annual meeting, a stockholder’s notice required by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87" w:lineRule="auto"/>
        <w:rPr>
          <w:sz w:val="20"/>
          <w:szCs w:val="20"/>
          <w:color w:val="auto"/>
        </w:rPr>
      </w:pPr>
      <w:r>
        <w:rPr>
          <w:rFonts w:ascii="Arial" w:cs="Arial" w:eastAsia="Arial" w:hAnsi="Arial"/>
          <w:sz w:val="16"/>
          <w:szCs w:val="16"/>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nominees, matters, business and or resolutions proposed to be brought before a meeting of the stockholders.</w:t>
      </w:r>
    </w:p>
    <w:p>
      <w:pPr>
        <w:spacing w:after="0" w:line="172" w:lineRule="exact"/>
        <w:rPr>
          <w:sz w:val="20"/>
          <w:szCs w:val="20"/>
          <w:color w:val="auto"/>
        </w:rPr>
      </w:pPr>
    </w:p>
    <w:p>
      <w:pPr>
        <w:ind w:right="20" w:firstLine="656"/>
        <w:spacing w:after="0" w:line="308" w:lineRule="auto"/>
        <w:tabs>
          <w:tab w:leader="none" w:pos="91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subject to the provisions of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of these Bylaws.</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2.13(c)(4)</w:t>
      </w:r>
      <w:r>
        <w:rPr>
          <w:rFonts w:ascii="Arial" w:cs="Arial" w:eastAsia="Arial" w:hAnsi="Arial"/>
          <w:sz w:val="16"/>
          <w:szCs w:val="16"/>
          <w:color w:val="auto"/>
        </w:rPr>
        <w:t xml:space="preserve"> of these Bylaws, in the event the Corporation calls a special meeting of stockholders for the purpose of electing one or more directors to the Board, any stockholder may nominate an individual or individuals (as the case may be) for election to such position(s) as specified in the Corporation’s notice of meeting, provided that the stockholder gives timely notice thereof (including the completed and signed questionnaire, representation and agreement required by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these Bylaws), and timely updates and supplements thereof in each case in proper form, in writing, to the secretary. To be timely, a stockholder’s notice pursuant to the preceding sentence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one hundred (100) days prior to the date of such special meeting, the 10th day following the day on which public announcement is first made of the date of the special meeting and of the nominees proposed by the Board to be elected at such meeting. In no event shall any adjournment or postponement of a special meeting of stockholders, or the public announcement thereof, commence a new time period for the giving of a stockholder’s notice as described above. In addition, to be considered timely, a stockholder’s notice pursuant to the first sentence of this paragraph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900" w:hanging="244"/>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Disclosure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551"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To be in proper form, a stockholder’s notice (whether given pursuant to </w:t>
      </w:r>
      <w:r>
        <w:rPr>
          <w:rFonts w:ascii="Arial" w:cs="Arial" w:eastAsia="Arial" w:hAnsi="Arial"/>
          <w:sz w:val="18"/>
          <w:szCs w:val="18"/>
          <w:u w:val="single" w:color="auto"/>
          <w:color w:val="auto"/>
        </w:rPr>
        <w:t>Section 2.2, Section 2.12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2.14</w:t>
      </w:r>
      <w:r>
        <w:rPr>
          <w:rFonts w:ascii="Arial" w:cs="Arial" w:eastAsia="Arial" w:hAnsi="Arial"/>
          <w:sz w:val="18"/>
          <w:szCs w:val="18"/>
          <w:color w:val="auto"/>
        </w:rPr>
        <w:t>) to the secretary must include the following, as applicable:</w:t>
      </w:r>
    </w:p>
    <w:p>
      <w:pPr>
        <w:spacing w:after="0" w:line="170" w:lineRule="exact"/>
        <w:rPr>
          <w:rFonts w:ascii="Arial" w:cs="Arial" w:eastAsia="Arial" w:hAnsi="Arial"/>
          <w:sz w:val="18"/>
          <w:szCs w:val="18"/>
          <w:color w:val="auto"/>
        </w:rPr>
      </w:pPr>
    </w:p>
    <w:p>
      <w:pPr>
        <w:jc w:val="both"/>
        <w:ind w:firstLine="1952"/>
        <w:spacing w:after="0" w:line="282" w:lineRule="auto"/>
        <w:tabs>
          <w:tab w:leader="none" w:pos="2210" w:val="left"/>
        </w:tabs>
        <w:numPr>
          <w:ilvl w:val="3"/>
          <w:numId w:val="16"/>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as applicable, is made, a stockholder’s notice must set forth: (i) the name and address of such stockholder, as they appear on the Corporation’s books, and of such beneficial owner, (ii) the class or series and number of shares of stock which are owned beneficially and of record by such stockholder and such beneficial owner, and any shares of any class or series of stock of the Corporation as to which such stockholder and such beneficial owner has a right to acquire beneficial ownership at any time in the future,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by, or on behalf of, such stockholder or such beneficial owner and any of their affiliates or associates,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or any of their affiliates or associates, with respect to securities of the Corporation, (v) a representation that the stockholder is a holder of record of stock entitled to vote at such meeting and intends to appear in person or by proxy at the meeting to propose such business or nomination, (vi) a representation whether the stockholder or the beneficial owner, if any, intends or is part of a group which intends (x) to deliver a proxy statement and/or form of proxy to holders of at least the percentage of outstanding stock required to approve or adopt the proposal or elect the nominee and/or (y) otherwise to solicit proxies or votes from stockholders in support of such proposal or nomination, (vii) any material pending or threatened legal proceeding in which such stockholder or such beneficial owner is a party or material participant involving the Corporation or any of its officers or directors, or any affiliate of the Corporation,</w:t>
      </w:r>
    </w:p>
    <w:p>
      <w:pPr>
        <w:spacing w:after="0" w:line="11" w:lineRule="exact"/>
        <w:rPr>
          <w:rFonts w:ascii="Arial" w:cs="Arial" w:eastAsia="Arial" w:hAnsi="Arial"/>
          <w:sz w:val="16"/>
          <w:szCs w:val="16"/>
          <w:color w:val="auto"/>
        </w:rPr>
      </w:pPr>
    </w:p>
    <w:p>
      <w:pPr>
        <w:jc w:val="both"/>
        <w:ind w:firstLine="8"/>
        <w:spacing w:after="0" w:line="295" w:lineRule="auto"/>
        <w:tabs>
          <w:tab w:leader="none" w:pos="43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material relationship between such stockholder or such beneficial owner, on the one hand, and the Corporation or any affiliate of the Corporation, on the other hand, and (ix)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 of the Exchange Act and the rules and regulations promulgated thereunder.</w:t>
      </w:r>
    </w:p>
    <w:p>
      <w:pPr>
        <w:spacing w:after="0" w:line="161" w:lineRule="exact"/>
        <w:rPr>
          <w:rFonts w:ascii="Arial" w:cs="Arial" w:eastAsia="Arial" w:hAnsi="Arial"/>
          <w:sz w:val="16"/>
          <w:szCs w:val="16"/>
          <w:color w:val="auto"/>
        </w:rPr>
      </w:pPr>
    </w:p>
    <w:p>
      <w:pPr>
        <w:jc w:val="both"/>
        <w:ind w:firstLine="1952"/>
        <w:spacing w:after="0" w:line="271" w:lineRule="auto"/>
        <w:tabs>
          <w:tab w:leader="none" w:pos="2207" w:val="left"/>
        </w:tabs>
        <w:numPr>
          <w:ilvl w:val="3"/>
          <w:numId w:val="17"/>
        </w:numPr>
        <w:rPr>
          <w:rFonts w:ascii="Arial" w:cs="Arial" w:eastAsia="Arial" w:hAnsi="Arial"/>
          <w:sz w:val="17"/>
          <w:szCs w:val="17"/>
          <w:color w:val="auto"/>
        </w:rPr>
      </w:pPr>
      <w:r>
        <w:rPr>
          <w:rFonts w:ascii="Arial" w:cs="Arial" w:eastAsia="Arial" w:hAnsi="Arial"/>
          <w:sz w:val="17"/>
          <w:szCs w:val="17"/>
          <w:color w:val="auto"/>
        </w:rPr>
        <w:t>If the notice relates to any business other than a nomination of a director or directors that the stockholder proposes to bring before the meeting, a stockholder’s notice must, in addition to the matters set forth in paragraph (a) above, also set forth: (i) a brief description of the business desired to be brought before the meeting, the reasons for conducting such business at the meeting and any material interest of such stockholder, the beneficial owner, if any, on whose behalf the proposal is made, or any of their affiliates or associates, (ii) the text of the proposal or business (including the text of any resolutions proposed for consideration and, in the event that such proposal or business includes a proposal to amend the Bylaws of the Corporation, the text of the proposed amendment), and (iii) any other information relating to such item of business that would be required to be disclosed in a proxy statement or other filing required to be made in connection with the solicitation of proxies in support of the business proposed to be brought before the meeting pursuant to Section 14 of the Exchange Act.</w:t>
      </w:r>
    </w:p>
    <w:p>
      <w:pPr>
        <w:spacing w:after="0" w:line="178" w:lineRule="exact"/>
        <w:rPr>
          <w:rFonts w:ascii="Arial" w:cs="Arial" w:eastAsia="Arial" w:hAnsi="Arial"/>
          <w:sz w:val="17"/>
          <w:szCs w:val="17"/>
          <w:color w:val="auto"/>
        </w:rPr>
      </w:pPr>
    </w:p>
    <w:p>
      <w:pPr>
        <w:jc w:val="both"/>
        <w:ind w:firstLine="1952"/>
        <w:spacing w:after="0" w:line="291" w:lineRule="auto"/>
        <w:tabs>
          <w:tab w:leader="none" w:pos="2229" w:val="left"/>
        </w:tabs>
        <w:numPr>
          <w:ilvl w:val="3"/>
          <w:numId w:val="17"/>
        </w:numPr>
        <w:rPr>
          <w:rFonts w:ascii="Arial" w:cs="Arial" w:eastAsia="Arial" w:hAnsi="Arial"/>
          <w:sz w:val="16"/>
          <w:szCs w:val="16"/>
          <w:color w:val="auto"/>
        </w:rPr>
      </w:pPr>
      <w:r>
        <w:rPr>
          <w:rFonts w:ascii="Arial" w:cs="Arial" w:eastAsia="Arial" w:hAnsi="Arial"/>
          <w:sz w:val="16"/>
          <w:szCs w:val="16"/>
          <w:color w:val="auto"/>
        </w:rPr>
        <w:t>As to each individual, if any, whom the stockholder proposes to nominate for election or reelection to the Board, a stockholder’s notice must, in addition to the matters set forth in paragraph (a) above, also set forth: (i)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the Corporation’s proxy statement as a nominee and to serving as a director if elected) and (ii) such other information regarding such person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952"/>
        <w:spacing w:after="0" w:line="263" w:lineRule="auto"/>
        <w:tabs>
          <w:tab w:leader="none" w:pos="22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With respect to each individual, if any, whom the stockholder proposes to nominate for election or reelection to the Board, a stockholder’s notice must, in addition to the matters set forth in paragraphs (a) and (c) above, also include a completed and signed questionnaire, representation and agreement required by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these Bylaws.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purposes of these Bylaws,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5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deemed to affect any rights (i) of stockholders to request inclusion of proposals in the Corporation’s proxy statement pursuant to Rule 14a-8 under the Exchange Act, or (ii) of the holders of any series of preferred stock if and to the extent provided for under law, the Articles of Incorporation or these Bylaws. Subject to Rule 14a-8 under the Exchange Act, 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construed to permit any stockholder, or give any stockholder the right, to include or have disseminated or described in the Corporation’s proxy statement any nomination of director or directors or any other business proposal.</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Submission of Questionnaire, Representation and Agreement</w:t>
      </w:r>
      <w:r>
        <w:rPr>
          <w:rFonts w:ascii="Arial" w:cs="Arial" w:eastAsia="Arial" w:hAnsi="Arial"/>
          <w:sz w:val="16"/>
          <w:szCs w:val="16"/>
          <w:color w:val="auto"/>
        </w:rPr>
        <w:t>. To be eligible to be a nominee for election or reelection as a director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a person nominated by a stockholder for election or reelection to the Board must deliver (in accordance with the time periods prescribed for delivery of notice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of these Bylaws) to the secretary at the principal executive offices of the Corporation a written questionnaire with respect to the background, qualifications, stock ownership and independence of such proposed nominee (which questionnaire shall be provided by the secretary upon written request), and a written representation and agreement (in the form provided by the secretary upon written request) that such individual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if elected as a director of the Corporation, will comply, with all applicable corporate governance, conflict of interest, confidentiality and stock ownership and trading policies and guidelines of the Corporation applicable to directors and in effect during such person’s term in office as a director.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92" w:lineRule="auto"/>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b w:val="1"/>
          <w:bCs w:val="1"/>
          <w:u w:val="single" w:color="auto"/>
          <w:color w:val="auto"/>
        </w:rPr>
        <w:t>Remote Communications</w:t>
      </w:r>
      <w:r>
        <w:rPr>
          <w:rFonts w:ascii="Arial" w:cs="Arial" w:eastAsia="Arial" w:hAnsi="Arial"/>
          <w:sz w:val="16"/>
          <w:szCs w:val="16"/>
          <w:color w:val="auto"/>
        </w:rPr>
        <w:t>. Stockholders may participate in a meeting of stockholders by means of any electronic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videoconferencing, teleconferencing or other available technology permitted under the NRS. If any such 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For the purposes of establishing a quorum and taking any action at the meeting, participation in a meeting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constitutes presence in person at the meeting. A meeting of stockholders may be held solely by remote communication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6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General Powers</w:t>
      </w:r>
      <w:r>
        <w:rPr>
          <w:rFonts w:ascii="Arial" w:cs="Arial" w:eastAsia="Arial" w:hAnsi="Arial"/>
          <w:sz w:val="18"/>
          <w:szCs w:val="18"/>
          <w:color w:val="auto"/>
        </w:rPr>
        <w:t>. The business of the Corporation shall be managed by the Board.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Number; Tenure</w:t>
      </w:r>
      <w:r>
        <w:rPr>
          <w:rFonts w:ascii="Arial" w:cs="Arial" w:eastAsia="Arial" w:hAnsi="Arial"/>
          <w:sz w:val="17"/>
          <w:szCs w:val="17"/>
          <w:color w:val="auto"/>
        </w:rPr>
        <w:t>. Unless otherwise provided in the Articles of Incorporation, the number of directors shall be no less than three (3)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no more than seven (7) directors, with the number of directors within the foregoing fixed minimum and maximum established and changed from time to time as provided by resolutions adopted by the Board. No reduction of the number of directors shall have the effect of removing any director prior to the expiration of his or her term of office. Each director shall hold office until the annual meeting of stockholders next held after his or her election and until his or her successor is elected and qualified or until his or her earlier death, resignation or removal. No provision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restrict the right of the Board (or, to the extent, if any, permitted under the Articles of Incorporation, stockholders) to fill vacancies or upon the right of the stockholders to remove directors, each as provided in these Bylaws.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Chairperson</w:t>
      </w:r>
      <w:r>
        <w:rPr>
          <w:rFonts w:ascii="Arial" w:cs="Arial" w:eastAsia="Arial" w:hAnsi="Arial"/>
          <w:sz w:val="18"/>
          <w:szCs w:val="18"/>
          <w:color w:val="auto"/>
        </w:rPr>
        <w:t>. The Board shall appoint one of its members to serve as the Chairperson to serve at the pleasure of the Board. The Chairperson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if present, preside at meetings of stockholders of the Corporation and at meetings of the Board. The Chairperson shall have such other duties and responsibilities as may from time to time be assigned to him or her by the Board or prescribed by these Bylaws. The Chairperson may, but need not be, an employee of the Corporation.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Vacancies</w:t>
      </w:r>
      <w:r>
        <w:rPr>
          <w:rFonts w:ascii="Arial" w:cs="Arial" w:eastAsia="Arial" w:hAnsi="Arial"/>
          <w:sz w:val="18"/>
          <w:szCs w:val="18"/>
          <w:color w:val="auto"/>
        </w:rPr>
        <w:t>. Subject to any rights of the holders of preferred stock, if any, vacancies on the Board, including vacancies resulting from newly</w:t>
      </w:r>
      <w:r>
        <w:rPr>
          <w:rFonts w:ascii="Arial" w:cs="Arial" w:eastAsia="Arial" w:hAnsi="Arial"/>
          <w:sz w:val="18"/>
          <w:szCs w:val="18"/>
          <w:b w:val="1"/>
          <w:bCs w:val="1"/>
          <w:color w:val="auto"/>
        </w:rPr>
        <w:t xml:space="preserve"> </w:t>
      </w:r>
      <w:r>
        <w:rPr>
          <w:rFonts w:ascii="Arial" w:cs="Arial" w:eastAsia="Arial" w:hAnsi="Arial"/>
          <w:sz w:val="18"/>
          <w:szCs w:val="18"/>
          <w:color w:val="auto"/>
        </w:rPr>
        <w:t>created directorships, may be filled only by the affirmative vote of a majority of the remaining directors, even if less than a quorum, or by a sole remaining director. A director elected to fill a vacancy shall hold office for a term expiring at the next annual meeting of stockholders and until such director’s successor shall have been duly elected and qualified.</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Removal and Resignation of Directors</w:t>
      </w:r>
      <w:r>
        <w:rPr>
          <w:rFonts w:ascii="Arial" w:cs="Arial" w:eastAsia="Arial" w:hAnsi="Arial"/>
          <w:sz w:val="17"/>
          <w:szCs w:val="17"/>
          <w:color w:val="auto"/>
        </w:rPr>
        <w:t>. Subject to any rights of the holders of preferred stock, if any, and except as otherwise provided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NRS, any director, or the entire Board, may be removed from office by a vote of stockholders representing not less than two-thirds of the voting power of the issued and outstanding stock entitled to vote at an annual or special meeting of the stockholders duly noticed and called in accordance with the Bylaws. Any director may resign effective upon giving written notice to the Board, unless the notice specifies a later time for effectiveness.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A regular meeting of the Board shall be held annually, immediately after, and at the same place as, the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such other date, time and place as the Board may determine. The Board may, by resolution, provide the date, time and place, if any, for the holding of additional regular meetings.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20"/>
        <w:spacing w:after="0" w:line="312"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may be called by the Chairperson, the chief executive officer, if any, the president, or by any</w:t>
      </w:r>
      <w:r>
        <w:rPr>
          <w:rFonts w:ascii="Arial" w:cs="Arial" w:eastAsia="Arial" w:hAnsi="Arial"/>
          <w:sz w:val="17"/>
          <w:szCs w:val="17"/>
          <w:b w:val="1"/>
          <w:bCs w:val="1"/>
          <w:color w:val="auto"/>
        </w:rPr>
        <w:t xml:space="preserve"> </w:t>
      </w:r>
      <w:r>
        <w:rPr>
          <w:rFonts w:ascii="Arial" w:cs="Arial" w:eastAsia="Arial" w:hAnsi="Arial"/>
          <w:sz w:val="17"/>
          <w:szCs w:val="17"/>
          <w:color w:val="auto"/>
        </w:rPr>
        <w:t>two of the directors and shall be held on such date and at such time and place as may be designated in the notice of such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Notice of Meetings</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notice need be given of any annual or regular meeting of the Board.</w:t>
      </w:r>
    </w:p>
    <w:p>
      <w:pPr>
        <w:spacing w:after="0" w:line="225" w:lineRule="exact"/>
        <w:rPr>
          <w:rFonts w:ascii="Arial" w:cs="Arial" w:eastAsia="Arial" w:hAnsi="Arial"/>
          <w:sz w:val="18"/>
          <w:szCs w:val="18"/>
          <w:color w:val="auto"/>
        </w:rPr>
      </w:pPr>
    </w:p>
    <w:p>
      <w:pPr>
        <w:jc w:val="both"/>
        <w:ind w:firstLine="656"/>
        <w:spacing w:after="0" w:line="268" w:lineRule="auto"/>
        <w:tabs>
          <w:tab w:leader="none" w:pos="9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each special meeting of the Board, there shall be delivered to each director at the address appearing for him or her on the records of the Corporation, at least twenty-four (24) hours before the time of such meeting, a copy of a written notice of such meeting (i) by delivery of such notice personally, (ii) by mailing such notice postage prepaid, (iii) by facsimile, (iv) by overnight courier, or (v) by electronic transmission or electronic writing, including, but not limited to, email. If mailed to an address inside the United States, the notice shall be deemed delivered five (5) business days following the date the same is deposited in the United States mail, postage prepaid. If mailed to an address outside the United States, the notice shall be deemed delivered seven (7)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Quorum and Voting; Adjourned Meetings</w:t>
      </w:r>
      <w:r>
        <w:rPr>
          <w:rFonts w:ascii="Arial" w:cs="Arial" w:eastAsia="Arial" w:hAnsi="Arial"/>
          <w:sz w:val="18"/>
          <w:szCs w:val="18"/>
          <w:b w:val="1"/>
          <w:bCs w:val="1"/>
          <w:color w:val="auto"/>
        </w:rPr>
        <w:t>.</w:t>
      </w:r>
    </w:p>
    <w:p>
      <w:pPr>
        <w:spacing w:after="0" w:line="229"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the directors then in office shall constitute a quorum for the transaction of business at any meeting of the Board.</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otherwise provided by law, the Articles of Incorporation or these Bylaws, the vote of a majority of the directors present at a meeting at which a quorum is present shall be the act of the Board.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any meeting of the Board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Action Without a Meeting</w:t>
      </w:r>
      <w:r>
        <w:rPr>
          <w:rFonts w:ascii="Arial" w:cs="Arial" w:eastAsia="Arial" w:hAnsi="Arial"/>
          <w:sz w:val="18"/>
          <w:szCs w:val="18"/>
          <w:color w:val="auto"/>
        </w:rPr>
        <w:t>. Any action required or permitted to be taken at a meeting of the Board or any committee thereof may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 meeting if, before or after the action, all directors or committee members consent thereto in writing, except that such consent need not be signed by any director who is not required to sign pursuant to NRS 78.315(2). The written consent may be signed manually or electronically (or by any other means then permitted under the NRS), and may be so signed in counterparts, including, without limitation, facsimile or email counterparts, and the written consent shall be filed with the minutes of proceedings of the Board or committee.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b w:val="1"/>
          <w:bCs w:val="1"/>
          <w:color w:val="auto"/>
        </w:rPr>
        <w:t xml:space="preserve">Section 3.11 </w:t>
      </w:r>
      <w:r>
        <w:rPr>
          <w:rFonts w:ascii="Arial" w:cs="Arial" w:eastAsia="Arial" w:hAnsi="Arial"/>
          <w:sz w:val="17"/>
          <w:szCs w:val="17"/>
          <w:b w:val="1"/>
          <w:bCs w:val="1"/>
          <w:u w:val="single" w:color="auto"/>
          <w:color w:val="auto"/>
        </w:rPr>
        <w:t>Telephonic and Electronic Communications</w:t>
      </w:r>
      <w:r>
        <w:rPr>
          <w:rFonts w:ascii="Arial" w:cs="Arial" w:eastAsia="Arial" w:hAnsi="Arial"/>
          <w:sz w:val="17"/>
          <w:szCs w:val="17"/>
          <w:color w:val="auto"/>
        </w:rPr>
        <w:t>. Members of the Board or of any committee designated by the Board may participate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of the Board or such committee through electronic communications, videoconferencing, teleconferencing or other available technology permitted under the NRS.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a reasonable opportunity to participate in the meeting and to vote on matters submitted to the directors or members, as the case may be, including an opportunity to communicate and to read or hear the proceedings of the meeting in a substantially concurrent manner with such proceedings. For the purposes of establishing a quorum and taking any action at the meeting, such directors or members of the committee, as the case may be, participating pursuant to this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shall be deemed present in person at the meeting.</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Section 3.12 </w:t>
      </w:r>
      <w:r>
        <w:rPr>
          <w:rFonts w:ascii="Arial" w:cs="Arial" w:eastAsia="Arial" w:hAnsi="Arial"/>
          <w:sz w:val="17"/>
          <w:szCs w:val="17"/>
          <w:b w:val="1"/>
          <w:bCs w:val="1"/>
          <w:u w:val="single" w:color="auto"/>
          <w:color w:val="auto"/>
        </w:rPr>
        <w:t>Committees of Directors</w:t>
      </w:r>
      <w:r>
        <w:rPr>
          <w:rFonts w:ascii="Arial" w:cs="Arial" w:eastAsia="Arial" w:hAnsi="Arial"/>
          <w:sz w:val="17"/>
          <w:szCs w:val="17"/>
          <w:color w:val="auto"/>
        </w:rPr>
        <w:t>. The Board may designate and appoint one or more committees as the Board considers appropriate, which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of one or more directors of the Corporation. Persons who are not directors of the Corporation are not eligible to serve on committees of the Board. The Board may designate one or more directors as alternate members of any committee, who may replace any absent or disqualified member at any meeting of the committee. Each committee, to the extent provided in the resolution of the Board creating same, shall have and may exercise such of the powers and authority of the Board in the management of the business and affairs of the Corporation as the Board may direct and delegate, except, however, those matters which are required by statute to be reserved unto or acted upon by the entire Board. Each committee shall keep written minutes of its proceedings and shall report such proceedings to the Board as appropriate. The Board shall have the power at any time to fill vacancies in, to change the membership of, or to dissolve, any such committee.</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3.13 </w:t>
      </w: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The Board, without regard to personal interest, may establish the compensation of directors for services in any capacity. 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establishes the compensation of directors pursuant to this </w:t>
      </w:r>
      <w:r>
        <w:rPr>
          <w:rFonts w:ascii="Arial" w:cs="Arial" w:eastAsia="Arial" w:hAnsi="Arial"/>
          <w:sz w:val="17"/>
          <w:szCs w:val="17"/>
          <w:u w:val="single" w:color="auto"/>
          <w:color w:val="auto"/>
        </w:rPr>
        <w:t>Section 3.13</w:t>
      </w:r>
      <w:r>
        <w:rPr>
          <w:rFonts w:ascii="Arial" w:cs="Arial" w:eastAsia="Arial" w:hAnsi="Arial"/>
          <w:sz w:val="17"/>
          <w:szCs w:val="17"/>
          <w:color w:val="auto"/>
        </w:rPr>
        <w:t>, such compensation is presumed to be fair to the Corporation unless proven unfair by a preponderance of the evidence. The directors may be paid their expenses, if any, of attendance at each meeting of the Board and may be paid a fixed sum for attendance at each meeting of the Board or a stated salary or other compensation as a director. No such payment shall preclude any director from serving the Corporation in any other capacity and receiving compensation therefor. Any director of the Corporation may decline any or all such compensation payable to such director in his or her discretion.</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Presumption of Assent</w:t>
      </w:r>
      <w:r>
        <w:rPr>
          <w:rFonts w:ascii="Arial" w:cs="Arial" w:eastAsia="Arial" w:hAnsi="Arial"/>
          <w:sz w:val="18"/>
          <w:szCs w:val="18"/>
          <w:b w:val="1"/>
          <w:bCs w:val="1"/>
          <w:color w:val="auto"/>
        </w:rPr>
        <w:t xml:space="preserve">. </w:t>
      </w:r>
      <w:r>
        <w:rPr>
          <w:rFonts w:ascii="Arial" w:cs="Arial" w:eastAsia="Arial" w:hAnsi="Arial"/>
          <w:sz w:val="18"/>
          <w:szCs w:val="18"/>
          <w:color w:val="auto"/>
        </w:rPr>
        <w:t>A director of the Corporation who is present at a meeting of the Board at which action on any corporate matter is</w:t>
      </w:r>
      <w:r>
        <w:rPr>
          <w:rFonts w:ascii="Arial" w:cs="Arial" w:eastAsia="Arial" w:hAnsi="Arial"/>
          <w:sz w:val="18"/>
          <w:szCs w:val="18"/>
          <w:b w:val="1"/>
          <w:bCs w:val="1"/>
          <w:color w:val="auto"/>
        </w:rPr>
        <w:t xml:space="preserve"> </w:t>
      </w:r>
      <w:r>
        <w:rPr>
          <w:rFonts w:ascii="Arial" w:cs="Arial" w:eastAsia="Arial" w:hAnsi="Arial"/>
          <w:sz w:val="18"/>
          <w:szCs w:val="18"/>
          <w:color w:val="auto"/>
        </w:rPr>
        <w:t>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Elected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shall elect and appoint a president, a secretary and a treasurer. The Board may from time to time, by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Removal;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elected or appointed by the Board may be removed by the Board with or without cause. Any officer may</w:t>
      </w:r>
      <w:r>
        <w:rPr>
          <w:rFonts w:ascii="Arial" w:cs="Arial" w:eastAsia="Arial" w:hAnsi="Arial"/>
          <w:sz w:val="18"/>
          <w:szCs w:val="18"/>
          <w:b w:val="1"/>
          <w:bCs w:val="1"/>
          <w:color w:val="auto"/>
        </w:rPr>
        <w:t xml:space="preserve"> </w:t>
      </w:r>
      <w:r>
        <w:rPr>
          <w:rFonts w:ascii="Arial" w:cs="Arial" w:eastAsia="Arial" w:hAnsi="Arial"/>
          <w:sz w:val="18"/>
          <w:szCs w:val="18"/>
          <w:color w:val="auto"/>
        </w:rPr>
        <w:t>resign at any time upon written notice to the Corporation. Any such removal or resignation shall be subject to the rights, if any, of the respective parties under any contract between the Corporation and such officer or agent.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A newly created officer position and a vacancy in any elected officer position because of death, resignation, or removal may be</w:t>
      </w:r>
      <w:r>
        <w:rPr>
          <w:rFonts w:ascii="Arial" w:cs="Arial" w:eastAsia="Arial" w:hAnsi="Arial"/>
          <w:sz w:val="18"/>
          <w:szCs w:val="18"/>
          <w:b w:val="1"/>
          <w:bCs w:val="1"/>
          <w:color w:val="auto"/>
        </w:rPr>
        <w:t xml:space="preserve"> </w:t>
      </w:r>
      <w:r>
        <w:rPr>
          <w:rFonts w:ascii="Arial" w:cs="Arial" w:eastAsia="Arial" w:hAnsi="Arial"/>
          <w:sz w:val="18"/>
          <w:szCs w:val="18"/>
          <w:color w:val="auto"/>
        </w:rPr>
        <w:t>filled by the Board.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appoint a chief executive officer who, subject to the supervision and control of the Board,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ultimate responsibility for the management and control of the business and affairs of the Corporation, and shall perform such other duties and have such other powers which are delegated to him or her by the Board, these Bylaws or as may be provided by law.</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subject to the supervision and control of the Board, shall in general actively supervise and control the business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of the Corporation. The president shall keep the Board fully informed as the Board may request and shall consult the Board concerning the business of the Corporation. The president shall perform such other duties and have such other powers which are delegated and assigned to him or her by the Board, the chief executive officer, if any, these Bylaws or as may be provided by law.</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appoint a chief financial officer. The chief financial officer shall in general have overall supervision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financial operations of the Corporation. The chief financial officer shall perform such other duties and have such other powers which are delegated and assigned to him or her by the Board, the chief executive officer, if any. the president, these Bylaws or as may be provided by law.</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Vice Presidents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appoint one or more vice presidents. In the absence or disability of the president, or at the president’s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the vice president or vice presidents, in order of their rank as fixed by the Board, and if not ranked, the vice presidents in the order designated by the Board,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the chief executive officer, if any, the president, these Bylaws or as may be provided by law.</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keep or cause to be kept, in one or more books provided for that purpose, the minutes of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committees of the Board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perform all other duties commonly incident to his or her office and shall perform such other duties which are assigned to him or her by the Board, the chief executive officer, if any, the president, these Bylaws or as may be provided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66"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Assistant Secretaries</w:t>
      </w:r>
      <w:r>
        <w:rPr>
          <w:rFonts w:ascii="Arial" w:cs="Arial" w:eastAsia="Arial" w:hAnsi="Arial"/>
          <w:sz w:val="18"/>
          <w:szCs w:val="18"/>
          <w:b w:val="1"/>
          <w:bCs w:val="1"/>
          <w:color w:val="auto"/>
        </w:rPr>
        <w:t xml:space="preserve">. </w:t>
      </w:r>
      <w:r>
        <w:rPr>
          <w:rFonts w:ascii="Arial" w:cs="Arial" w:eastAsia="Arial" w:hAnsi="Arial"/>
          <w:sz w:val="18"/>
          <w:szCs w:val="18"/>
          <w:color w:val="auto"/>
        </w:rPr>
        <w:t>An assistant secretary, if appointed by the Board, shall, at the request of the secretary, or in the absence or disability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perform all the duties of the secretary. He or she shall perform such other duties as are assigned to him or her by the Board, the chief executive officer, if any, the president, the secretary, these Bylaws or as may be provided by law.</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shall exercise general supervision over the receipt, custody and disbursement of corporate funds. The 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perform all other duties commonly incident to his or her office and such other duties as may, from time to time, be assigned to him or her by the Board, the chief executive officer, if any, the president, these Bylaws or as may be provided by law.</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Assistant Treasurers</w:t>
      </w:r>
      <w:r>
        <w:rPr>
          <w:rFonts w:ascii="Arial" w:cs="Arial" w:eastAsia="Arial" w:hAnsi="Arial"/>
          <w:sz w:val="18"/>
          <w:szCs w:val="18"/>
          <w:b w:val="1"/>
          <w:bCs w:val="1"/>
          <w:color w:val="auto"/>
        </w:rPr>
        <w:t xml:space="preserve">. </w:t>
      </w:r>
      <w:r>
        <w:rPr>
          <w:rFonts w:ascii="Arial" w:cs="Arial" w:eastAsia="Arial" w:hAnsi="Arial"/>
          <w:sz w:val="18"/>
          <w:szCs w:val="18"/>
          <w:color w:val="auto"/>
        </w:rPr>
        <w:t>An assistant treasurer, if appointed by the Board, shall, at the request of the Treasurer, or in the absence or disability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perform all the duties of the Treasurer. He or she shall perform such other duties which are assigned to him or her by the Board, the chief executive officer (if any), the president, the treasurer, these Bylaws or as may be provided by law.</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Execution of Negotiable Instruments, Deeds and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All checks, drafts, notes, bonds, bills of exchange, and orders for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may from time to time designate. Such authority may be general or confined to specific instances as the Board may determine. The Board may authorize the use of the facsimile signatures of any such persons.</w:t>
      </w:r>
    </w:p>
    <w:p>
      <w:pPr>
        <w:spacing w:after="0" w:line="18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SHARES AND TRANSFERS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Issuance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to be issued stock of the Corporation up to the full amount authorized by the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such amounts and for such consideration as may be determined by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Stock Certificates and Uncertificated Shares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9" w:lineRule="auto"/>
        <w:tabs>
          <w:tab w:leader="none" w:pos="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shares of stock of the Corporation shall be represented by a certificate,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may authorize the issuance of uncertificated shares of some or all of any or all classes or series of the stock of the Corporation. Any such issuance of uncertificated shares shall have no effect on existing certificates for shares until such certificates are surrendered to the Corporation, or on the respective rights and obligations of the stockholders.</w:t>
      </w:r>
    </w:p>
    <w:p>
      <w:pPr>
        <w:spacing w:after="0" w:line="186" w:lineRule="exact"/>
        <w:rPr>
          <w:rFonts w:ascii="Arial" w:cs="Arial" w:eastAsia="Arial" w:hAnsi="Arial"/>
          <w:sz w:val="18"/>
          <w:szCs w:val="18"/>
          <w:color w:val="auto"/>
        </w:rPr>
      </w:pPr>
    </w:p>
    <w:p>
      <w:pPr>
        <w:jc w:val="both"/>
        <w:ind w:firstLine="656"/>
        <w:spacing w:after="0" w:line="273" w:lineRule="auto"/>
        <w:tabs>
          <w:tab w:leader="none" w:pos="929"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certificate representing shares shall be numbered in the order in which they shall be issued and shall be signed in the name of the Corporation by the chief executive officer, if any, the president or a vice president, and by the secretary or an assistant secretary, of the Corporation (or any other two officers or agents so authorized by the Board). Each certificate representing shares shall state the following: (i) the name of the Corporation and that it is organized under the laws of Nevada; (ii) the name of the person to whom the certificate is issued; (iii) the number and class of shares and the designation of the series, if any, which such certificate represents; the par value of each share, if any, represented by such certificate or a statement that the shares are without par value, and (iv) any restrictions on the transfer of the shares.</w:t>
      </w:r>
    </w:p>
    <w:p>
      <w:pPr>
        <w:spacing w:after="0" w:line="177" w:lineRule="exact"/>
        <w:rPr>
          <w:rFonts w:ascii="Arial" w:cs="Arial" w:eastAsia="Arial" w:hAnsi="Arial"/>
          <w:sz w:val="17"/>
          <w:szCs w:val="17"/>
          <w:color w:val="auto"/>
        </w:rPr>
      </w:pPr>
    </w:p>
    <w:p>
      <w:pPr>
        <w:jc w:val="both"/>
        <w:ind w:firstLine="656"/>
        <w:spacing w:after="0" w:line="311" w:lineRule="auto"/>
        <w:tabs>
          <w:tab w:leader="none" w:pos="8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Certificates of stock shall be in such form consistent with law as shall be prescribed by the Board.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federal, state or local laws or regulations then in effect.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7" w:lineRule="auto"/>
        <w:tabs>
          <w:tab w:leader="none" w:pos="9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Within a reasonable time after the issuance or transfer of uncertificated shares, the Corporation shall send to the registered owner of the shares a written notice containing the information required to be set forth or stated on certificates pursuant to the NRS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Transfer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of stock on the books of the Corporation may be authorized only by the record holder of such stock, the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legal representative or the holder’s attorney lawfully constituted in writing and, in the case of stock represented by a certificate or certificates, upon surrender of the certificate or the certificates for such stock, and, in the case of uncertificated stock, upon receipt of proper transfer instructions and compliance with appropriate procedures for transferring stock in uncertificated form (in each case, with such proof of the authenticity of signature as the Corporation or its transfer agent may reasonably require). Every certificate surrendered to the Corporation for exchange or transfer shall be cancelled, and no new certificate or certificates shall be issued in exchange for any existing certificate until such certificate shall have been so cancelled, except in cases provided for in </w:t>
      </w:r>
      <w:r>
        <w:rPr>
          <w:rFonts w:ascii="Arial" w:cs="Arial" w:eastAsia="Arial" w:hAnsi="Arial"/>
          <w:sz w:val="17"/>
          <w:szCs w:val="17"/>
          <w:u w:val="single" w:color="auto"/>
          <w:color w:val="auto"/>
        </w:rPr>
        <w:t>Section 5.4</w:t>
      </w:r>
      <w:r>
        <w:rPr>
          <w:rFonts w:ascii="Arial" w:cs="Arial" w:eastAsia="Arial" w:hAnsi="Arial"/>
          <w:sz w:val="17"/>
          <w:szCs w:val="17"/>
          <w:color w:val="auto"/>
        </w:rPr>
        <w:t>. The Corporation may treat as the absolute owner of stock of the Corporation the person or persons in whose name stock is registered on the books of the Corporation. Subject to the Articles of Incorporation, the Board may from time to time establish rules and regulations governing the issuance, transfer and registration of shares of stock of the Corporation.</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Loss of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Any stockholder claiming a certificate for stock to be lost, stolen, mutilated or destroyed shall make an affidavit of that</w:t>
      </w:r>
      <w:r>
        <w:rPr>
          <w:rFonts w:ascii="Arial" w:cs="Arial" w:eastAsia="Arial" w:hAnsi="Arial"/>
          <w:sz w:val="16"/>
          <w:szCs w:val="16"/>
          <w:b w:val="1"/>
          <w:bCs w:val="1"/>
          <w:color w:val="auto"/>
        </w:rPr>
        <w:t xml:space="preserve"> </w:t>
      </w:r>
      <w:r>
        <w:rPr>
          <w:rFonts w:ascii="Arial" w:cs="Arial" w:eastAsia="Arial" w:hAnsi="Arial"/>
          <w:sz w:val="16"/>
          <w:szCs w:val="16"/>
          <w:color w:val="auto"/>
        </w:rPr>
        <w:t>fact in such form as the Board may require and shall, if the Board so requires, give the Corporation a bond of indemnity in form, in an amount, and with one or more sureties satisfactory to the Board, to indemnify the Corporation against any claims which may be made against it on account of the alleged loss, theft or destruction of the certificate or issuance of such new certificate. The Corporation may then issue (a) a new certificate or certificates of stock or (b) uncertificated shares, for the same number of shares represented by the certificate claimed to have been lost, stolen, mutilated or destroyed.</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any certificate is countersigned by a transfer agent or by a registrar other than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then the signatures of the officers or agents of the Corporation may be a facsimile. In case any officer who has signed or whose facsimile signature has been placed on any such certificate shall cease to be such officer before such certificate has been delivered by the Corporation, such certificate may be issued and delivered by the Corporation as though the person who signed such certificate or whose facsimile signature or signatures had been placed thereon were such officer at the date of issue.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Indemnification and Insurance</w:t>
      </w:r>
      <w:r>
        <w:rPr>
          <w:rFonts w:ascii="Arial" w:cs="Arial" w:eastAsia="Arial" w:hAnsi="Arial"/>
          <w:sz w:val="18"/>
          <w:szCs w:val="18"/>
          <w:b w:val="1"/>
          <w:bCs w:val="1"/>
          <w:color w:val="auto"/>
        </w:rPr>
        <w:t>.</w:t>
      </w:r>
    </w:p>
    <w:p>
      <w:pPr>
        <w:spacing w:after="0" w:line="225"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Indemnification of Directors and Officers.</w:t>
      </w:r>
    </w:p>
    <w:p>
      <w:pPr>
        <w:spacing w:after="0" w:line="229" w:lineRule="exact"/>
        <w:rPr>
          <w:rFonts w:ascii="Arial" w:cs="Arial" w:eastAsia="Arial" w:hAnsi="Arial"/>
          <w:sz w:val="18"/>
          <w:szCs w:val="18"/>
          <w:color w:val="auto"/>
        </w:rPr>
      </w:pPr>
    </w:p>
    <w:p>
      <w:pPr>
        <w:jc w:val="both"/>
        <w:ind w:firstLine="1304"/>
        <w:spacing w:after="0" w:line="254" w:lineRule="auto"/>
        <w:tabs>
          <w:tab w:leader="none" w:pos="1513"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purposes of this Article, (A) “</w:t>
      </w:r>
      <w:r>
        <w:rPr>
          <w:rFonts w:ascii="Arial" w:cs="Arial" w:eastAsia="Arial" w:hAnsi="Arial"/>
          <w:sz w:val="18"/>
          <w:szCs w:val="18"/>
          <w:u w:val="single" w:color="auto"/>
          <w:color w:val="auto"/>
        </w:rPr>
        <w:t>Indemnitee</w:t>
      </w:r>
      <w:r>
        <w:rPr>
          <w:rFonts w:ascii="Arial" w:cs="Arial" w:eastAsia="Arial" w:hAnsi="Arial"/>
          <w:sz w:val="18"/>
          <w:szCs w:val="18"/>
          <w:color w:val="auto"/>
        </w:rPr>
        <w:t>” shall mean each director or officer who was or is a party to, or is threatened to be made a party to, or is otherwise involved (including as a non-party witness, deponent, or recipient of a subpoena) in, any Proceeding (as hereinafter defined), by reason of the fact that he or she is or was a director, officer employee or agent (including, without limitation, as a trustee, fiduciary, administrator or manager) of the Corporation or any predecessor entity thereof,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91" w:lineRule="exact"/>
        <w:rPr>
          <w:rFonts w:ascii="Arial" w:cs="Arial" w:eastAsia="Arial" w:hAnsi="Arial"/>
          <w:sz w:val="18"/>
          <w:szCs w:val="18"/>
          <w:color w:val="auto"/>
        </w:rPr>
      </w:pPr>
    </w:p>
    <w:p>
      <w:pPr>
        <w:jc w:val="both"/>
        <w:ind w:firstLine="1304"/>
        <w:spacing w:after="0" w:line="285" w:lineRule="auto"/>
        <w:tabs>
          <w:tab w:leader="none" w:pos="1565"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173" w:lineRule="exact"/>
        <w:rPr>
          <w:rFonts w:ascii="Arial" w:cs="Arial" w:eastAsia="Arial" w:hAnsi="Arial"/>
          <w:sz w:val="16"/>
          <w:szCs w:val="16"/>
          <w:color w:val="auto"/>
        </w:rPr>
      </w:pPr>
    </w:p>
    <w:p>
      <w:pPr>
        <w:jc w:val="both"/>
        <w:ind w:firstLine="1304"/>
        <w:spacing w:after="0" w:line="279" w:lineRule="auto"/>
        <w:tabs>
          <w:tab w:leader="none" w:pos="16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Indemnification pursuant to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continue as to an Indemnitee who has ceased to be a director or officer of the Corporation or who has ceased to serve, at the request of the Corporation, as a director, officer, employee, agent, trustee, fiduciary, administrator, partner, member or manager of, or in any other capacity for, another corporation or any partnership, joint venture, limited liability company, trust, or other enterprise, and such indemnification shall inure to the benefit of such Indemnitee’s heirs, executors and administrators.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304"/>
        <w:spacing w:after="0" w:line="273" w:lineRule="auto"/>
        <w:tabs>
          <w:tab w:leader="none" w:pos="1606"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Indemmitee is successful on the merits or otherwise in defense of any Proceeding, or in the defense of any claim, issue or matter therein, the Corporation shall indemnify him or her against expenses, including, without limitation, attorneys’ fees, actually and reasonably incurred by him or her in connection with the defense.</w:t>
      </w:r>
    </w:p>
    <w:p>
      <w:pPr>
        <w:spacing w:after="0" w:line="173" w:lineRule="exact"/>
        <w:rPr>
          <w:rFonts w:ascii="Arial" w:cs="Arial" w:eastAsia="Arial" w:hAnsi="Arial"/>
          <w:sz w:val="17"/>
          <w:szCs w:val="17"/>
          <w:color w:val="auto"/>
        </w:rPr>
      </w:pPr>
    </w:p>
    <w:p>
      <w:pPr>
        <w:ind w:firstLine="656"/>
        <w:spacing w:after="0" w:line="282" w:lineRule="auto"/>
        <w:tabs>
          <w:tab w:leader="none" w:pos="90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Indemnification of Employees and Other Persons</w:t>
      </w:r>
      <w:r>
        <w:rPr>
          <w:rFonts w:ascii="Arial" w:cs="Arial" w:eastAsia="Arial" w:hAnsi="Arial"/>
          <w:sz w:val="18"/>
          <w:szCs w:val="18"/>
          <w:color w:val="auto"/>
        </w:rPr>
        <w:t>. The Corporation may, by action of its Board and to the extent provided in such action,</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employees and other persons as though they were Indemnitees.</w:t>
      </w:r>
    </w:p>
    <w:p>
      <w:pPr>
        <w:spacing w:after="0" w:line="161" w:lineRule="exact"/>
        <w:rPr>
          <w:rFonts w:ascii="Arial" w:cs="Arial" w:eastAsia="Arial" w:hAnsi="Arial"/>
          <w:sz w:val="18"/>
          <w:szCs w:val="18"/>
          <w:color w:val="auto"/>
        </w:rPr>
      </w:pPr>
    </w:p>
    <w:p>
      <w:pPr>
        <w:jc w:val="both"/>
        <w:ind w:firstLine="656"/>
        <w:spacing w:after="0" w:line="266" w:lineRule="auto"/>
        <w:tabs>
          <w:tab w:leader="none" w:pos="89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Non-Exclusivity of Rights</w:t>
      </w:r>
      <w:r>
        <w:rPr>
          <w:rFonts w:ascii="Arial" w:cs="Arial" w:eastAsia="Arial" w:hAnsi="Arial"/>
          <w:sz w:val="18"/>
          <w:szCs w:val="18"/>
          <w:color w:val="auto"/>
        </w:rPr>
        <w:t>. The rights to indemnification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 rights that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statute, provision of the Articles of Incorporation or these Bylaws, agreement, vote of stockholders or directors, or otherwise.</w:t>
      </w:r>
    </w:p>
    <w:p>
      <w:pPr>
        <w:spacing w:after="0" w:line="175" w:lineRule="exact"/>
        <w:rPr>
          <w:rFonts w:ascii="Arial" w:cs="Arial" w:eastAsia="Arial" w:hAnsi="Arial"/>
          <w:sz w:val="18"/>
          <w:szCs w:val="18"/>
          <w:color w:val="auto"/>
        </w:rPr>
      </w:pPr>
    </w:p>
    <w:p>
      <w:pPr>
        <w:jc w:val="both"/>
        <w:ind w:firstLine="656"/>
        <w:spacing w:after="0" w:line="261" w:lineRule="auto"/>
        <w:tabs>
          <w:tab w:leader="none" w:pos="90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Corporation may purchase and maintain insurance or make other financial arrangements on behalf of any Indemnitee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79" w:lineRule="exact"/>
        <w:rPr>
          <w:rFonts w:ascii="Arial" w:cs="Arial" w:eastAsia="Arial" w:hAnsi="Arial"/>
          <w:sz w:val="18"/>
          <w:szCs w:val="18"/>
          <w:color w:val="auto"/>
        </w:rPr>
      </w:pPr>
    </w:p>
    <w:p>
      <w:pPr>
        <w:jc w:val="both"/>
        <w:ind w:firstLine="656"/>
        <w:spacing w:after="0" w:line="256" w:lineRule="auto"/>
        <w:tabs>
          <w:tab w:leader="none" w:pos="89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Other Financial Arrangements</w:t>
      </w:r>
      <w:r>
        <w:rPr>
          <w:rFonts w:ascii="Arial" w:cs="Arial" w:eastAsia="Arial" w:hAnsi="Arial"/>
          <w:sz w:val="18"/>
          <w:szCs w:val="18"/>
          <w:color w:val="auto"/>
        </w:rPr>
        <w:t>. The other financial arrangements which may be made by the Corporation may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87" w:lineRule="exact"/>
        <w:rPr>
          <w:rFonts w:ascii="Arial" w:cs="Arial" w:eastAsia="Arial" w:hAnsi="Arial"/>
          <w:sz w:val="18"/>
          <w:szCs w:val="18"/>
          <w:color w:val="auto"/>
        </w:rPr>
      </w:pPr>
    </w:p>
    <w:p>
      <w:pPr>
        <w:jc w:val="both"/>
        <w:ind w:firstLine="656"/>
        <w:spacing w:after="0" w:line="255" w:lineRule="auto"/>
        <w:tabs>
          <w:tab w:leader="none" w:pos="87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Other Matters Relating to Insurance or Financial Arrangements</w:t>
      </w:r>
      <w:r>
        <w:rPr>
          <w:rFonts w:ascii="Arial" w:cs="Arial" w:eastAsia="Arial" w:hAnsi="Arial"/>
          <w:sz w:val="18"/>
          <w:szCs w:val="18"/>
          <w:color w:val="auto"/>
        </w:rPr>
        <w:t>. Any insurance or other financial arrangement made on behalf of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may be provided by the Corporation or any other person approved by the Board, even if all or part of the other person’s stock or other securities are owned by the Corporation. In the absence of fraud (i) the decision of the Board as to the propriety of the terms and conditions of any insurance or other financial arrangement made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indemnification shall constitute a contract between the Corporation and 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and officers which may be modified as to any director or officer only with that person’s consent or as specifically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Notwithstanding any other provision of these Bylaws relating to their amendment generally, any repeal or amendment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no repeal or amendment of these Bylaws shall affect any or all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so as to limit or reduce the indemnification in any manner unless adopted by (a) the unanimous vote of the directors of the Corporation then serving, or (b) a vote of stockholders representing not less than two-thirds of the voting power of the issued and outstanding stock entitled to vote at an annual or special meeting of the stockholders duly noticed and called in accordance with the Bylaws;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shall have a retroactive effect inconsistent with the preceding sentences of this Section.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LAW</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References in these Bylaws to Nevada law, the NRS, the Exchange Act, rules promulgated under the Exchange Act, or to any provision of any of the foregoing shall be to such law or rule as it existed on the date these Bylaws were adopted or as such law or rule thereafter may be changed;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in the case of any change which expands the liability of directors or officers or limits the indemnification rights or the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advancement of expenses which the Corporation may provide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hereof, the rights to limited liability, to indemnification and to the advancement of expenses provided in the Articles of Incorporation and/or these Bylaws shall continue as before such change to the extent permitted by law; and (b) if such change permits the Corporation, without the requirement of any further action by stockholders or directors, to limit further the liability of directors or limit further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Declaration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may be declared, subject to the provisions of the laws of the State of Nevada and the Articles of Incorporation,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and may be paid in cash, property, shares of corporate stock, or any other medium.</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7"/>
          <w:szCs w:val="17"/>
          <w:b w:val="1"/>
          <w:bCs w:val="1"/>
          <w:u w:val="single" w:color="auto"/>
          <w:color w:val="auto"/>
        </w:rPr>
        <w:t>Fixing Record Dates for Distributions and Share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purpose of determining stockholders entitled to receive a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the Corporation (other than a distribution involving a purchase or redemption by the Corporation of any of its own shares) or a share dividend, the Board may, at the time of declaring the distribution or share dividend, set a date no more than 60 days prior to the date of the distribution or share dividend;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record date so fixed for such distribution or share dividend must not precede the date on which the Board adopted the resolution declaring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distribution or share dividend. If no record date is fixed for such distribution or share dividend, the record date shall be the date on which the resolution of the Board authorizing the distribution or share dividend is adopted.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Any records maintained by the Corporation in the regular course of its business, including its stock ledger, books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Corporation shall end on December 31 of each year.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otherwise expressly provided in these Bylaws, these Bylaws may be amended, revised, or repealed or new bylaws may be made adopted, only by a vote of (a) a majority of the Board, or (b) stockholders representing not less than a majority of the voting power of the issued and outstanding stock entitled to vote at an annual or special meeting of the stockholders duly noticed and called in accordance with the Bylaws.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the fullest extent permitted by law, and unless the Corporation consents in writing to the selection of an alternative forum, the Eighth Judicial District Court of Clark County, Nevada (or, if that court does not have jurisdiction, the federal district court for the District of Nevada or other state courts of the State of Nevada) shall, to the fullest extent permitted by law, be the exclusive forums for (a) any derivative action or proceeding brought in the name or right of the Corporation or on the Corporation’s behalf, (b) any action asserting or based upon a claim of breach of any duty owed by any director, officer, employee or agent of the Corporation to the Corporation or to the Corporation’s stockholders, (c) any action or assertion of a claim arising pursuant to any provision of Chapter 78 or Chapter 92A of the NRS or the Articles of Incorporation or these Bylaws (as each may be amended from time to time),</w:t>
      </w:r>
    </w:p>
    <w:p>
      <w:pPr>
        <w:spacing w:after="0" w:line="4" w:lineRule="exact"/>
        <w:rPr>
          <w:sz w:val="20"/>
          <w:szCs w:val="20"/>
          <w:color w:val="auto"/>
        </w:rPr>
      </w:pPr>
    </w:p>
    <w:p>
      <w:pPr>
        <w:jc w:val="both"/>
        <w:ind w:firstLine="8"/>
        <w:spacing w:after="0" w:line="255" w:lineRule="auto"/>
        <w:tabs>
          <w:tab w:leader="none" w:pos="2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action to interpret, apply, enforce or determine the validity of the Articles of Incorporation or these Bylaws or (e)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CERTIFICATE OF SECRETARY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 Marion Odence-Ford, certify that I am the Corporate Secretary of OptimizeRx Corporation, a Nevada corporation, and that the foregoing Second Amended and Restated Bylaws constitute the bylaws of OptimizeRx Corporation as duly adopted by the Board of Directors as of June 22, 2021.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hereunto subscribed my name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June 2021.</w:t>
      </w:r>
    </w:p>
    <w:p>
      <w:pPr>
        <w:spacing w:after="0" w:line="1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Code of Business Conduct and Ethics (this “Code”) contains general guidelines for conducting the business of OptimizeRx Corporation and its subsidiaries (collectively, the “Company” or “OptimizeRx”) and applies to all of the Company’s directors, officers and employees. We refer to all officers and other employees covered by this Code as “Company employees” or simply “employees,” unless the context otherwise requires. In this Code, we refer to our principal executive officer, principal financial officer, principal accounting officer and controller, or persons performing similar functions, as our “principal financial officers.” This Code, as applied to the Company’s principal financial officers, shall be the Company’s “code of ethics” within the meaning of Section 406 of the Sarbanes-Oxley Act of 2002 and the rules promulgated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Code is designed to deter wrongdoing and to promote:</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the Company files with, or submits to, the Securities and Exchange Commission (the “SEC”) and in other public communications made by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prompt internal reporting to an appropriate person or persons identified in the Code of violations of the Code;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this Code provides general guidance for appropriate conduct and avoidance of conflicts of interest, it does not supersede specific policies that are set forth in other Company policy statements. Violations of law, this Code or other Company policies or procedures can lead to disciplinary action up to and including termination of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Seeking Help and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day, you are faced with making decisions that will affect the Company’s business. You are obligated to comply with the Code guidelines and should avoid even the appearance of unethical or unprofessional behavior. This Code is not intended to be a comprehensive rulebook and cannot address every situation that you may face. If you feel uncomfortable about a situation or have any doubts about whether it is consistent with the Company’s ethical standards, seek help. OptimizeRx has many resources that can help you, including:</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your immediate supervisor or department manager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Human Resources Business Partner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Reporting Violations of the Code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seeking guidance, we are each expected to report any known or suspected violations of our Code, Company policies or applicable law. We have provided several channels for speaking up without fear of retaliation. Choose whichever reporting option is most comfortable for you:</w:t>
      </w:r>
    </w:p>
    <w:p>
      <w:pPr>
        <w:spacing w:after="0" w:line="146"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can report a known or suspected violation to your immediate supervisor or department manager, our Human Resources Business Partner, or our General Counsel.</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may also make a complaint by sending an email to whistleblowerhotline@OptimizeRx.com or anonymously online by going to: https://www.whistleblowerservices.com/OPRX. For additional guidance, see our Whistleblower Policy.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promptly and fairly review and/or investigate reports of any known or suspected violations of our Code, Company policy or applicable law in accordance with our legal and ethical obligations. We expect employees to cooperate fully and honestly in Company investigations. Some concerns may require an in-depth investigation, which could include interviews and reviews of documents. A violation of the Code or a Company policy may result in disciplinary action, up to and including termination of service, regardless of an employee’s title or tenure. The Company will keep investigations confidential to the extent possible consistent with the need to conduct a thorough investigation and to resolve the concern.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Against Retaliation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should all feel comfortable reporting perceived violations of our Code, Company policy or applicable law. It is not always easy to speak up, but doing so ensures that our Company continues to have a safe and respectful work environment. We prohibit any retaliation against anyone who, in good faith, seeks help or reports known or suspected violations. If you feel that you or any of your colleagues are being retaliated against, report it immediately. For additional guidance, please see our Whistleblower Policy. OptimizeRx takes all allegations of retaliation seriously and will promptly and thoroughly investigate. If the Company finds that retaliation occurred, appropriate disciplinary action will be taken.</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Nothing in this Code or any other Company policy limits the ability of an employee, officer, or director to communicate with or provide information to any governmental agency or commission, including the Securities and Exchange Commission, regarding possible legal violations without disclosure to the Company, as protected under applicable whistleblower laws. The Company prohibits retaliation for any of these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and Amendments of the Code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waiver of this Code for our directors, officers or other principal financial officers may be made only by the Board of Directors, or a designated committee of the Board of Directors, and will be disclosed to the public as required by law or the rules of the Securities and Exchange Commission and Nasdaq. Waivers of this Code for any other employee may be made only by the Company’s Chief Executive Officer or Chief Financial Officer, with guidance from the General Counsel as appropriate. In addition, we reserve the right to amend or supplement our Code and other Company policies without prior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HONEST AND ETHICAL CONDUCT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expects and requires ethical behavior from its directors and employees. You are expected to act in the best interests of the Company. Further, you must engage in and promote honest and ethical conduct, including handling actual or apparent conflicts of interest in an ethical manner, and act with honesty and integrity. In the best interests of the Company, you must avoid even the appearance of impropriety.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us has a responsibility to the Company, its stockholders and each other. Although this duty does not prevent us from engaging in personal transactions and investments, it does demand that we avoid situations where a conflict of interest might occur or appear to occur. A conflict of interest occurs when our private interests or actions interfere—or appear to interfere—with the interests of the Company. We must always be transparent about outside activities and relationships. Many times, conflicts can be avoided or resolved through open and honest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the general scope of this policy, conflicts of interest may arise when you:</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activities that compete with, or appear to compete with, the Company’s interests.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personal benefits, gifts or favors because of your position with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a significant financial interest in one of the Company’s vendors, customers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your decisions at work to be influenced, or appear to be influenced, by personal or family interests or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Divert a business opportunity away from the Company for personal benefit.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Engage in outside employment or service on a board of directors that interferes with your job performance or responsibilities to the Company.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Company property, information or resources for personal benefit or the benefit of others.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not always easy to identify conflicts of interest. They can take many forms and arise in a wide variety of contexts. All actual and potential conflicts of interest must be disclosed by directors, officers and principal financial officers to the General Counsel and the Audit Committee. Other employees must make their disclosure to their supervisors and the General Counsel. When an actual or potential conflict of interest is identified, the General Counsel, or in the case of directors, officers and principal financial officers, the Board of Directors or the Audit Committee, in consultation with the General Counsel as appropriate, must determine whether and what mitigating controls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an employee or director of the Company, you have an obligation to advance the Company’s interests when the opportunity to do so arises. If you discover or are presented with a business opportunity through the use of corporate property or information or because of your position with the Company, you should first present the business opportunity to the Company before pursuing the opportunity in your individual capacity. No employee or director may use corporate property, information or his or her position with the Company for personal gain or should compete with the Company while employed by us or while serving as a director to us. If you are an employee, you should disclose to your supervisor the terms and conditions of each business opportunity covered by this Code that you wish to pursue. Your supervisor will contact the General Counsel and the appropriate management personnel to determine whether the Company wishes to pursue the business opportunity. If you are a director, you should disclose to the Board of Directors the terms and conditions of the opportunity, and you may only pursue such opportunity if the Board of Directors declines to pursue such opportunity. If the Company waives its right to pursue the business opportunity, you may pursue the business opportunity on the same terms and conditions as originally proposed and consistent with the other ethical guidelines set forth in this Code; provided that any pursuit of such business opportunity shall not interfere in any way with or otherwise interrupt your work, duties and responsibilities as an employee or director of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Confidential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Directors and employees have access to a variety of confidential information regarding the Company. Confidential information includes all non-public information that, if improperly disclosed, might be useful to competitors, or detrimental to the Company, our customers, vendors or other third parties. Regardless of the source of confidential information or whether such information is about our Company or a third party, directors and employees must maintain the confidentiality of information entrusted to them. For reputational as well as legal reasons, it is important that directors and employees not disclose such information except in the performance of assigned duties, when the release of such information is authorized by the appropriate company officer, or when the release of such information is legally mandated. An employee’s obligation to protect confidential information continues after he or she leaves the Company. Unauthorized disclosure of confidential information could cause competitive harm to the Company or its customers and could result in legal liability to you and the Company. Any questions or concerns regarding whether disclosure of Company information is legally mandated should be promptly referred to the Company’s General Counsel. This provision is not intended to infringe on the statutory rights of employees, including but not limited to under the National Labor Relations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guidance, please see the Company’s Board Confidentiality Policy and the Company’s Insider Trading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of Corporate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OptimizeRx depends on you to use company assets honestly and efficiently, and to safeguard them against loss, theft, carelessness and misuse. To the extent that the Company has furnished you with equipment, you must care for that equipment and use it responsibly for Company business purposes. Company assets include items such as computers and other electronic devices, among other things. Limited personal use of company computers and phones is acceptable provided such equipment is primarily used for business purposes and any personal use does not interfere with your ability to perform your job responsibilities or violate Company policies or applicable law. The Company reserves the right to monitor, record, disclose, audit and delete without prior notice, all usage of our network and technological equipment, to the extent permitted by local law.</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Intellectual property, such as patents, copyrights, trademarks and trade secrets, are highly valuable assets and we are committed to ensuring our proprietary assets are not infringed upon or misappropriated by others. Our ongoing research and development activities, as well as our intellectual property, are confidential information and should not be disclosed to anyone outside of the Company, or to anyone internally without a legitimate business reason. This type of disclosure can seriously reduce the value of our intellectual property and potentially destroy our commercial advantage.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Gifts and Entertainment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Business gifts and entertainment are often customary courtesies in developing and maintaining strong working relationships with customers, vendors and other providers. However, gifts and entertainment are one area where there is a significant risk for the appearance of a conflict of interest, an actual conflict of interest, or even concerns about bribery or corruption. You are expected to be transparent and exercise good judgment when giving and receiving gifts.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In general, you are discouraged from accepting gifts or entertainment from our customers, vendors and other providers. Inexpensive gifts, infrequent business meals, celebratory events and entertainment, provided that they are not excessive or create an appearance of impropriety, do not violate this policy. Any gifts or entertainment in excess of $25.00 USD, whether or not reimbursed by the Company, must be reasonable and customary under the circumstances. Questions regarding whether a particular payment or gift violates this policy are to be directed to our General Counsel.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Gifts given by the Company to vendors or customers or received from vendors or customers should always be appropriate to the circumstances and should never be of a kind that could create an appearance of impropriety. The nature and cost of such gifts must always be accurately recorded in our books and records.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Charitable Contributions and Political Activities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encourages our employees to become involved in community activities and charitable organizations. However, no employee may bring undue pressure on another employee to contribute to a charitable organization. The Company respects the rights of our employees to participate in the political process. Indeed, engaging in the process builds a stronger community and a better political system. However, you must at all times make clear that your views and actions are your own, and not those of the Company. Additionally, employees may not use Company time or resources to support personal political activities or use their position to coerce or pressure employees to make contributions or support a candidate or political cause.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Employment Practices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Fair employment practices are an essential part of our business and help contribute to a culture of respect. We have a collective responsibility to foster a culture of fairness, respect, and inclusion that drives us to value and embrace differences. We prohibit any form of unlawful employee harassment or discrimination based on an individual’s age, race, color, national origin, ancestry, citizenship, religion, gender, sexual orientation, gender identity, pregnancy, physical or mental disability, medical condition, requests or approved protected medical leaves, genetic information, veteran status, uniformed servicemember status, domestic violence victim status, political affiliation, or any other status protected by federal, state, or local laws.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meet our responsibilities to employees, customers, and investors, the Company must maintain a safe and productive workplace. Violence or the threat of violence will not be tolerated, whether committed by or against a co-worker, supervisor, customer, vendor or visitor. The unlawful use, possession, purchase, sale, distribution, or being under the influence of any illegal drug and/or the misuse of legal drugs while on company or client premises or while performing services for the company is strictly prohibited. OptimizeRx also prohibits reporting to work or performing services under the influence of alcohol. All employees have the opportunity and responsibility to contribute to a safe work environment by using commonsense rules and safe practices and by notifying management when any health or safety issues are present.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guidance, please see our Employee Handbook.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ACCURACY OF FINANCIAL REPORTS AND OTHER PUBLIC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Reports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are subject to various securities laws, regulations and reporting obligations. Both federal law and our policies require the disclosure of accurate and complete information regarding the Company’s business, financial condition and results of operations. The Company’s financial statements are relied upon both internally and externally by individuals making business or investment decisions. Accuracy and candor are critical to the financial health of the Company. Reports and other documents the Company files or submits to the SEC as well as other public communications must contain full, fair, accurate, timely and understandable disclosure. Inaccurate, incomplete or untimely reporting will not be tolerated and can severely damage the Company and result in legal liability. All employees responsible for the preparation of the Corporation’s public disclosures, or who provide information as part of that process, have a responsibility to assure that such disclosures and information are complete, accurate and fairly reflect the Company’s assets, liabilities and material transactions engaged in by the Company.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become aware of inaccuracies contained in the financial statements, reports and other documents the Company filed or submitted to the SEC as well as other public communications made by the Company (collectively, “SEC Reports and Public Documents”), or material omissions from the SEC Reports and Public Documents, you should immediately report such inaccuracies or omissions to the Chairman of the Company’s Audit Committee pursuant to the procedures set forth in our Whistleblower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Records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Accurate and reliable records are crucial to our business. Our records are the basis of our earnings statements, financial reports and many other aspects of our business and guide our business decision-making and strategic planning. Company records include booking information, payroll, timecards, travel and expense reports, e-mails, accounting and financial data, measurement and performance records, electronic data files, personnel records, records relating to our intellectual property, product development and collaborations and all other records maintained in the ordinary course of our business. All Company records must be complete, accurate and reliable in all material respects. No false, artificial or misleading entries in the books and records of the Company shall be made for any reason whatsoever. No fund or asset that is not fully and properly recorded, and no accounting entries or books of account that do not truly reflect the transactions to which they relate, shall be created or maintained. Each employee and director must follow any formal document retention policy of the Company with respect to Company records within such employee’s or director’s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Spokespersons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public company, it is critical that all external communications with investment analysts, the media, and investors be consistent and accurate. Specific policies have been established regarding who may communicate information to the public. Public statements on our Company’s behalf must be made only by the appropriate sources within the Company.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media, financial analyst and investor inquiries must be referred to our Chief Executive Officer, Chief Financial Officer or General Counsel. For additional guidance, please see our Regulation FD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LAWS AND REGULATIONS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employee and director has an obligation to comply with all laws, rules and regulations applicable to the Company’s operations. These include, without limitation, laws covering bribery and kickbacks, copyrights, trademarks and trade secrets, information privacy, insider trading, illegal political contributions, antitrust prohibitions, foreign corrupt practices, offering or receiving gratuities, environmental hazards, employment discrimination or harassment, occupational health and safety, false or misleading financial information or misuse of corporate assets. You are expected to understand and comply with all laws, rules and regulations that apply to your job position. If any doubt exists about whether a course of action is lawful, you should seek advice from your supervisor or the Company’s General Counsel. The Company’s continued and current success largely depends upon its reputation for engaging in its business in an ethical and legal manner. Therefore, directors and employees must comply with both the letter and spirit of federal, state and local laws, rules and regulations applicable to the Company’s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Insider Trading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federal securities laws, no director, officer or employee can trade in the Company’s stock on the basis of material non-public information, nor can they “tip” material non-public information to others who use it to trade in the Company’s securities. The Company’s directors, officers and other employees designated by the Company are subject to additional restrictions on buying and selling Company stock, such as pre-clearance trading authorization. If you are subject to these restrictions, you will be notified by the Company’s General Counsel, Chief Financial Officer or Chief Executive Officer. For additional guidance, please see our Insider Trading Policy. All directors, officers and employees shall comply with the Company’s Insider Trading Policy.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Competition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compete vigorously and honestly based on the quality of our products and services, and are committed to never engaging in, or supporting, unfair or illegal business practices. Most countries around the world have competition laws (known in the U.S. as antitrust laws) designed to encourage competition in business for the benefit of consumers. While these laws vary around the world, their general purpose is to prevent a company or a group of companies from dominating or monopolizing the market, or using their market power to unreasonably restrain competition. When we interact with competitors, we must be especially vigilant to ensure our discussions comply with applicable competition laws. No employee or director may be involved, directly or indirectly, in any contracts, agreements or activities that might be construed as an attempt to violate these competition laws and regulations. Illegal business practices can include informal as well as formal agreements, and implied as well as express understandings or agreements between competitors, and can be evidenced by virtually any type of business conduct. Therefore, even in casual conversations, you must be careful not to give even the appearance of intent to violate competition laws. The consequences of a violation of competition laws are severe.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Bribery and Corruption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Bribery and corruption are not only against our Company values but are illegal and can expose both the employee and the Company to fines and other penalties, including imprisonment. Bribery refers to the offering, giving, soliciting or receiving of any item of value as a means of influencing the actions of an individual holding public or legal duty. We are committed to never offering or accepting bribes, kickbacks or other improper payments, whether directly or indirectly. All employees and directors, whether located in the United States or abroad, must comply with the U.S. Foreign Corrupt Practices Act (FCPA) and all anti-bribery laws. Corruption refers to dishonest or illegal behavior, an inducement to do wrong by improper or unlawful means. We may not accept or offer corrupt payments directly and we may not do so through third parties (e.g., agents, representatives, and consultants). We should select such third parties carefully, as we personally and our Company may be held responsible for their actions.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Anti-bribery and anti-corruption require the Company and its employees to be diligent in how we operate. It is critically important we remain in compliance with all anti-corruption laws. Violating these laws can severely harm our company’s reputation as an ethical business and result in civil and criminal penalties for the Company and individuals involved.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guidance, see the Company’s Global Anti-Bribery and Anti-Corruption Policy.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Environmental Protection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committed to being an environmentally responsible corporate citizen. Each director and employee of the Company has a responsibility to protect the environment and human life and health. It is, therefore, imperative that each of us accepts responsibility for compliance with laws and regulations governing the protection of the environment. We encourage employees to minimize the impact of the Company’s business operations on the environment with methods that are socially responsible and economically sound.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DISCIPLINARY ACTIONS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Violations of our Code, Company policies or applicable laws have serious consequences for both the Company and the individuals involved. Failure to comply with our Code, Company policies or applicable laws can result in disciplinary action. Disciplinary actions may include, but not be limited to suspension or termination of service, and such other action, including legal action, as the Company believes to be appropriate under the circumstances.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Approved and adopted: June 22,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2"/>
    </w:lvl>
    <w:lvl w:ilvl="1">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lvl w:ilvl="1">
      <w:lvlJc w:val="left"/>
      <w:lvlText w:val="(%2)"/>
      <w:numFmt w:val="lowerLetter"/>
      <w:start w:val="2"/>
    </w:lvl>
  </w:abstractNum>
  <w:abstractNum w:abstractNumId="9">
    <w:nsid w:val="436C6125"/>
    <w:multiLevelType w:val="hybridMultilevel"/>
    <w:lvl w:ilvl="0">
      <w:lvlJc w:val="left"/>
      <w:lvlText w:val="(%1)"/>
      <w:numFmt w:val="lowerLetter"/>
      <w:start w:val="61"/>
    </w:lvl>
    <w:lvl w:ilvl="1">
      <w:lvlJc w:val="left"/>
      <w:lvlText w:val="%2"/>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2"/>
    </w:lvl>
  </w:abstractNum>
  <w:abstractNum w:abstractNumId="12">
    <w:nsid w:val="721DA317"/>
    <w:multiLevelType w:val="hybridMultilevel"/>
    <w:lvl w:ilvl="0">
      <w:lvlJc w:val="left"/>
      <w:lvlText w:val="(%1)"/>
      <w:numFmt w:val="lowerLetter"/>
      <w:start w:val="3"/>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2"/>
    </w:lvl>
  </w:abstractNum>
  <w:abstractNum w:abstractNumId="15">
    <w:nsid w:val="6763845E"/>
    <w:multiLevelType w:val="hybridMultilevel"/>
    <w:lvl w:ilvl="0">
      <w:lvlJc w:val="left"/>
      <w:lvlText w:val="%1"/>
      <w:numFmt w:val="lowerRoman"/>
      <w:start w:val="1"/>
    </w:lvl>
    <w:lvl w:ilvl="1">
      <w:lvlJc w:val="left"/>
      <w:lvlText w:val="(%2)"/>
      <w:numFmt w:val="lowerLetter"/>
      <w:start w:val="3"/>
    </w:lvl>
    <w:lvl w:ilvl="2">
      <w:lvlJc w:val="left"/>
      <w:lvlText w:val="(%3)"/>
      <w:numFmt w:val="decimal"/>
      <w:start w:val="1"/>
    </w:lvl>
    <w:lvl w:ilvl="3">
      <w:lvlJc w:val="left"/>
      <w:lvlText w:val="(%4)"/>
      <w:numFmt w:val="lowerLetter"/>
      <w:start w:val="1"/>
    </w:lvl>
  </w:abstractNum>
  <w:abstractNum w:abstractNumId="16">
    <w:nsid w:val="75A2A8D4"/>
    <w:multiLevelType w:val="hybridMultilevel"/>
    <w:lvl w:ilvl="0">
      <w:lvlJc w:val="left"/>
      <w:lvlText w:val="(%1)"/>
      <w:numFmt w:val="lowerRoman"/>
      <w:start w:val="8"/>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17">
    <w:nsid w:val="8EDBDAB"/>
    <w:multiLevelType w:val="hybridMultilevel"/>
    <w:lvl w:ilvl="0">
      <w:lvlJc w:val="left"/>
      <w:lvlText w:val="%1"/>
      <w:numFmt w:val="decimal"/>
      <w:start w:val="1"/>
    </w:lvl>
    <w:lvl w:ilvl="1">
      <w:lvlJc w:val="left"/>
      <w:lvlText w:val="(%2)"/>
      <w:numFmt w:val="lowerLetter"/>
      <w:start w:val="4"/>
    </w:lvl>
  </w:abstractNum>
  <w:abstractNum w:abstractNumId="18">
    <w:nsid w:val="79838CB2"/>
    <w:multiLevelType w:val="hybridMultilevel"/>
    <w:lvl w:ilvl="0">
      <w:lvlJc w:val="left"/>
      <w:lvlText w:val="(%1)"/>
      <w:numFmt w:val="decimal"/>
      <w:start w:val="2"/>
    </w:lvl>
    <w:lvl w:ilvl="1">
      <w:lvlJc w:val="left"/>
      <w:lvlText w:val="%2"/>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1)"/>
      <w:numFmt w:val="lowerLetter"/>
      <w:start w:val="1"/>
    </w:lvl>
    <w:lvl w:ilvl="1">
      <w:lvlJc w:val="left"/>
      <w:lvlText w:val="(%2)"/>
      <w:numFmt w:val="lowerRoman"/>
      <w:start w:val="1"/>
    </w:lvl>
  </w:abstractNum>
  <w:abstractNum w:abstractNumId="24">
    <w:nsid w:val="2CA88611"/>
    <w:multiLevelType w:val="hybridMultilevel"/>
    <w:lvl w:ilvl="0">
      <w:lvlJc w:val="left"/>
      <w:lvlText w:val="%1"/>
      <w:numFmt w:val="lowerLetter"/>
      <w:start w:val="1"/>
    </w:lvl>
    <w:lvl w:ilvl="1">
      <w:lvlJc w:val="left"/>
      <w:lvlText w:val="(%2)"/>
      <w:numFmt w:val="lowerRoman"/>
      <w:start w:val="4"/>
    </w:lvl>
  </w:abstractNum>
  <w:abstractNum w:abstractNumId="25">
    <w:nsid w:val="836C40E"/>
    <w:multiLevelType w:val="hybridMultilevel"/>
    <w:lvl w:ilvl="0">
      <w:lvlJc w:val="left"/>
      <w:lvlText w:val="(%1)"/>
      <w:numFmt w:val="lowerLetter"/>
      <w:start w:val="2"/>
    </w:lvl>
    <w:lvl w:ilvl="1">
      <w:lvlJc w:val="left"/>
      <w:lvlText w:val="%2"/>
      <w:numFmt w:val="lowerRoman"/>
      <w:start w:val="1"/>
    </w:lvl>
  </w:abstractNum>
  <w:abstractNum w:abstractNumId="26">
    <w:nsid w:val="2901D82"/>
    <w:multiLevelType w:val="hybridMultilevel"/>
    <w:lvl w:ilvl="0">
      <w:lvlJc w:val="left"/>
      <w:lvlText w:val="(%1)"/>
      <w:numFmt w:val="lowerLetter"/>
      <w:start w:val="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2021-06-25T15:47:03Z</dcterms:created>
  <dcterms:modified xsi:type="dcterms:W3CDTF">2021-06-25T15:47:03Z</dcterms:modified>
</cp:coreProperties>
</file>