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Nevada</w:t>
            </w:r>
          </w:p>
        </w:tc>
        <w:tc>
          <w:tcPr>
            <w:tcW w:w="2040" w:type="dxa"/>
            <w:vAlign w:val="bottom"/>
            <w:gridSpan w:val="3"/>
          </w:tcPr>
          <w:p>
            <w:pPr>
              <w:jc w:val="center"/>
              <w:ind w:left="1510"/>
              <w:spacing w:after="0"/>
              <w:rPr>
                <w:sz w:val="20"/>
                <w:szCs w:val="20"/>
                <w:color w:val="auto"/>
              </w:rPr>
            </w:pPr>
            <w:r>
              <w:rPr>
                <w:rFonts w:ascii="Arial" w:cs="Arial" w:eastAsia="Arial" w:hAnsi="Arial"/>
                <w:sz w:val="18"/>
                <w:szCs w:val="18"/>
                <w:b w:val="1"/>
                <w:bCs w:val="1"/>
                <w:color w:val="auto"/>
                <w:w w:val="89"/>
              </w:rPr>
              <w:t>7389</w:t>
            </w:r>
          </w:p>
        </w:tc>
        <w:tc>
          <w:tcPr>
            <w:tcW w:w="1200" w:type="dxa"/>
            <w:vAlign w:val="bottom"/>
          </w:tcPr>
          <w:p>
            <w:pPr>
              <w:spacing w:after="0"/>
              <w:rPr>
                <w:sz w:val="22"/>
                <w:szCs w:val="22"/>
                <w:color w:val="auto"/>
              </w:rPr>
            </w:pPr>
          </w:p>
        </w:tc>
        <w:tc>
          <w:tcPr>
            <w:tcW w:w="42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3240" w:type="dxa"/>
            <w:vAlign w:val="bottom"/>
            <w:tcBorders>
              <w:top w:val="single" w:sz="8" w:color="auto"/>
            </w:tcBorders>
            <w:gridSpan w:val="4"/>
          </w:tcPr>
          <w:p>
            <w:pPr>
              <w:jc w:val="center"/>
              <w:ind w:left="330"/>
              <w:spacing w:after="0" w:line="201" w:lineRule="exact"/>
              <w:rPr>
                <w:sz w:val="20"/>
                <w:szCs w:val="20"/>
                <w:color w:val="auto"/>
              </w:rPr>
            </w:pPr>
            <w:r>
              <w:rPr>
                <w:rFonts w:ascii="Arial" w:cs="Arial" w:eastAsia="Arial" w:hAnsi="Arial"/>
                <w:sz w:val="18"/>
                <w:szCs w:val="18"/>
                <w:color w:val="auto"/>
                <w:w w:val="91"/>
              </w:rPr>
              <w:t>(Primary Standard Industrial</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3240" w:type="dxa"/>
            <w:vAlign w:val="bottom"/>
            <w:gridSpan w:val="4"/>
          </w:tcPr>
          <w:p>
            <w:pPr>
              <w:jc w:val="center"/>
              <w:ind w:left="330"/>
              <w:spacing w:after="0"/>
              <w:rPr>
                <w:sz w:val="20"/>
                <w:szCs w:val="20"/>
                <w:color w:val="auto"/>
              </w:rPr>
            </w:pPr>
            <w:r>
              <w:rPr>
                <w:rFonts w:ascii="Arial" w:cs="Arial" w:eastAsia="Arial" w:hAnsi="Arial"/>
                <w:sz w:val="18"/>
                <w:szCs w:val="18"/>
                <w:color w:val="auto"/>
                <w:w w:val="91"/>
              </w:rPr>
              <w:t>Classification Code Number)</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1"/>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b w:val="1"/>
                <w:bCs w:val="1"/>
                <w:color w:val="auto"/>
                <w:w w:val="89"/>
              </w:rPr>
              <w:t>Doney Ventures, Inc.</w:t>
            </w:r>
          </w:p>
        </w:tc>
      </w:tr>
      <w:tr>
        <w:trPr>
          <w:trHeight w:val="216"/>
        </w:trPr>
        <w:tc>
          <w:tcPr>
            <w:tcW w:w="390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91"/>
              </w:rPr>
              <w:t>400 Water Street, Suite 200</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80" w:type="dxa"/>
            <w:vAlign w:val="bottom"/>
            <w:gridSpan w:val="3"/>
          </w:tcPr>
          <w:p>
            <w:pPr>
              <w:jc w:val="center"/>
              <w:ind w:right="1230"/>
              <w:spacing w:after="0"/>
              <w:rPr>
                <w:sz w:val="20"/>
                <w:szCs w:val="20"/>
                <w:color w:val="auto"/>
              </w:rPr>
            </w:pPr>
            <w:r>
              <w:rPr>
                <w:rFonts w:ascii="Arial" w:cs="Arial" w:eastAsia="Arial" w:hAnsi="Arial"/>
                <w:sz w:val="18"/>
                <w:szCs w:val="18"/>
                <w:b w:val="1"/>
                <w:bCs w:val="1"/>
                <w:color w:val="auto"/>
                <w:w w:val="90"/>
              </w:rPr>
              <w:t>4955 S. Durango Rd. Ste. 165.</w:t>
            </w:r>
          </w:p>
        </w:tc>
      </w:tr>
      <w:tr>
        <w:trPr>
          <w:trHeight w:val="216"/>
        </w:trPr>
        <w:tc>
          <w:tcPr>
            <w:tcW w:w="390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91"/>
              </w:rPr>
              <w:t>Rochester, MI 48307</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b w:val="1"/>
                <w:bCs w:val="1"/>
                <w:color w:val="auto"/>
                <w:w w:val="89"/>
              </w:rPr>
              <w:t>Las Vegas, NV 89113</w:t>
            </w:r>
          </w:p>
        </w:tc>
      </w:tr>
      <w:tr>
        <w:trPr>
          <w:trHeight w:val="241"/>
        </w:trPr>
        <w:tc>
          <w:tcPr>
            <w:tcW w:w="3660" w:type="dxa"/>
            <w:vAlign w:val="bottom"/>
            <w:tcBorders>
              <w:bottom w:val="single" w:sz="8" w:color="auto"/>
            </w:tcBorders>
          </w:tcPr>
          <w:p>
            <w:pPr>
              <w:jc w:val="center"/>
              <w:ind w:left="1870"/>
              <w:spacing w:after="0"/>
              <w:rPr>
                <w:sz w:val="20"/>
                <w:szCs w:val="20"/>
                <w:color w:val="auto"/>
              </w:rPr>
            </w:pPr>
            <w:r>
              <w:rPr>
                <w:rFonts w:ascii="Arial" w:cs="Arial" w:eastAsia="Arial" w:hAnsi="Arial"/>
                <w:sz w:val="18"/>
                <w:szCs w:val="18"/>
                <w:b w:val="1"/>
                <w:bCs w:val="1"/>
                <w:color w:val="auto"/>
                <w:w w:val="92"/>
              </w:rPr>
              <w:t>(248) 651-6568</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3"/>
          </w:tcPr>
          <w:p>
            <w:pPr>
              <w:jc w:val="center"/>
              <w:ind w:right="1230"/>
              <w:spacing w:after="0"/>
              <w:rPr>
                <w:sz w:val="20"/>
                <w:szCs w:val="20"/>
                <w:color w:val="auto"/>
              </w:rPr>
            </w:pPr>
            <w:r>
              <w:rPr>
                <w:rFonts w:ascii="Arial" w:cs="Arial" w:eastAsia="Arial" w:hAnsi="Arial"/>
                <w:sz w:val="18"/>
                <w:szCs w:val="18"/>
                <w:b w:val="1"/>
                <w:bCs w:val="1"/>
                <w:color w:val="auto"/>
                <w:w w:val="90"/>
              </w:rPr>
              <w:t>(702) 982-5686</w:t>
            </w:r>
          </w:p>
        </w:tc>
      </w:tr>
      <w:tr>
        <w:trPr>
          <w:trHeight w:val="188"/>
        </w:trPr>
        <w:tc>
          <w:tcPr>
            <w:tcW w:w="562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90"/>
              </w:rPr>
              <w:t>(Address, including zip code, and telephone number, including area code, of</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80" w:type="dxa"/>
            <w:vAlign w:val="bottom"/>
            <w:gridSpan w:val="4"/>
          </w:tcPr>
          <w:p>
            <w:pPr>
              <w:jc w:val="center"/>
              <w:ind w:right="10"/>
              <w:spacing w:after="0" w:line="189" w:lineRule="exact"/>
              <w:rPr>
                <w:sz w:val="20"/>
                <w:szCs w:val="20"/>
                <w:color w:val="auto"/>
              </w:rPr>
            </w:pPr>
            <w:r>
              <w:rPr>
                <w:rFonts w:ascii="Arial" w:cs="Arial" w:eastAsia="Arial" w:hAnsi="Arial"/>
                <w:sz w:val="18"/>
                <w:szCs w:val="18"/>
                <w:color w:val="auto"/>
                <w:w w:val="90"/>
              </w:rPr>
              <w:t>(Name, address, including zip code, and telephone number, including area</w:t>
            </w:r>
          </w:p>
        </w:tc>
      </w:tr>
      <w:tr>
        <w:trPr>
          <w:trHeight w:val="230"/>
        </w:trPr>
        <w:tc>
          <w:tcPr>
            <w:tcW w:w="3900" w:type="dxa"/>
            <w:vAlign w:val="bottom"/>
            <w:gridSpan w:val="2"/>
          </w:tcPr>
          <w:p>
            <w:pPr>
              <w:jc w:val="center"/>
              <w:ind w:left="1630"/>
              <w:spacing w:after="0"/>
              <w:rPr>
                <w:sz w:val="20"/>
                <w:szCs w:val="20"/>
                <w:color w:val="auto"/>
              </w:rPr>
            </w:pPr>
            <w:r>
              <w:rPr>
                <w:rFonts w:ascii="Arial" w:cs="Arial" w:eastAsia="Arial" w:hAnsi="Arial"/>
                <w:sz w:val="18"/>
                <w:szCs w:val="18"/>
                <w:color w:val="auto"/>
                <w:w w:val="93"/>
              </w:rPr>
              <w:t>principal executive offices)</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60" w:type="dxa"/>
            <w:vAlign w:val="bottom"/>
            <w:gridSpan w:val="2"/>
          </w:tcPr>
          <w:p>
            <w:pPr>
              <w:jc w:val="center"/>
              <w:ind w:right="1650"/>
              <w:spacing w:after="0"/>
              <w:rPr>
                <w:sz w:val="20"/>
                <w:szCs w:val="20"/>
                <w:color w:val="auto"/>
              </w:rPr>
            </w:pPr>
            <w:r>
              <w:rPr>
                <w:rFonts w:ascii="Arial" w:cs="Arial" w:eastAsia="Arial" w:hAnsi="Arial"/>
                <w:sz w:val="18"/>
                <w:szCs w:val="18"/>
                <w:color w:val="auto"/>
                <w:w w:val="90"/>
              </w:rPr>
              <w:t>code, of agent for service)</w:t>
            </w:r>
          </w:p>
        </w:tc>
      </w:tr>
    </w:tbl>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From time to time after this registration statement becomes effective.</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540" w:type="dxa"/>
            <w:vAlign w:val="bottom"/>
          </w:tcPr>
          <w:p>
            <w:pPr>
              <w:ind w:left="460"/>
              <w:spacing w:after="0"/>
              <w:rPr>
                <w:sz w:val="20"/>
                <w:szCs w:val="20"/>
                <w:color w:val="auto"/>
              </w:rPr>
            </w:pPr>
            <w:r>
              <w:rPr>
                <w:rFonts w:ascii="Arial" w:cs="Arial" w:eastAsia="Arial" w:hAnsi="Arial"/>
                <w:sz w:val="18"/>
                <w:szCs w:val="18"/>
                <w:color w:val="auto"/>
              </w:rPr>
              <w:t>Large accelerated filer</w:t>
            </w:r>
          </w:p>
        </w:tc>
        <w:tc>
          <w:tcPr>
            <w:tcW w:w="11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spacing w:after="0"/>
              <w:rPr>
                <w:sz w:val="19"/>
                <w:szCs w:val="19"/>
                <w:color w:val="auto"/>
              </w:rPr>
            </w:pPr>
          </w:p>
        </w:tc>
        <w:tc>
          <w:tcPr>
            <w:tcW w:w="2580" w:type="dxa"/>
            <w:vAlign w:val="bottom"/>
          </w:tcPr>
          <w:p>
            <w:pPr>
              <w:ind w:left="36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r>
      <w:tr>
        <w:trPr>
          <w:trHeight w:val="290"/>
        </w:trPr>
        <w:tc>
          <w:tcPr>
            <w:tcW w:w="2540" w:type="dxa"/>
            <w:vAlign w:val="bottom"/>
          </w:tcPr>
          <w:p>
            <w:pPr>
              <w:ind w:left="460"/>
              <w:spacing w:after="0"/>
              <w:rPr>
                <w:sz w:val="20"/>
                <w:szCs w:val="20"/>
                <w:color w:val="auto"/>
              </w:rPr>
            </w:pPr>
            <w:r>
              <w:rPr>
                <w:rFonts w:ascii="Arial" w:cs="Arial" w:eastAsia="Arial" w:hAnsi="Arial"/>
                <w:sz w:val="18"/>
                <w:szCs w:val="18"/>
                <w:color w:val="auto"/>
              </w:rPr>
              <w:t>Non-accelerated filer</w:t>
            </w:r>
          </w:p>
        </w:tc>
        <w:tc>
          <w:tcPr>
            <w:tcW w:w="11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560"/>
              <w:spacing w:after="0"/>
              <w:rPr>
                <w:sz w:val="20"/>
                <w:szCs w:val="20"/>
                <w:color w:val="auto"/>
              </w:rPr>
            </w:pPr>
            <w:r>
              <w:rPr>
                <w:rFonts w:ascii="Arial" w:cs="Arial" w:eastAsia="Arial" w:hAnsi="Arial"/>
                <w:sz w:val="18"/>
                <w:szCs w:val="18"/>
                <w:color w:val="auto"/>
              </w:rPr>
              <w:t>(Do not check if a smaller reporting company)</w:t>
            </w:r>
          </w:p>
        </w:tc>
        <w:tc>
          <w:tcPr>
            <w:tcW w:w="2580" w:type="dxa"/>
            <w:vAlign w:val="bottom"/>
          </w:tcPr>
          <w:p>
            <w:pPr>
              <w:ind w:left="36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r>
      <w:tr>
        <w:trPr>
          <w:trHeight w:val="649"/>
        </w:trPr>
        <w:tc>
          <w:tcPr>
            <w:tcW w:w="2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560" w:type="dxa"/>
            <w:vAlign w:val="bottom"/>
            <w:gridSpan w:val="5"/>
          </w:tcPr>
          <w:p>
            <w:pPr>
              <w:ind w:left="40"/>
              <w:spacing w:after="0"/>
              <w:rPr>
                <w:sz w:val="20"/>
                <w:szCs w:val="20"/>
                <w:color w:val="auto"/>
              </w:rPr>
            </w:pPr>
            <w:r>
              <w:rPr>
                <w:rFonts w:ascii="Arial" w:cs="Arial" w:eastAsia="Arial" w:hAnsi="Arial"/>
                <w:sz w:val="18"/>
                <w:szCs w:val="18"/>
                <w:b w:val="1"/>
                <w:bCs w:val="1"/>
                <w:color w:val="auto"/>
              </w:rPr>
              <w:t>CALCULATION OF REGISTRATION FEE</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9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3940" w:type="dxa"/>
            <w:vAlign w:val="bottom"/>
          </w:tcPr>
          <w:p>
            <w:pPr>
              <w:ind w:left="2140"/>
              <w:spacing w:after="0"/>
              <w:rPr>
                <w:sz w:val="20"/>
                <w:szCs w:val="20"/>
                <w:color w:val="auto"/>
              </w:rPr>
            </w:pPr>
            <w:r>
              <w:rPr>
                <w:rFonts w:ascii="Arial" w:cs="Arial" w:eastAsia="Arial" w:hAnsi="Arial"/>
                <w:sz w:val="18"/>
                <w:szCs w:val="18"/>
                <w:b w:val="1"/>
                <w:bCs w:val="1"/>
                <w:color w:val="auto"/>
              </w:rPr>
              <w:t>Title of each class of</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 to be</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Offering Price</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41"/>
        </w:trPr>
        <w:tc>
          <w:tcPr>
            <w:tcW w:w="394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securities to be registered</w:t>
            </w:r>
          </w:p>
        </w:tc>
        <w:tc>
          <w:tcPr>
            <w:tcW w:w="18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2"/>
              </w:rPr>
              <w:t>Registered(1)</w:t>
            </w:r>
          </w:p>
        </w:tc>
        <w:tc>
          <w:tcPr>
            <w:tcW w:w="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per Share(5)</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Offering Price</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c>
          <w:tcPr>
            <w:tcW w:w="22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804,139(2)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Common Stock, par value $0.001 per share</w:t>
            </w:r>
          </w:p>
        </w:tc>
        <w:tc>
          <w:tcPr>
            <w:tcW w:w="3420" w:type="dxa"/>
            <w:vAlign w:val="bottom"/>
            <w:gridSpan w:val="4"/>
          </w:tcPr>
          <w:p>
            <w:pPr>
              <w:jc w:val="right"/>
              <w:ind w:right="100"/>
              <w:spacing w:after="0"/>
              <w:rPr>
                <w:sz w:val="20"/>
                <w:szCs w:val="20"/>
                <w:color w:val="auto"/>
              </w:rPr>
            </w:pPr>
            <w:r>
              <w:rPr>
                <w:rFonts w:ascii="Arial" w:cs="Arial" w:eastAsia="Arial" w:hAnsi="Arial"/>
                <w:sz w:val="18"/>
                <w:szCs w:val="18"/>
                <w:color w:val="auto"/>
              </w:rPr>
              <w:t>45,000(3)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48,150$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960" w:type="dxa"/>
            <w:vAlign w:val="bottom"/>
            <w:gridSpan w:val="2"/>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133,333(4)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142,666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w:t>
            </w: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8"/>
                <w:szCs w:val="18"/>
                <w:b w:val="1"/>
                <w:bCs w:val="1"/>
                <w:color w:val="auto"/>
                <w:w w:val="90"/>
              </w:rPr>
              <w:t>(6)</w:t>
            </w:r>
          </w:p>
        </w:tc>
        <w:tc>
          <w:tcPr>
            <w:tcW w:w="0" w:type="dxa"/>
            <w:vAlign w:val="bottom"/>
          </w:tcPr>
          <w:p>
            <w:pPr>
              <w:spacing w:after="0" w:line="20" w:lineRule="exact"/>
              <w:rPr>
                <w:sz w:val="1"/>
                <w:szCs w:val="1"/>
                <w:color w:val="auto"/>
              </w:rPr>
            </w:pPr>
          </w:p>
        </w:tc>
      </w:tr>
      <w:tr>
        <w:trPr>
          <w:trHeight w:val="237"/>
        </w:trPr>
        <w:tc>
          <w:tcPr>
            <w:tcW w:w="3940" w:type="dxa"/>
            <w:vAlign w:val="bottom"/>
            <w:vMerge w:val="continue"/>
          </w:tcPr>
          <w:p>
            <w:pPr>
              <w:spacing w:after="0"/>
              <w:rPr>
                <w:sz w:val="20"/>
                <w:szCs w:val="20"/>
                <w:color w:val="auto"/>
              </w:rPr>
            </w:pPr>
          </w:p>
        </w:tc>
        <w:tc>
          <w:tcPr>
            <w:tcW w:w="1960" w:type="dxa"/>
            <w:vAlign w:val="bottom"/>
            <w:gridSpan w:val="2"/>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982,472</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1,051,245</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105.87</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4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the shares being registered hereunder include such indeterminate number of shares of our Common Stock as may be issuable with respect to the shares being registered hereunder to prevent dilution by reason of any stock dividend, stock split, recapitalization or other similar transaction.</w:t>
      </w:r>
    </w:p>
    <w:p>
      <w:pPr>
        <w:jc w:val="both"/>
        <w:ind w:left="340" w:hanging="332"/>
        <w:spacing w:after="0" w:line="264"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429 under the Securities Act of 1933, the prospectus included in this Registration Statement is a combined prospectus relating to 804,139 shares of common stock issuable upon the exercise of warrants held by placement agents in our March 2014 Private Placement, which were registered for a fee of $179.41 on Registration Statement No. 333-195210 previously filed by us on Form S-1 and declared effective May 28, 2014. There are no other shares outstanding under Registration Statement No. 333-195210. This Registration Statement, which is a new registration statement, also constitutes a Post-Effective Amendment on Form S-1 to such Registration Statement No. 333-195210, and such post-effective amendment shall hereafter become effective concurrently with the effectiveness of this Registration Statement in accordance with Section 8(c) of the Securities Act of 1933.</w:t>
      </w:r>
    </w:p>
    <w:p>
      <w:pPr>
        <w:spacing w:after="0" w:line="1"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429 under the Securities Act of 1933, the prospectus included in this Registration Statement is a combined prospectus relating to 45,000 shares of common stock that were issued under an Advisor Agreement with Merriman Capital, Inc. dated February 23, 2015, which were registered for a fee of $127.50 on Registration Statement No. 333-203820 previously filed by us on Form S-1 and declared effective May 28, 2014. Aside from the 804,139 shares of common stock issuable upon the exercise of warrants held by placement agents in our March 2014 Private Placement, there are no other shares outstanding under Registration Statement No. 333-203820. This Registration Statement, which is a new registration statement, also constitutes a Post-Effective Amendment on Form S-1 to such Registration Statement No. 333-195210, and such post-effective amendment shall hereafter become effective concurrently with the effectiveness of this Registration Statement in accordance with Section 8(c) of the Securities Act of 1933.</w:t>
      </w:r>
    </w:p>
    <w:p>
      <w:pPr>
        <w:spacing w:after="0" w:line="1" w:lineRule="exact"/>
        <w:rPr>
          <w:rFonts w:ascii="Arial" w:cs="Arial" w:eastAsia="Arial" w:hAnsi="Arial"/>
          <w:sz w:val="16"/>
          <w:szCs w:val="16"/>
          <w:color w:val="auto"/>
        </w:rPr>
      </w:pPr>
    </w:p>
    <w:p>
      <w:pPr>
        <w:ind w:left="340" w:hanging="332"/>
        <w:spacing w:after="0" w:line="23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133,333 newly offered shares of common stock issued to Mr. Shad Stastney in connection with a Separation Agreement dated September 30, 2013.</w:t>
      </w:r>
    </w:p>
    <w:p>
      <w:pPr>
        <w:spacing w:after="0" w:line="1" w:lineRule="exact"/>
        <w:rPr>
          <w:rFonts w:ascii="Arial" w:cs="Arial" w:eastAsia="Arial" w:hAnsi="Arial"/>
          <w:sz w:val="18"/>
          <w:szCs w:val="18"/>
          <w:color w:val="auto"/>
        </w:rPr>
      </w:pPr>
    </w:p>
    <w:p>
      <w:pPr>
        <w:ind w:left="340" w:right="20" w:hanging="332"/>
        <w:spacing w:after="0" w:line="23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under the Securities Act based upon the closing price per share of our Common Stock as reported on the OTCQB, on June 2, 2016.</w:t>
      </w:r>
    </w:p>
    <w:p>
      <w:pPr>
        <w:spacing w:after="0" w:line="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Securities registered by OptimizeRx Corp. pursuant to the Registration Statement No. 333-195210 initially filed on April 11, 2014 and Registration Statement No. 333-203820 initially filed on May 4, 2015 that are unsold as of the effective date of this Registration Statement will be included in this Registration Statement pursuant to Rule 457(p) as of the effective date. The previously paid fee from both registration statements of $306.91 will continue to be applied to such unsold shares and will entirely offset the $14.37 filing fee in connection with the newly issued shares.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THIS REGISTRATION STATEMENT SHALL BECOME EFFECTIVE ON SUCH DATE AS THE COMMISSION, ACTING PURSUANT TO SECTION 8(A), MAY DETERMINE.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Scott Doney,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Doney Law Firm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4955 S. Durango Rd. Ste 165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NV 89113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(702) 982-5686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FF0000"/>
        </w:rPr>
        <w:t>The information in this prospectus is not complete and may be changed. This prospectus is included in a registration statement that we filed with the Securities and Exchange Commission. The Selling Shareholders cannot sell these securities under this registration statement until this registration statement becomes effective. This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June 6,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982,472 Shares of Common Stock</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prospectus relates to the resale by the Selling Shareholders of up to 982,472 shares of our Common Stock, par value $0.001 per share (the “Common Stock”). Of the Common Stock offered herein, 804,139 shares are issuable upon the exercise of warrants held by placement agents that were issued in connection with our March 2014 Private Placement (described below), 45,000 shares were issued to Merriman Capital, Inc. under an Advisory Agreement dated February 23, 2015 and 133,333 shares were issued to Mr. Shadron Stastney under a Separation Agreement dated September 20, 2013.</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Selling Shareholders may offer and sell or otherwise dispose of the shares described in this prospectus from time to time through public or private transaction at prevailing market prices, at prices related to such prevailing market prices, at varying prices determined at the time of sale, at negotiated prices, or at fixed prices. See “Plan of Distribution” beginning on page 11 for more information.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not receive any of the proceeds from the Common Stock sold by the Selling Shareholders, unless the warrants described herein are issued for cash and not on a cashless basis.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agreed to pay certain expenses in connection with this registration statement. The Selling Shareholders will pay all underwriting discounts and selling commissions, if any, in connection with the sale of the shares of Common Stock.</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traded on the OTCQB under the symbol “OPRX.” On June 2, 2016, the last reported sale price of our Common Stock was $1.07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4.</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June 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gridSpan w:val="4"/>
          </w:tcPr>
          <w:p>
            <w:pPr>
              <w:ind w:left="80"/>
              <w:spacing w:after="0"/>
              <w:rPr>
                <w:sz w:val="20"/>
                <w:szCs w:val="20"/>
                <w:color w:val="auto"/>
              </w:rPr>
            </w:pPr>
            <w:r>
              <w:rPr>
                <w:rFonts w:ascii="Arial" w:cs="Arial" w:eastAsia="Arial" w:hAnsi="Arial"/>
                <w:sz w:val="18"/>
                <w:szCs w:val="18"/>
                <w:b w:val="1"/>
                <w:bCs w:val="1"/>
                <w:color w:val="auto"/>
              </w:rPr>
              <w:t>Table of Contents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2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ABOUT THIS PROSPECTUS</w:t>
              </w:r>
            </w:hyperlink>
          </w:p>
        </w:tc>
        <w:tc>
          <w:tcPr>
            <w:tcW w:w="7480" w:type="dxa"/>
            <w:vAlign w:val="bottom"/>
            <w:tcBorders>
              <w:bottom w:val="single" w:sz="8" w:color="CCEEFF"/>
            </w:tcBorders>
            <w:gridSpan w:val="12"/>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00" w:type="dxa"/>
            <w:vAlign w:val="bottom"/>
            <w:gridSpan w:val="20"/>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ABOUT FORWARD-LOOKING STATEMENTS</w:t>
              </w:r>
            </w:hyperlink>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tcBorders>
              <w:top w:val="single" w:sz="8" w:color="0000EE"/>
            </w:tcBorders>
            <w:gridSpan w:val="13"/>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6120" w:type="dxa"/>
            <w:vAlign w:val="bottom"/>
            <w:gridSpan w:val="7"/>
            <w:shd w:val="clear" w:color="auto" w:fill="CCEEFF"/>
          </w:tcPr>
          <w:p>
            <w:pPr>
              <w:spacing w:after="0"/>
              <w:rPr>
                <w:sz w:val="15"/>
                <w:szCs w:val="15"/>
                <w:color w:val="auto"/>
              </w:rPr>
            </w:pPr>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240" w:type="dxa"/>
            <w:vAlign w:val="bottom"/>
            <w:tcBorders>
              <w:bottom w:val="single" w:sz="8" w:color="0000EE"/>
            </w:tcBorders>
            <w:gridSpan w:val="2"/>
          </w:tcPr>
          <w:p>
            <w:pPr>
              <w:spacing w:after="0" w:line="17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RISK FACTORS</w:t>
              </w:r>
            </w:hyperlink>
          </w:p>
        </w:tc>
        <w:tc>
          <w:tcPr>
            <w:tcW w:w="8460" w:type="dxa"/>
            <w:vAlign w:val="bottom"/>
            <w:gridSpan w:val="18"/>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220" w:type="dxa"/>
            <w:vAlign w:val="bottom"/>
            <w:tcBorders>
              <w:bottom w:val="single" w:sz="8" w:color="0000EE"/>
            </w:tcBorders>
            <w:gridSpan w:val="12"/>
          </w:tcPr>
          <w:p>
            <w:pPr>
              <w:spacing w:after="0" w:line="17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DETERMINATION OF OFFERING PRICE</w:t>
              </w:r>
            </w:hyperlink>
          </w:p>
        </w:tc>
        <w:tc>
          <w:tcPr>
            <w:tcW w:w="6480" w:type="dxa"/>
            <w:vAlign w:val="bottom"/>
            <w:gridSpan w:val="8"/>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SELLING SHAREHOLDERS</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5"/>
          </w:tcPr>
          <w:p>
            <w:pPr>
              <w:spacing w:after="0" w:line="17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PLAN OF DISTRIBUTION</w:t>
              </w:r>
            </w:hyperlink>
          </w:p>
        </w:tc>
        <w:tc>
          <w:tcPr>
            <w:tcW w:w="160" w:type="dxa"/>
            <w:vAlign w:val="bottom"/>
            <w:tcBorders>
              <w:top w:val="single" w:sz="8" w:color="0000EE"/>
            </w:tcBorders>
            <w:gridSpan w:val="2"/>
          </w:tcPr>
          <w:p>
            <w:pPr>
              <w:spacing w:after="0"/>
              <w:rPr>
                <w:sz w:val="15"/>
                <w:szCs w:val="15"/>
                <w:color w:val="auto"/>
              </w:rPr>
            </w:pPr>
          </w:p>
        </w:tc>
        <w:tc>
          <w:tcPr>
            <w:tcW w:w="7500" w:type="dxa"/>
            <w:vAlign w:val="bottom"/>
            <w:tcBorders>
              <w:top w:val="single" w:sz="8" w:color="CCEEFF"/>
            </w:tcBorders>
            <w:gridSpan w:val="13"/>
          </w:tcPr>
          <w:p>
            <w:pPr>
              <w:spacing w:after="0"/>
              <w:rPr>
                <w:sz w:val="15"/>
                <w:szCs w:val="15"/>
                <w:color w:val="auto"/>
              </w:rPr>
            </w:pPr>
          </w:p>
        </w:tc>
        <w:tc>
          <w:tcPr>
            <w:tcW w:w="1700" w:type="dxa"/>
            <w:vAlign w:val="bottom"/>
            <w:tcBorders>
              <w:top w:val="single" w:sz="8" w:color="CCEEFF"/>
            </w:tcBorders>
          </w:tcPr>
          <w:p>
            <w:pPr>
              <w:jc w:val="center"/>
              <w:ind w:left="1230"/>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20"/>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DIRECTORS, EXECUTIVE OFFICERS, PROMOTERS AND CONTROL PERSONS</w:t>
              </w:r>
            </w:hyperlink>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360" w:type="dxa"/>
            <w:vAlign w:val="bottom"/>
            <w:tcBorders>
              <w:right w:val="single" w:sz="8" w:color="0000EE"/>
            </w:tcBorders>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7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SECURITY OWNERSHIP OF CERTAIN BENEFICIAL OWNERS AND MANAGEMENT</w:t>
              </w:r>
            </w:hyperlink>
          </w:p>
        </w:tc>
        <w:tc>
          <w:tcPr>
            <w:tcW w:w="2980" w:type="dxa"/>
            <w:vAlign w:val="bottom"/>
            <w:tcBorders>
              <w:bottom w:val="single" w:sz="8" w:color="CCEEFF"/>
            </w:tcBorders>
            <w:gridSpan w:val="2"/>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00" w:type="dxa"/>
            <w:vAlign w:val="bottom"/>
            <w:tcBorders>
              <w:bottom w:val="single" w:sz="8" w:color="0000EE"/>
            </w:tcBorders>
            <w:gridSpan w:val="11"/>
          </w:tcPr>
          <w:p>
            <w:pPr>
              <w:spacing w:after="0" w:line="17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DESCRIPTION OF SECURITIES</w:t>
              </w:r>
            </w:hyperlink>
          </w:p>
        </w:tc>
        <w:tc>
          <w:tcPr>
            <w:tcW w:w="7200" w:type="dxa"/>
            <w:vAlign w:val="bottom"/>
            <w:gridSpan w:val="9"/>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INTERESTS OF NAMED EXPERTS AND COUNSEL</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300" w:type="dxa"/>
            <w:vAlign w:val="bottom"/>
            <w:tcBorders>
              <w:bottom w:val="single" w:sz="8" w:color="0000EE"/>
            </w:tcBorders>
            <w:gridSpan w:val="19"/>
          </w:tcPr>
          <w:p>
            <w:pPr>
              <w:spacing w:after="0" w:line="17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DISCLOSURE OF COMMISSION POSITION OF INDEMNIFICATION FOR SECURITIES ACT LIABILITIES</w:t>
              </w:r>
            </w:hyperlink>
          </w:p>
        </w:tc>
        <w:tc>
          <w:tcPr>
            <w:tcW w:w="1400" w:type="dxa"/>
            <w:vAlign w:val="bottom"/>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BUSINESS</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860" w:type="dxa"/>
            <w:vAlign w:val="bottom"/>
            <w:tcBorders>
              <w:bottom w:val="single" w:sz="8" w:color="0000EE"/>
            </w:tcBorders>
            <w:gridSpan w:val="15"/>
          </w:tcPr>
          <w:p>
            <w:pPr>
              <w:spacing w:after="0" w:line="17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CERTAIN RELATIONSHIPS AND RELATED TRANSACTIONS</w:t>
              </w:r>
            </w:hyperlink>
          </w:p>
        </w:tc>
        <w:tc>
          <w:tcPr>
            <w:tcW w:w="4840" w:type="dxa"/>
            <w:vAlign w:val="bottom"/>
            <w:gridSpan w:val="5"/>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tcBorders>
              <w:bottom w:val="single" w:sz="8" w:color="0000EE"/>
              <w:right w:val="single" w:sz="8" w:color="CCEEFF"/>
            </w:tcBorders>
            <w:gridSpan w:val="17"/>
            <w:shd w:val="clear" w:color="auto" w:fill="CCEEFF"/>
          </w:tcPr>
          <w:p>
            <w:pPr>
              <w:spacing w:after="0" w:line="17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MARKET FOR COMMON EQUITY AND RELATED STOCKHOLDER MATTERS</w:t>
              </w:r>
            </w:hyperlink>
          </w:p>
        </w:tc>
        <w:tc>
          <w:tcPr>
            <w:tcW w:w="3400" w:type="dxa"/>
            <w:vAlign w:val="bottom"/>
            <w:tcBorders>
              <w:bottom w:val="single" w:sz="8" w:color="CCEEFF"/>
            </w:tcBorders>
            <w:gridSpan w:val="3"/>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tcBorders>
              <w:bottom w:val="single" w:sz="8" w:color="0000EE"/>
            </w:tcBorders>
            <w:gridSpan w:val="10"/>
          </w:tcPr>
          <w:p>
            <w:pPr>
              <w:spacing w:after="0" w:line="17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EXECUTIVE COMPENSATION</w:t>
              </w:r>
            </w:hyperlink>
          </w:p>
        </w:tc>
        <w:tc>
          <w:tcPr>
            <w:tcW w:w="7260" w:type="dxa"/>
            <w:vAlign w:val="bottom"/>
            <w:gridSpan w:val="10"/>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FINANCIAL STATEMENTS</w:t>
              </w:r>
            </w:hyperlink>
          </w:p>
        </w:tc>
        <w:tc>
          <w:tcPr>
            <w:tcW w:w="7560" w:type="dxa"/>
            <w:vAlign w:val="bottom"/>
            <w:tcBorders>
              <w:bottom w:val="single" w:sz="8" w:color="CCEEFF"/>
            </w:tcBorders>
            <w:gridSpan w:val="14"/>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Borders>
              <w:bottom w:val="single" w:sz="8" w:color="0000EE"/>
            </w:tcBorders>
            <w:gridSpan w:val="16"/>
          </w:tcPr>
          <w:p>
            <w:pPr>
              <w:spacing w:after="0" w:line="176"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CHANGES IN AND DISAGREEMENTS WITH ACCOUNTANTS</w:t>
              </w:r>
            </w:hyperlink>
          </w:p>
        </w:tc>
        <w:tc>
          <w:tcPr>
            <w:tcW w:w="4760" w:type="dxa"/>
            <w:vAlign w:val="bottom"/>
            <w:gridSpan w:val="4"/>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AVAILABLE INFORMATION</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1400" w:type="dxa"/>
            <w:vAlign w:val="bottom"/>
            <w:tcBorders>
              <w:top w:val="single" w:sz="8" w:color="CCEEFF"/>
              <w:bottom w:val="single" w:sz="8" w:color="auto"/>
            </w:tcBorders>
          </w:tcPr>
          <w:p>
            <w:pPr>
              <w:spacing w:after="0"/>
              <w:rPr>
                <w:sz w:val="24"/>
                <w:szCs w:val="24"/>
                <w:color w:val="auto"/>
              </w:rPr>
            </w:pPr>
          </w:p>
        </w:tc>
        <w:tc>
          <w:tcPr>
            <w:tcW w:w="17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93610" cy="5655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3610" cy="565531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or the SEC. Under this registration process, the selling shareholders may, from time to time, offer and sell up to 982,472 shares of our common stock, as described in this prospectus, in one or more offerings. This prospectus provides you with a general description of the securities the selling shareholders may offer. You should read this prospectus carefully before making an investment decision.</w:t>
      </w:r>
    </w:p>
    <w:p>
      <w:pPr>
        <w:spacing w:after="0" w:line="187" w:lineRule="exact"/>
        <w:rPr>
          <w:sz w:val="20"/>
          <w:szCs w:val="20"/>
          <w:color w:val="auto"/>
        </w:rPr>
      </w:pPr>
    </w:p>
    <w:p>
      <w:pPr>
        <w:jc w:val="both"/>
        <w:ind w:left="100"/>
        <w:spacing w:after="0" w:line="273" w:lineRule="auto"/>
        <w:rPr>
          <w:sz w:val="20"/>
          <w:szCs w:val="20"/>
          <w:color w:val="auto"/>
        </w:rPr>
      </w:pPr>
      <w:r>
        <w:rPr>
          <w:rFonts w:ascii="Arial" w:cs="Arial" w:eastAsia="Arial" w:hAnsi="Arial"/>
          <w:sz w:val="17"/>
          <w:szCs w:val="17"/>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78"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FORWARD-LOOKING STATEMENTS</w:t>
      </w:r>
    </w:p>
    <w:p>
      <w:pPr>
        <w:spacing w:after="0" w:line="229" w:lineRule="exact"/>
        <w:rPr>
          <w:sz w:val="20"/>
          <w:szCs w:val="20"/>
          <w:color w:val="auto"/>
        </w:rPr>
      </w:pPr>
    </w:p>
    <w:p>
      <w:pPr>
        <w:jc w:val="both"/>
        <w:ind w:left="100"/>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2"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4 of this prospectus.</w:t>
      </w:r>
    </w:p>
    <w:p>
      <w:pPr>
        <w:spacing w:after="0" w:line="187"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93610" cy="7027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3610" cy="70275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Business Summary</w:t>
      </w:r>
    </w:p>
    <w:p>
      <w:pPr>
        <w:spacing w:after="0" w:line="229"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We provide unique consumer and physician platforms and strategies to help patients better afford and comply with their medicines and healthcare products, while offering pharmaceutical and healthcare companies more effective ways to expand physician and patient awareness, access and adherence to their medications and available product support.</w:t>
      </w:r>
    </w:p>
    <w:p>
      <w:pPr>
        <w:spacing w:after="0" w:line="181" w:lineRule="exact"/>
        <w:rPr>
          <w:sz w:val="20"/>
          <w:szCs w:val="20"/>
          <w:color w:val="auto"/>
        </w:rPr>
      </w:pPr>
    </w:p>
    <w:p>
      <w:pPr>
        <w:jc w:val="both"/>
        <w:ind w:left="100"/>
        <w:spacing w:after="0" w:line="302" w:lineRule="auto"/>
        <w:rPr>
          <w:sz w:val="20"/>
          <w:szCs w:val="20"/>
          <w:color w:val="auto"/>
        </w:rPr>
      </w:pPr>
      <w:r>
        <w:rPr>
          <w:rFonts w:ascii="Arial" w:cs="Arial" w:eastAsia="Arial" w:hAnsi="Arial"/>
          <w:sz w:val="16"/>
          <w:szCs w:val="16"/>
          <w:color w:val="auto"/>
        </w:rPr>
        <w:t>Our core product offering is our SampleMD™ software application which delivers an automated system that replaces traditional physical drug samples by enabling doctors or other healthcare providers to automatically print and electronically distribute sample vouchers or co-pay discount coupons within their ePrescribing/ EHR (electronic health record) system or from their computer desktops. Through SampleMD, pharmaceutical and biotech manufacturers have a digital paperless platform to directly offer patients critical cost savings, patient education and adherence tools-- right at point of prescribing.</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Shares Underlying Warrants Issued in Connection With the March 2014 Private Placement Financing</w:t>
      </w:r>
    </w:p>
    <w:p>
      <w:pPr>
        <w:spacing w:after="0" w:line="229" w:lineRule="exact"/>
        <w:rPr>
          <w:sz w:val="20"/>
          <w:szCs w:val="20"/>
          <w:color w:val="auto"/>
        </w:rPr>
      </w:pPr>
    </w:p>
    <w:p>
      <w:pPr>
        <w:jc w:val="both"/>
        <w:ind w:left="100"/>
        <w:spacing w:after="0" w:line="297" w:lineRule="auto"/>
        <w:rPr>
          <w:sz w:val="20"/>
          <w:szCs w:val="20"/>
          <w:color w:val="auto"/>
        </w:rPr>
      </w:pPr>
      <w:r>
        <w:rPr>
          <w:rFonts w:ascii="Arial" w:cs="Arial" w:eastAsia="Arial" w:hAnsi="Arial"/>
          <w:sz w:val="16"/>
          <w:szCs w:val="16"/>
          <w:color w:val="auto"/>
        </w:rPr>
        <w:t>On March 17, 2014 (the “March 2014 Private Placement”), we entered into a Stock Purchase Agreement (the “Purchase Agreement”) with certain accredited investors (the “Purchasers”) pursuant to which we: (i) sold to the Purchasers an aggregate of 8,333,333 shares of our Common Stock at a price per share of $1.20 (the “Common Shares”) for aggregate gross proceeds of $10 million and (ii) issued warrants to purchase up to 804,139 shares of the our Common Stock to our placement agents (the “Agent Warrants”). Placement Agents also received commissions equal to approximately 9.7% of the gross proceeds, for an aggregate commission of approximately $970,000, including reimbursements for their reasonable out of pocket expenses.</w:t>
      </w:r>
    </w:p>
    <w:p>
      <w:pPr>
        <w:spacing w:after="0" w:line="158"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We filed a Form S-1 registration statement on April 11, 2014 to register the Common Shares and Agent Warrants. That registration statement went effective on May 28, 2015. We are filing this Form S-1 registration statement to maintain the registration of the shares of common stock underlying the Agent Warrants. The Common Shares are not a part of this registration statement.</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Shares Issued in Connection with the Merriman Capital, Inc. Advisory Agreement</w:t>
      </w:r>
    </w:p>
    <w:p>
      <w:pPr>
        <w:spacing w:after="0" w:line="22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On February 23, 2015, we entered into an advisory agreement (the “Advisory Agreement”) with Merriman Capital, Inc. (“Merriman”). In exchange for advisory services pertaining to capital market interactions, we agreed to issue to Merriman 45,000 shares of common stock upon execution of the Advisory Agreement, with 45,000 additional shares of common stock due on or before August 15, 2015 and 60,000 shares of common stock as a bonus if we successfully up-list to a national exchange.</w:t>
      </w:r>
    </w:p>
    <w:p>
      <w:pPr>
        <w:spacing w:after="0" w:line="187"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In August 2015, we and Merriman agreed to terminate the Advisory Agreement as it pertains to the issuance of any additional shares. We have issued and delivered to Merriman the 45,000 initial shares, which are being registered herein as a condition of the Advisory Agreement (the “Advisory Shares”). The sale of these shares has been completed and Merriman bears the market risk in connection with these shares.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Shares Issued in Connection with the Separation Agreement with Mr. Shadron Stastney</w:t>
      </w:r>
    </w:p>
    <w:p>
      <w:pPr>
        <w:spacing w:after="0" w:line="229"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On September 20, 2013, we entered into a Separation Agreement with Mr. Shadron Stastney regarding the terms and conditions of his departure from our company (the “Separation Agreement”). Pursuant to the provisions of the Separation Agreement, we agreed to issue to Mr. Stastney 500,000 shares of our common stock.</w:t>
      </w:r>
    </w:p>
    <w:p>
      <w:pPr>
        <w:spacing w:after="0" w:line="181" w:lineRule="exact"/>
        <w:rPr>
          <w:sz w:val="20"/>
          <w:szCs w:val="20"/>
          <w:color w:val="auto"/>
        </w:rPr>
      </w:pPr>
    </w:p>
    <w:p>
      <w:pPr>
        <w:jc w:val="both"/>
        <w:ind w:left="100"/>
        <w:spacing w:after="0" w:line="277" w:lineRule="auto"/>
        <w:rPr>
          <w:sz w:val="20"/>
          <w:szCs w:val="20"/>
          <w:color w:val="auto"/>
        </w:rPr>
      </w:pPr>
      <w:r>
        <w:rPr>
          <w:rFonts w:ascii="Arial" w:cs="Arial" w:eastAsia="Arial" w:hAnsi="Arial"/>
          <w:sz w:val="18"/>
          <w:szCs w:val="18"/>
          <w:color w:val="auto"/>
        </w:rPr>
        <w:t>On May 27, 2016, we entered into a Settlement Agreement with Mr. Stastney to register the remaining 133,333 shares of his original 500,000 shares of common stock (the “Separation Shares”).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456"/>
        </w:trPr>
        <w:tc>
          <w:tcPr>
            <w:tcW w:w="40" w:type="dxa"/>
            <w:vAlign w:val="bottom"/>
            <w:tcBorders>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0" w:type="dxa"/>
            <w:vAlign w:val="bottom"/>
            <w:tcBorders>
              <w:top w:val="single" w:sz="8" w:color="auto"/>
            </w:tcBorders>
          </w:tcPr>
          <w:p>
            <w:pPr>
              <w:spacing w:after="0"/>
              <w:rPr>
                <w:sz w:val="24"/>
                <w:szCs w:val="24"/>
                <w:color w:val="auto"/>
              </w:rPr>
            </w:pPr>
          </w:p>
        </w:tc>
        <w:tc>
          <w:tcPr>
            <w:tcW w:w="3360" w:type="dxa"/>
            <w:vAlign w:val="bottom"/>
            <w:tcBorders>
              <w:top w:val="single" w:sz="8" w:color="auto"/>
            </w:tcBorders>
            <w:gridSpan w:val="6"/>
          </w:tcPr>
          <w:p>
            <w:pPr>
              <w:ind w:left="1140"/>
              <w:spacing w:after="0"/>
              <w:rPr>
                <w:sz w:val="20"/>
                <w:szCs w:val="20"/>
                <w:color w:val="auto"/>
              </w:rPr>
            </w:pPr>
            <w:r>
              <w:rPr>
                <w:rFonts w:ascii="Arial" w:cs="Arial" w:eastAsia="Arial" w:hAnsi="Arial"/>
                <w:sz w:val="18"/>
                <w:szCs w:val="18"/>
                <w:b w:val="1"/>
                <w:bCs w:val="1"/>
                <w:color w:val="auto"/>
              </w:rPr>
              <w:t>The Offering</w:t>
            </w: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r>
      <w:tr>
        <w:trPr>
          <w:trHeight w:val="404"/>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7"/>
              </w:rPr>
              <w:t>Common stock offered by the Selling Shareholders</w:t>
            </w:r>
          </w:p>
        </w:tc>
        <w:tc>
          <w:tcPr>
            <w:tcW w:w="7400" w:type="dxa"/>
            <w:vAlign w:val="bottom"/>
            <w:tcBorders>
              <w:right w:val="single" w:sz="8" w:color="auto"/>
            </w:tcBorders>
            <w:gridSpan w:val="18"/>
          </w:tcPr>
          <w:p>
            <w:pPr>
              <w:ind w:left="300"/>
              <w:spacing w:after="0"/>
              <w:rPr>
                <w:sz w:val="20"/>
                <w:szCs w:val="20"/>
                <w:color w:val="auto"/>
              </w:rPr>
            </w:pPr>
            <w:r>
              <w:rPr>
                <w:rFonts w:ascii="Arial" w:cs="Arial" w:eastAsia="Arial" w:hAnsi="Arial"/>
                <w:sz w:val="18"/>
                <w:szCs w:val="18"/>
                <w:color w:val="auto"/>
                <w:w w:val="90"/>
              </w:rPr>
              <w:t>982,472 shares of common stock, consisting of Agent Warrants to purchase up to 804,139 shares</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5"/>
              </w:rPr>
              <w:t>of our common stock, 45,000 Advisory Shares of our common stock and 133,333 Separation</w:t>
            </w: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360" w:type="dxa"/>
            <w:vAlign w:val="bottom"/>
            <w:gridSpan w:val="6"/>
          </w:tcPr>
          <w:p>
            <w:pPr>
              <w:ind w:left="300"/>
              <w:spacing w:after="0"/>
              <w:rPr>
                <w:sz w:val="20"/>
                <w:szCs w:val="20"/>
                <w:color w:val="auto"/>
              </w:rPr>
            </w:pPr>
            <w:r>
              <w:rPr>
                <w:rFonts w:ascii="Arial" w:cs="Arial" w:eastAsia="Arial" w:hAnsi="Arial"/>
                <w:sz w:val="18"/>
                <w:szCs w:val="18"/>
                <w:color w:val="auto"/>
              </w:rPr>
              <w:t>Shares of our common stock.</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405"/>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Selling Shareholders</w:t>
            </w:r>
          </w:p>
        </w:tc>
        <w:tc>
          <w:tcPr>
            <w:tcW w:w="4720" w:type="dxa"/>
            <w:vAlign w:val="bottom"/>
            <w:gridSpan w:val="10"/>
          </w:tcPr>
          <w:p>
            <w:pPr>
              <w:ind w:left="30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Selling Shareholders</w:t>
            </w:r>
            <w:r>
              <w:rPr>
                <w:rFonts w:ascii="Arial" w:cs="Arial" w:eastAsia="Arial" w:hAnsi="Arial"/>
                <w:sz w:val="18"/>
                <w:szCs w:val="18"/>
                <w:color w:val="auto"/>
              </w:rPr>
              <w:t>” beginning on page 9.</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405"/>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4720" w:type="dxa"/>
            <w:vAlign w:val="bottom"/>
            <w:gridSpan w:val="10"/>
          </w:tcPr>
          <w:p>
            <w:pPr>
              <w:ind w:left="300"/>
              <w:spacing w:after="0"/>
              <w:rPr>
                <w:sz w:val="20"/>
                <w:szCs w:val="20"/>
                <w:color w:val="auto"/>
              </w:rPr>
            </w:pPr>
            <w:r>
              <w:rPr>
                <w:rFonts w:ascii="Arial" w:cs="Arial" w:eastAsia="Arial" w:hAnsi="Arial"/>
                <w:sz w:val="18"/>
                <w:szCs w:val="18"/>
                <w:color w:val="auto"/>
              </w:rPr>
              <w:t>29,077,660 common shares as of June 2, 2016.</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377"/>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Use of proceeds</w:t>
            </w:r>
          </w:p>
        </w:tc>
        <w:tc>
          <w:tcPr>
            <w:tcW w:w="7400" w:type="dxa"/>
            <w:vAlign w:val="bottom"/>
            <w:tcBorders>
              <w:right w:val="single" w:sz="8" w:color="auto"/>
            </w:tcBorders>
            <w:gridSpan w:val="18"/>
          </w:tcPr>
          <w:p>
            <w:pPr>
              <w:ind w:left="300"/>
              <w:spacing w:after="0"/>
              <w:rPr>
                <w:sz w:val="20"/>
                <w:szCs w:val="20"/>
                <w:color w:val="auto"/>
              </w:rPr>
            </w:pPr>
            <w:r>
              <w:rPr>
                <w:rFonts w:ascii="Arial" w:cs="Arial" w:eastAsia="Arial" w:hAnsi="Arial"/>
                <w:sz w:val="18"/>
                <w:szCs w:val="18"/>
                <w:color w:val="auto"/>
                <w:w w:val="96"/>
              </w:rPr>
              <w:t>We will not receive any proceeds from the sale or other disposition of the shares of common</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3"/>
              </w:rPr>
              <w:t>stock covered by this prospectus. However, upon any exercise of the Agent Warrants for cash,</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3"/>
              </w:rPr>
              <w:t>such Selling Shareholders would pay us the exercise price of the warrants. Cash received from</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rPr>
              <w:t>exercise of Agent Warrants will be used for general corporate purposes. Additionally, the</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1"/>
              </w:rPr>
              <w:t>Warrants are exercisable on a cashless basis. If any Agent Warrants are exercised on a cashless</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0"/>
              </w:rPr>
              <w:t>basis, we would not receive any cash payment from such Selling Shareholders upon any exercise</w:t>
            </w: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720" w:type="dxa"/>
            <w:vAlign w:val="bottom"/>
            <w:gridSpan w:val="10"/>
          </w:tcPr>
          <w:p>
            <w:pPr>
              <w:ind w:left="300"/>
              <w:spacing w:after="0"/>
              <w:rPr>
                <w:sz w:val="20"/>
                <w:szCs w:val="20"/>
                <w:color w:val="auto"/>
              </w:rPr>
            </w:pPr>
            <w:r>
              <w:rPr>
                <w:rFonts w:ascii="Arial" w:cs="Arial" w:eastAsia="Arial" w:hAnsi="Arial"/>
                <w:sz w:val="18"/>
                <w:szCs w:val="18"/>
                <w:color w:val="auto"/>
                <w:w w:val="93"/>
              </w:rPr>
              <w:t>of such Agent Warrants. See “Use of Proceeds” on page 9.</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405"/>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OTCQB Symbol</w:t>
            </w:r>
          </w:p>
        </w:tc>
        <w:tc>
          <w:tcPr>
            <w:tcW w:w="6200" w:type="dxa"/>
            <w:vAlign w:val="bottom"/>
            <w:gridSpan w:val="14"/>
          </w:tcPr>
          <w:p>
            <w:pPr>
              <w:ind w:left="300"/>
              <w:spacing w:after="0"/>
              <w:rPr>
                <w:sz w:val="20"/>
                <w:szCs w:val="20"/>
                <w:color w:val="auto"/>
              </w:rPr>
            </w:pPr>
            <w:r>
              <w:rPr>
                <w:rFonts w:ascii="Arial" w:cs="Arial" w:eastAsia="Arial" w:hAnsi="Arial"/>
                <w:sz w:val="18"/>
                <w:szCs w:val="18"/>
                <w:color w:val="auto"/>
                <w:w w:val="94"/>
              </w:rPr>
              <w:t>Our Common Stock is quoted on the OTCQB under the ticker symbol “OPRX”.</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377"/>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Risk Factors</w:t>
            </w:r>
          </w:p>
        </w:tc>
        <w:tc>
          <w:tcPr>
            <w:tcW w:w="7400" w:type="dxa"/>
            <w:vAlign w:val="bottom"/>
            <w:tcBorders>
              <w:right w:val="single" w:sz="8" w:color="auto"/>
            </w:tcBorders>
            <w:gridSpan w:val="18"/>
          </w:tcPr>
          <w:p>
            <w:pPr>
              <w:ind w:left="300"/>
              <w:spacing w:after="0"/>
              <w:rPr>
                <w:sz w:val="20"/>
                <w:szCs w:val="20"/>
                <w:color w:val="auto"/>
              </w:rPr>
            </w:pPr>
            <w:r>
              <w:rPr>
                <w:rFonts w:ascii="Arial" w:cs="Arial" w:eastAsia="Arial" w:hAnsi="Arial"/>
                <w:sz w:val="18"/>
                <w:szCs w:val="18"/>
                <w:color w:val="auto"/>
                <w:w w:val="93"/>
              </w:rPr>
              <w:t>You should consider the matters set forth under “</w:t>
            </w:r>
            <w:r>
              <w:rPr>
                <w:rFonts w:ascii="Arial" w:cs="Arial" w:eastAsia="Arial" w:hAnsi="Arial"/>
                <w:sz w:val="18"/>
                <w:szCs w:val="18"/>
                <w:i w:val="1"/>
                <w:iCs w:val="1"/>
                <w:color w:val="auto"/>
                <w:w w:val="93"/>
              </w:rPr>
              <w:t>Risk Factors</w:t>
            </w:r>
            <w:r>
              <w:rPr>
                <w:rFonts w:ascii="Arial" w:cs="Arial" w:eastAsia="Arial" w:hAnsi="Arial"/>
                <w:sz w:val="18"/>
                <w:szCs w:val="18"/>
                <w:color w:val="auto"/>
                <w:w w:val="93"/>
              </w:rPr>
              <w:t>” beginning on page 4, as well as</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4"/>
              </w:rPr>
              <w:t>other cautionary statements throughout or incorporated by reference in this prospectus, before</w:t>
            </w: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720" w:type="dxa"/>
            <w:vAlign w:val="bottom"/>
            <w:gridSpan w:val="10"/>
          </w:tcPr>
          <w:p>
            <w:pPr>
              <w:ind w:left="300"/>
              <w:spacing w:after="0"/>
              <w:rPr>
                <w:sz w:val="20"/>
                <w:szCs w:val="20"/>
                <w:color w:val="auto"/>
              </w:rPr>
            </w:pPr>
            <w:r>
              <w:rPr>
                <w:rFonts w:ascii="Arial" w:cs="Arial" w:eastAsia="Arial" w:hAnsi="Arial"/>
                <w:sz w:val="18"/>
                <w:szCs w:val="18"/>
                <w:color w:val="auto"/>
              </w:rPr>
              <w:t>deciding to invest in shares of our common stock.</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419"/>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60" w:type="dxa"/>
            <w:vAlign w:val="bottom"/>
            <w:gridSpan w:val="6"/>
          </w:tcPr>
          <w:p>
            <w:pPr>
              <w:ind w:left="400"/>
              <w:spacing w:after="0"/>
              <w:rPr>
                <w:sz w:val="20"/>
                <w:szCs w:val="20"/>
                <w:color w:val="auto"/>
              </w:rPr>
            </w:pPr>
            <w:r>
              <w:rPr>
                <w:rFonts w:ascii="Arial" w:cs="Arial" w:eastAsia="Arial" w:hAnsi="Arial"/>
                <w:sz w:val="18"/>
                <w:szCs w:val="18"/>
                <w:b w:val="1"/>
                <w:bCs w:val="1"/>
                <w:color w:val="auto"/>
              </w:rPr>
              <w:t>Summary Financial Information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24"/>
                <w:szCs w:val="24"/>
                <w:color w:val="auto"/>
              </w:rPr>
            </w:pPr>
          </w:p>
        </w:tc>
        <w:tc>
          <w:tcPr>
            <w:tcW w:w="120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1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3,446,973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7,548,261</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Assets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12,314,280</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7,028,806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11,097,757</w:t>
            </w: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3,371,784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2,418,722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2,551,208</w:t>
            </w: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8,942,496</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4,610,084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8,546,549</w:t>
            </w: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400"/>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3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w:t>
            </w: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20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8"/>
                <w:szCs w:val="18"/>
                <w:color w:val="auto"/>
              </w:rPr>
            </w:pPr>
          </w:p>
        </w:tc>
        <w:tc>
          <w:tcPr>
            <w:tcW w:w="120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 of Operations</w:t>
            </w:r>
          </w:p>
        </w:tc>
        <w:tc>
          <w:tcPr>
            <w:tcW w:w="18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7,220,678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6,502,962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1,759,528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1,487,533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Income (Loss) for the Period</w:t>
            </w:r>
          </w:p>
        </w:tc>
        <w:tc>
          <w:tcPr>
            <w:tcW w:w="2100" w:type="dxa"/>
            <w:vAlign w:val="bottom"/>
            <w:gridSpan w:val="3"/>
          </w:tcPr>
          <w:p>
            <w:pPr>
              <w:ind w:left="20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(595,140)</w:t>
            </w:r>
          </w:p>
        </w:tc>
        <w:tc>
          <w:tcPr>
            <w:tcW w:w="1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(1,025,393)</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(351,916)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(111,201)</w:t>
            </w: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205"/>
        </w:trPr>
        <w:tc>
          <w:tcPr>
            <w:tcW w:w="4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-1834515</wp:posOffset>
            </wp:positionV>
            <wp:extent cx="716915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0" cy="13716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-1560195</wp:posOffset>
            </wp:positionV>
            <wp:extent cx="716915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150" cy="13716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-582295</wp:posOffset>
            </wp:positionV>
            <wp:extent cx="71691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137160"/>
                    </a:xfrm>
                    <a:prstGeom prst="rect">
                      <a:avLst/>
                    </a:prstGeom>
                    <a:noFill/>
                  </pic:spPr>
                </pic:pic>
              </a:graphicData>
            </a:graphic>
          </wp:anchor>
        </w:drawing>
      </w:r>
    </w:p>
    <w:p>
      <w:pPr>
        <w:sectPr>
          <w:pgSz w:w="11900" w:h="16838" w:orient="portrait"/>
          <w:cols w:equalWidth="0" w:num="1">
            <w:col w:w="11500"/>
          </w:cols>
          <w:pgMar w:left="240" w:top="226" w:right="15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Readers and prospective investors in our common stock should carefully consider the following risk factors as well as the other information contained or incorporated by reference in this prospectus.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If any of the following risks actually occurs, our financial condition, results of operations and liquidity could be materially adversely affected. If this were to happen, the value of our common stock could decline, and if you invest in our common stock, you could lose all or part of your investment.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discussion below highlights some important risks we have identified related to our business and operations and an investment in shares of our common stock, but these should not be assumed to be the only factors that could affect our future performance and condition, financial and otherwise. We do not have a policy of updating or revising forward-looking statements except as otherwise required by law, and silence by management over time should not be construed to mean that actual events are occurring as estimated in such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Business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have historically experienced losses, if we are unable to achieve profitability, our financial condition and company could suffer.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our business we have historically incurred losses. While we have increased revenues significantly, we have not yet been able to achieve profitability due to significant investments in our growth.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No assurance can be given that we will be successful in this regard. If we are unable to engage and retain the necessary personnel, our business may be materially and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currently work with many leading pharmaceutical companies, including Pfizer, Eli Lilly, Actavis, AstraZeneca, Alcon, Daiichi Sankyo, Novartis, Novo Nordisk, Valeant, Shire, and others. Our failure to retain existing customers or expand with new customers could negatively impact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revenues are concentrated in approximately 25 customers, primarily large pharmaceutical manufacturers and large advertising agencies. Approximately 52% of our revenue came from our largest five customers. Loss of one or more of these customers could have a significant negative impact on our operating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Dr. First, Quest Diagnostics, and others. We will need to maintain these relationships as well as diversify them. The inability to do so could adversely impact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agreements with electronic prescription platforms are subject to audit, which could subject us to additional costs that might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 Despite the launch of Sample MD 2.0,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Do to the labyrinth of regulations in the healthcare space, state and federal, as well as political sensitivity of healthcare delivery, our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7"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payor pressure to move to generic brands.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are embroiled in various lawsuits from time to time with uncertain consequences, the outcome of potential judgments may negatively affect our financial condition and results of operations.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currently involved in litigation and other disputes, as described in this Prospectus. As we continue to grow, we can expect to have to deal with lawsuits that affect our business. Lawsuits are uncertain and involve a substantial degree of risk. If we are unable to successfully prosecute or defend these actions, our financial condition and results of operations could suffer.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and administrative costs and a diversion of management time and attention from revenue generating and other business activities to compliance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are subject to the “Penny Stock” rules, the level of trading activity in our stock may be reduced.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shares of common stock covered by this prospectus are being sold by the Selling Shareholders. See “Selling Shareholders” below. We will not receive any proceeds from these sales of shares of our common stock. A portion of the shares covered by this prospectus are issuable upon exercise of the Agent Warrants to purchase our common stock. Upon any exercise of the Agent Warrants for cash, such Selling Shareholders would pay us the exercise price of the warrants. Cash received from exercise of Agent Warrants will be used for general corporate purposes. Additionally, the Warrants are exercisable on a cashless basis. If any Agent Warrants are exercised on a cashless basis, we would not receive any cash payment from such Selling Shareholders upon any exercise of such Agent Warrants.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Shareholders will pay any underwriting discounts and commissions and expenses incurred by the Selling Shareholders for brokerage, accounting, tax, or legal services or any other expenses incurred by the Selling Shareholders in disposing of the shares. We will bear all other costs, fees, and expenses incurred in effecting the registration of the shares covered by this prospectus, including, without limitation, all registration and filing fees, and fees and expenses of our counsel and our accountants.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will determine at what price they may sell the offered shares, and such sales may be made at prevailing market prices, or at privately negotiated prices.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prepared this prospectus to allow the Selling Shareholders or their successors, assignees or other permitted transferees to sell or otherwise dispose of, from time to time, up to 982,472 shares of our Common Stock. Of the shares of common stock being offered under this prospectus 804,139 shares are able to be acquired pursuant to the Agent Warrants we issued in connection with our March 2014 Private Placement, which Agent Warrants are currently exercisable. There are also 45,000 Advisory Shares that were issued in connection with an Advisory Agreement with Merriman. We have issued and delivered to Merriman the 45,000 shares of common stock that were earned under the Advisory Agreement as of the date of execution. The remaining 133,333 Separation Shares were issued in connection with a Separation Agreement with Mr. Shadron Stastney. We have issued and delivered to Mr. Stastney these shares of common stock.</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Agent Warrants, Advisory Shares and Separation Shares were sold pursuant to an exemption from registration provided by Section 4(a)(2) of the Securities Act and/or Regulation D under the Securities Act. In connection therewith, the investors made to us certain representations, warranties, covenants, and conditions customary for private placement investments.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29,077,660 shares of Common Stock issued and outstanding as of June 2, 2016. Beneficial ownership is determined under Section 13(d) of the Exchange Act and generally includes voting or investment power with respect to securities and including any securities that grant the Selling Shareholders the right to acquire Common Stock within 60 days of June 2, 2016. Unless otherwise noted, each person or group identified possesses sole voting and investment power with respect to the shares, subject to community property laws where applicable.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know when or in what amounts the Selling Shareholders may sell or otherwise dispose of the shares covered hereby. We currently have no agreements, arrangements or understandings with the Selling Shareholders regarding the sale of any of the shares by them other than the registration rights agreement described below.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of common stock being offered under this prospectus may be offered for sale from time to time during the period the registration statement of which this prospectus is a part remains effective, by or for the accounts of the Selling Shareholders named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b w:val="1"/>
                <w:bCs w:val="1"/>
                <w:color w:val="auto"/>
                <w:w w:val="98"/>
              </w:rPr>
              <w:t>Shares of Common Stock</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As a</w:t>
            </w:r>
          </w:p>
        </w:tc>
        <w:tc>
          <w:tcPr>
            <w:tcW w:w="100" w:type="dxa"/>
            <w:vAlign w:val="bottom"/>
          </w:tcPr>
          <w:p>
            <w:pPr>
              <w:spacing w:after="0"/>
              <w:rPr>
                <w:sz w:val="17"/>
                <w:szCs w:val="17"/>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 of</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Beneficially</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Owned Prior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Owned After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to the Sale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the Sale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Sale of</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of all Shares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all Shares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covered by</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Covered by</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covered by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covered by</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this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this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this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this</w:t>
            </w:r>
          </w:p>
        </w:tc>
      </w:tr>
      <w:tr>
        <w:trPr>
          <w:trHeight w:val="241"/>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Shareholder</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Prospectus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Prospectus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Prospectus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Prospectus</w:t>
            </w:r>
          </w:p>
        </w:tc>
      </w:tr>
      <w:tr>
        <w:trPr>
          <w:trHeight w:val="216"/>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Merriman Capital, Inc.(1)</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Merriman Capital, Inc.(2)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591,613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591,613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Taglich Brothers, Inc.(3)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212,526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212,526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Shadron Stastney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133,333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133,333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left="340" w:hanging="332"/>
        <w:spacing w:after="0" w:line="25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45,000 shares of common stock issued under an Advisory Agreement with Merriman Capital, Inc. Merriman is a registered broker-dealer that served as the placement agent in connection with our March 2014 Private Placement. Jon Merriman is the CEO of Merriman and an affiliate of a registered-broker-dealer. Mr. Merriman has voting and dispositive power with respect to the shares.</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warrants received as our placement agent in our March 2014 Private Placement.</w:t>
      </w:r>
    </w:p>
    <w:p>
      <w:pPr>
        <w:spacing w:after="0" w:line="9" w:lineRule="exact"/>
        <w:rPr>
          <w:rFonts w:ascii="Arial" w:cs="Arial" w:eastAsia="Arial" w:hAnsi="Arial"/>
          <w:sz w:val="18"/>
          <w:szCs w:val="18"/>
          <w:color w:val="auto"/>
        </w:rPr>
      </w:pPr>
    </w:p>
    <w:p>
      <w:pPr>
        <w:jc w:val="both"/>
        <w:ind w:left="340" w:hanging="332"/>
        <w:spacing w:after="0" w:line="277"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of warrants received as our placement agent in our March 2014 Private Placement. Taglich Brothers, Inc. is a registered broker-dealer that served as the placement agent in connection with our March 2014 Private Placement. Michael N. Taglich is a stockholder and executive officer of Taglich Brothers, Inc. and an affiliate of a registered-broker-dealer. Mr. Taglich has voting and dispositive power with respect to the warrants.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time of the purchase of the securities to be resold under this Prospectus, the Selling Shareholders either received their securities as compensation in connection with investment banking services provided in connection with the March 2014 Private Placement, or purchased the securities in the ordinary course of business and represented to us that they did not have any agreements or understandings, directly or indirectly, with any person to distribute the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Selling Shareholders, or their partners, pledgees, donees, transferees or other successors that receive the shares and their corresponding registration in accordance with the registration rights agreement to which the Selling Shareholder is party (each also a selling shareholder for purposes of this prospectus), may sell up to all of the shares of our common stock shown in the table above pursuant to this Prospectus in one or more transactions from time to time as described below under “Plan of Distribution.” However, the Selling Shareholders are not obligated to sell any of the shares of our common stock offered by this prospectus.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about the Selling Shareholders may change from time to time. Any changed information with respect to which we are given notice will be included in prospectus supplements.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registering the shares of Common Stock to permit the resale of these shares of Common Stock by the Selling Shareholders and any of their transferees, pledgees, assignees, donees, and successors-in-interest from time to time after the date of this prospectus. We will not receive any of the proceeds from the sale by the Selling Shareholders of the shares of Common Stock. Upon any exercise of the Agent Warrants by payment of cash, however, we will receive the exercise price of the Agent Warrants. We will bear all fees and expenses incident to our obligation to register the shares of Common Stock.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Selling Shareholder (the “Selling Shareholders”) of the securities and any of their pledgees, assignees and successors-in-interest may, from time to time, sell any or all of their securities covered hereby on the OTC Bulletin Board, OTCQB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Shareholders to sell a specified number of such securities at a stipulated price per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may also sell securities under Rule 144 under the Securities Act of 1933, as amended (the “Securities Act”), if available, rather than under this prospectus.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 In no event shall any broker-dealer receive fees, commissions and markups which, in the aggregate, would exceed eight percent (8%).</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Selling Shareholders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Shareholders have advised us that there is no underwriter or coordinating broker acting in connection with the proposed sale of the resale securities by the Selling Shareholders.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securities of the common stock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2014, we initiated litigation against Shadron Stastney, our CEO from January 2013 to September 2013, in the U.S. District Court in the Eastern District of Michigan as a result of a dispute related to his Separation Agreement. On May 27, 2016, we settled the action. For a complete release of claims and dismissal of the action, we agreed to pay Mr. Stastney $50,000 and to issue him 100,000 shares of our common stock. We further agreed to register 133,333 of his existing shares with the Securities and Exchange Commission on Form S-1 by June 30, 2016.</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is in excess of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is in excess of $1.0 million, as well as damages for lost income and business value as a result of PDR’s actions.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have filed a motion to dismiss two of the four counts in the consolidated complaint. In January, 2016, the Court dismissed one of our four claims, but allowed the other three to continue forward. The parties are currently in the discovery process.</w:t>
      </w:r>
    </w:p>
    <w:p>
      <w:pPr>
        <w:spacing w:after="0" w:line="18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72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19"/>
                <w:szCs w:val="19"/>
                <w:color w:val="auto"/>
              </w:rPr>
            </w:pPr>
          </w:p>
        </w:tc>
        <w:tc>
          <w:tcPr>
            <w:tcW w:w="742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Positions and Offices Held</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A. Harrell</w:t>
            </w:r>
          </w:p>
        </w:tc>
        <w:tc>
          <w:tcPr>
            <w:tcW w:w="10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89"/>
              </w:rPr>
              <w:t>49</w:t>
            </w:r>
          </w:p>
        </w:tc>
        <w:tc>
          <w:tcPr>
            <w:tcW w:w="2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Chairman and Director</w:t>
            </w:r>
          </w:p>
        </w:tc>
      </w:tr>
      <w:tr>
        <w:trPr>
          <w:trHeight w:val="203"/>
        </w:trPr>
        <w:tc>
          <w:tcPr>
            <w:tcW w:w="2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William J. Febbo</w:t>
            </w:r>
          </w:p>
        </w:tc>
        <w:tc>
          <w:tcPr>
            <w:tcW w:w="10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Terence J. Hamilton</w:t>
            </w:r>
          </w:p>
        </w:tc>
        <w:tc>
          <w:tcPr>
            <w:tcW w:w="10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89"/>
              </w:rPr>
              <w:t>50</w:t>
            </w:r>
          </w:p>
        </w:tc>
        <w:tc>
          <w:tcPr>
            <w:tcW w:w="2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SVP of Sales</w:t>
            </w:r>
          </w:p>
        </w:tc>
      </w:tr>
      <w:tr>
        <w:trPr>
          <w:trHeight w:val="203"/>
        </w:trPr>
        <w:tc>
          <w:tcPr>
            <w:tcW w:w="2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Douglas Baker</w:t>
            </w:r>
          </w:p>
        </w:tc>
        <w:tc>
          <w:tcPr>
            <w:tcW w:w="10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James Brooks</w:t>
            </w:r>
          </w:p>
        </w:tc>
        <w:tc>
          <w:tcPr>
            <w:tcW w:w="10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89"/>
              </w:rPr>
              <w:t>47</w:t>
            </w:r>
          </w:p>
        </w:tc>
        <w:tc>
          <w:tcPr>
            <w:tcW w:w="2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Vice President of Business Development</w:t>
            </w:r>
          </w:p>
        </w:tc>
      </w:tr>
      <w:tr>
        <w:trPr>
          <w:trHeight w:val="203"/>
        </w:trPr>
        <w:tc>
          <w:tcPr>
            <w:tcW w:w="2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Gus D. Halas</w:t>
            </w:r>
          </w:p>
        </w:tc>
        <w:tc>
          <w:tcPr>
            <w:tcW w:w="10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Jack Pinney</w:t>
            </w:r>
          </w:p>
        </w:tc>
        <w:tc>
          <w:tcPr>
            <w:tcW w:w="10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89"/>
              </w:rPr>
              <w:t>59</w:t>
            </w:r>
          </w:p>
        </w:tc>
        <w:tc>
          <w:tcPr>
            <w:tcW w:w="2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Lynn Vos</w:t>
            </w: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Harrell founded the Company in January of 2006. He became a director when the Company changed from a limited liability to a corporation in 2007. He has served as our Chairman since September 20, 2013, and our Chief Executive Officer from September 20, 2013 through February 21, 2016.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Harrell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Mr. Harrell is qualified to serve on our Board of Directors because of his sales, marketing and business development experience in the pharmaceutical sector.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Febbo joined the company as Chief Executive Officer on February 22, 2016. Mr. Febbo brings more than 18 years of experience in building and managing health services and financial businesses. Before joining our company, Mr. Febbo served as Chairman and Founder of Plexus, LLC, a payment processing business for medical professionals. From 2007 to 2015, he worked with Merriman Holdings, Inc., an investment banking firm. There he served as Chief Operating Officer and assisted with capital raises in the tech, biotech, cleantech, consumer and resources industries. From 2013 to 2015, he also worked with Digital Capital Network, Inc., which operated a transaction platform for institutional and accredited investors. There he served as Chief Executive Officer and Co-Founder and managed the day-to-day operations of the digital portal for institutional level investments. Prior to Merriman, Mr Febbo was CEO and co-founder of MedPanel, a provider of market intelligence and communications for the pharmaceutical, biomedical, and medical device industries, which was eventually acquired by MCF Corporation.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Febbo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Mr. Febbo is qualified to serve on our Board of Directors because of his leadership and sales experience in health services and financial businesses.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Brooks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Brooks brings more than 20 years of experience in sales &amp; marketing, including sales force development, sales management, and organizational leadership processes within the Electronic Health Record (EHR) and Healthcare Technology sector. Prior to joining our company, he served as chief revenue officer at iCare, an enterprise cloud EHR and revenue cycle management system vendor. Prior to iCare, Mr. Brooks served as executive vice president at Modernizing Medicine, a leading provider of EHR systems focused on the dermatology, ophthalmology, plastic, and orthopedic marketplace. While at Modernizing Medicine, he was responsible for developing and managing a world-class sales and marketing team and grew the business into one of the largest specialty EHRs. Mr. Brooks additionally served as vice president of the enterprise sales and radiology division at Sage North America, a provider of information systems with a focus on healthcare with $300 million in annual revenue and 1,200 staff members. Earlier in his career, he served as senior sales executive and enterprise vice president of clinical sales at McKesson, a FORTUNE 500 company delivering healthcare services and information technology. Mr. Brooks holds a Bachelor of Arts in Economics and Speech Communication from St. Cloud State University in Minnesota.</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Brooks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and Hooper Holmes, Inc.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Pinney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2007 to the present, Dr. Pinney has served as Team Physician to the Great Lakes Loons baseball team in the LA Dodgers organization. From 2011 to the present, he has served as Medical Director for WellSport MidMichigan Medical Center. From 1992 to the present, he has served as Assistant Clinical Professor of Family Medicine for the Department of Family Medicine at Michigan State University College of Human Medicine. From 1992 to 2012, he served as Assistant Director for the Midland Family Practice Residency Program at MidMichigan Medical Center.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Dr. Pinney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Dr. Pinney is qualified to serve on our Board of Directors because of his expertise medicine and prescription practices of physicians.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Lynn Vos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Ms. Vos has been chief executive officer of ghg | greyhealth group since 1994 and is a champion of using digital capabilities to improve the public health. Ms. Vos also serves on the board of nTelos Wireless, a NASDAQ listed company, the Jed Foundation, a leading nonprofit dedicated to protecting the emotional health of college students, and was a founding board member of MMRF, a pioneering cancer research foundation.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Vos is qualified to serve on our Board of Directors because of her experience and expertise in digital marketing and communications in the healthcare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authorize no less than three (3) and no more than Seven (7) Directors unless changed by the Board of Directors. The Investor Rights Agreement we signed with WPP Luxembourg Gamma Three Sarl states that our Board of Directors shall consist of five (5) Directors. We currently have five (5)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past 10 years,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left="6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conviction in a criminal proceeding or being named a subject of a pending criminal proceeding (excluding traffic violations and other minor offenses);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both"/>
        <w:ind w:left="660" w:hanging="328"/>
        <w:spacing w:after="0" w:line="267"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court of competent jurisdiction, permanently or temporarily enjoining him or her from, or otherwise limiting, the following activities: 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 ii. Engaging in any type of business practice; or iii. Engaging in any activity in connection with the purchase or sale of any security or commodity or in connection with any violation of Federal or State securities laws or Federal commodities laws;</w:t>
      </w:r>
    </w:p>
    <w:p>
      <w:pPr>
        <w:spacing w:after="0" w:line="3" w:lineRule="exact"/>
        <w:rPr>
          <w:rFonts w:ascii="Arial" w:cs="Arial" w:eastAsia="Arial" w:hAnsi="Arial"/>
          <w:sz w:val="17"/>
          <w:szCs w:val="17"/>
          <w:color w:val="auto"/>
        </w:rPr>
      </w:pPr>
    </w:p>
    <w:p>
      <w:pPr>
        <w:jc w:val="both"/>
        <w:ind w:left="660" w:right="2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iii. Any law or regulation prohibiting mail or wire fraud or fraud in connection with any business entity; or</w:t>
      </w:r>
    </w:p>
    <w:p>
      <w:pPr>
        <w:spacing w:after="0" w:line="2"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2015, the board of directors:</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Based upon the board of directors’ review and discussion of the matters above, the board of directors authorized inclusion of the audited financial statements for the year ended December 31, 2015 to be included in this Prospectus filed with the Securities and Exchange Commission.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no persons have failed to file, on a timely basis, the identified reports required by Section 16(a) of the Exchange Act during fiscal year ended December 31, 2015, other than the Form 3 for Director Vos which was filed late.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2015, we had not adopted a Code of Ethics. We felt, until recently, the small number of individuals comprising our board and management did not warrant the adoption of a Code of Ethics. Now that we have expanded our board and our increasing the size of our organization, we intend to adopt a Code of Ethics in the near future.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the beneficial ownership by each person, other than executive officers and directors, known to us to beneficially own 5% or more of our outstanding common stock as of June 2, 2016. This information is based on public filings as of June 2, 2016. For the purposes of this Prospectus,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Common</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Percentage of</w:t>
            </w:r>
          </w:p>
        </w:tc>
      </w:tr>
      <w:tr>
        <w:trPr>
          <w:trHeight w:val="241"/>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More Than 5% Beneficial Owners:</w:t>
            </w: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Shares Owned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Class</w:t>
            </w:r>
          </w:p>
        </w:tc>
      </w:tr>
      <w:tr>
        <w:trPr>
          <w:trHeight w:val="202"/>
        </w:trPr>
        <w:tc>
          <w:tcPr>
            <w:tcW w:w="34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Common</w:t>
            </w:r>
          </w:p>
        </w:tc>
        <w:tc>
          <w:tcPr>
            <w:tcW w:w="120" w:type="dxa"/>
            <w:vAlign w:val="bottom"/>
            <w:tcBorders>
              <w:top w:val="single" w:sz="8" w:color="CCEEFF"/>
            </w:tcBorders>
            <w:shd w:val="clear" w:color="auto" w:fill="CCEEFF"/>
          </w:tcPr>
          <w:p>
            <w:pPr>
              <w:spacing w:after="0"/>
              <w:rPr>
                <w:sz w:val="17"/>
                <w:szCs w:val="17"/>
                <w:color w:val="auto"/>
              </w:rPr>
            </w:pPr>
          </w:p>
        </w:tc>
        <w:tc>
          <w:tcPr>
            <w:tcW w:w="5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WPP PLC</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 Farm Street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United Kingdom</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W1J 5RJ</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6,011,106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Common</w:t>
            </w:r>
          </w:p>
        </w:tc>
        <w:tc>
          <w:tcPr>
            <w:tcW w:w="5240" w:type="dxa"/>
            <w:vAlign w:val="bottom"/>
            <w:gridSpan w:val="2"/>
          </w:tcPr>
          <w:p>
            <w:pPr>
              <w:spacing w:after="0" w:line="201" w:lineRule="exact"/>
              <w:rPr>
                <w:sz w:val="20"/>
                <w:szCs w:val="20"/>
                <w:color w:val="auto"/>
              </w:rPr>
            </w:pPr>
            <w:r>
              <w:rPr>
                <w:rFonts w:ascii="Arial" w:cs="Arial" w:eastAsia="Arial" w:hAnsi="Arial"/>
                <w:sz w:val="18"/>
                <w:szCs w:val="18"/>
                <w:color w:val="auto"/>
              </w:rPr>
              <w:t>Wolverine Flagship Fund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Trading Limited 175 W Jackson Blvd,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3rd Flr Chicago, IL 60604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2,154,500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w:t>
            </w:r>
          </w:p>
        </w:tc>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Harvey L. Poppel</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 El Mirasol</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Palm Beach, FL 33480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2,129,028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05"/>
        </w:trPr>
        <w:tc>
          <w:tcPr>
            <w:tcW w:w="3540" w:type="dxa"/>
            <w:vAlign w:val="bottom"/>
            <w:gridSpan w:val="2"/>
          </w:tcPr>
          <w:p>
            <w:pPr>
              <w:spacing w:after="0" w:line="206" w:lineRule="exact"/>
              <w:rPr>
                <w:sz w:val="20"/>
                <w:szCs w:val="20"/>
                <w:color w:val="auto"/>
              </w:rPr>
            </w:pPr>
            <w:r>
              <w:rPr>
                <w:rFonts w:ascii="Arial" w:cs="Arial" w:eastAsia="Arial" w:hAnsi="Arial"/>
                <w:sz w:val="18"/>
                <w:szCs w:val="18"/>
                <w:color w:val="auto"/>
              </w:rPr>
              <w:t>Common</w:t>
            </w:r>
          </w:p>
        </w:tc>
        <w:tc>
          <w:tcPr>
            <w:tcW w:w="5240" w:type="dxa"/>
            <w:vAlign w:val="bottom"/>
            <w:gridSpan w:val="2"/>
          </w:tcPr>
          <w:p>
            <w:pPr>
              <w:spacing w:after="0" w:line="206" w:lineRule="exact"/>
              <w:rPr>
                <w:sz w:val="20"/>
                <w:szCs w:val="20"/>
                <w:color w:val="auto"/>
              </w:rPr>
            </w:pPr>
            <w:r>
              <w:rPr>
                <w:rFonts w:ascii="Arial" w:cs="Arial" w:eastAsia="Arial" w:hAnsi="Arial"/>
                <w:sz w:val="18"/>
                <w:szCs w:val="18"/>
                <w:color w:val="auto"/>
              </w:rPr>
              <w:t>Goldman Capital Management, Inc.</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3"/>
        </w:trPr>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40" w:type="dxa"/>
            <w:vAlign w:val="bottom"/>
            <w:gridSpan w:val="2"/>
          </w:tcPr>
          <w:p>
            <w:pPr>
              <w:spacing w:after="0" w:line="253" w:lineRule="exact"/>
              <w:rPr>
                <w:sz w:val="20"/>
                <w:szCs w:val="20"/>
                <w:color w:val="auto"/>
              </w:rPr>
            </w:pPr>
            <w:r>
              <w:rPr>
                <w:rFonts w:ascii="Arial" w:cs="Arial" w:eastAsia="Arial" w:hAnsi="Arial"/>
                <w:sz w:val="18"/>
                <w:szCs w:val="18"/>
                <w:color w:val="auto"/>
              </w:rPr>
              <w:t>767 Third Ave.,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1,532,394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w:t>
            </w:r>
          </w:p>
        </w:tc>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Ronald L. Chez</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 East Monroe Street, Suite 3700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60603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2,721,976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655"/>
        </w:trPr>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with respect to beneficial ownership of our common stock as of June 2, 2016, by each director, each executive officer, and by the directors and executive officers as a group. Unless otherwise indicated, each person or member of the group listed has sole voting and investment power with respect to the shares of common stock listed.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Shares Related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 Stock</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Included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Awards and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 Beneficial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Note Payable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Beneficial</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ind w:left="1960"/>
              <w:spacing w:after="0"/>
              <w:rPr>
                <w:sz w:val="20"/>
                <w:szCs w:val="20"/>
                <w:color w:val="auto"/>
              </w:rPr>
            </w:pPr>
            <w:r>
              <w:rPr>
                <w:rFonts w:ascii="Arial" w:cs="Arial" w:eastAsia="Arial" w:hAnsi="Arial"/>
                <w:sz w:val="18"/>
                <w:szCs w:val="18"/>
                <w:color w:val="auto"/>
              </w:rPr>
              <w:t>Name(1)</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Ownership (2)</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2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Owned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Ownership</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of 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Harrell</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2,590,897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2,590,897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William J. Febbo</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9,433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9,433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384,188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380,413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764,601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Brooks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Douglas P. Baker</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120,000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Gus D. Halas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777,079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777,079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2"/>
          </w:tcPr>
          <w:p>
            <w:pPr>
              <w:spacing w:after="0" w:line="201" w:lineRule="exact"/>
              <w:rPr>
                <w:sz w:val="20"/>
                <w:szCs w:val="20"/>
                <w:color w:val="auto"/>
              </w:rPr>
            </w:pPr>
            <w:r>
              <w:rPr>
                <w:rFonts w:ascii="Arial" w:cs="Arial" w:eastAsia="Arial" w:hAnsi="Arial"/>
                <w:sz w:val="18"/>
                <w:szCs w:val="18"/>
                <w:color w:val="auto"/>
              </w:rPr>
              <w:t>All Executive Officers and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Directors as a group (6 persons)</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384,188</w:t>
            </w:r>
          </w:p>
        </w:tc>
        <w:tc>
          <w:tcPr>
            <w:tcW w:w="1140" w:type="dxa"/>
            <w:vAlign w:val="bottom"/>
          </w:tcPr>
          <w:p>
            <w:pPr>
              <w:jc w:val="right"/>
              <w:spacing w:after="0"/>
              <w:rPr>
                <w:sz w:val="20"/>
                <w:szCs w:val="20"/>
                <w:color w:val="auto"/>
              </w:rPr>
            </w:pPr>
            <w:r>
              <w:rPr>
                <w:rFonts w:ascii="Arial" w:cs="Arial" w:eastAsia="Arial" w:hAnsi="Arial"/>
                <w:sz w:val="18"/>
                <w:szCs w:val="18"/>
                <w:color w:val="auto"/>
              </w:rPr>
              <w:t>3,822,841</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4,307,029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each person named in this table is c/o OptimizeRx Corp., 400 Water Street, Suite 200, Rochester, MI 48307.</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June 2, 2016, and are included in common stock beneficial ownership pursuant to Rule 13d-3(d)(1) of the Exchange Act.</w:t>
      </w: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column lists shares that are obtainable as result of stock awards for shares not yet issued or notes that are payable in stock as of June 2, 2016.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descriptions are summaries of the material terms that are included in our amended and restated articles of incorporation (as amended) and our bylaws (as amended) as well as the specific agreements such descriptions relate to. This summary is qualified in its entirety by the specific terms and provisions contained in our restated articles of incorporation, bylaws and the specific agreements described herein, copies of which we have filed as exhibits to the registration statement of which this prospectus is a part, and by the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Capital Stock</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authorized capital stock consists of 500,000,000 shares of common stock and 10,000,000 shares of preferred stock, par value $0.001 per share. As of June 2, 2016, there were 29,077,660 shares of our common stock issued and outstanding and 0 shares of our preferred stock issued and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248" w:lineRule="exact"/>
        <w:rPr>
          <w:rFonts w:ascii="Arial" w:cs="Arial" w:eastAsia="Arial" w:hAnsi="Arial"/>
          <w:sz w:val="16"/>
          <w:szCs w:val="16"/>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69"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8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spacing w:after="0" w:line="16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Underlying Warrants Issued in Connection With the March 2014 Private Placement Financing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March 2014 Private Placement, we entered into a Registration Rights Agreement. The Registration Rights Agreement required us to file a registration statement with the Securities and Exchange Commission in connection with shares sold in the March 2014 Private Placement. We filed a registration statement that went effective on May 28, 2014 to comply with the terms of the Registration Rights Agreement. In addition, we granted piggyback registration rights to the Placement Agents in the March 2014 Private Placement, which comprise the shares of common stock underlying the Agent Warrants that are being registered herein. We are filing this registration statement to maintain the registered status of those shares underlying the Agent Warrants.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Issued in Connection with the Merriman Capital, Inc. Advisory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23, 2015, we entered into the Advisory Agreement with Merriman. We granted registration rights to Merriman concerning the 150,000 shares in the Advisory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Issued in Connection with the Settlement Agreement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27, 2016, we entered into a Settlement Agreement with Mr. Shadron Stastney whereby we granted registration rights to his 133,333 shares issued under a Separation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Demand Registration Rights. We granted the Investor registration rights for the 6,011,106 acquired from us and any securities acquired in connection with an Amended and Restated Co-Marketing Agreement after a period of two years.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Inspection Rights. So long as the Investor owns not less than 25% of the Shares, we granted the Investor an annual right to inspect our books and records.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Observer Rights. So long as the Investor owns not less than 25% of the Shares, we will allow the Investor to choose a representative to attend our board meetings as a nonvoting observer.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Board Seat. So long as the Investor owns not less than 25% of the Shares, we agreed to appoint a nominee of the Investor as a member of our board of directors. We also agreed to a five member Board of Directors provided that it is not prohibited by the rules and regulations of an exchange that we trade on. We also agreed to enter into an Indemnity Agreement with the nominee.</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Budget Review. So long as the Investor owns not less than 25% of the Shares, we agreed to review our budget plans with the Investor’s nominee prior to submission to the Board of Directors, at the request of the Investor.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Right of First Refusal. We agreed that, in the event that it proposes to sell new securities, we will first offer such new securities to the Investor.</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Special Approval Matters. So long as the Investor owns not less than 25% of the Shares, and provided that it is not prohibited by the rules and regulations of an exchange that we trades on, we agreed that 80% Board approval will be required for certain decisions, including:</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211"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1300" w:right="2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5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5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spacing w:after="0" w:line="156"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then issued and outstanding capital stock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warrants outstanding to purchase 2,044,583 shares of our common stock at a weighted average exercise price of $ 1.67 as of March 31,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options outstanding to purchase 2,780,000 shares of our common stock at a weighted average exercise price of $1.10 as of March 31, 2016.</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Anti-Takeover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OTCQB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KLJ &amp; Associates, LLP has audited our financial statements included in this prospectus and registration statement to the extent and for the periods set forth in their audit report. KLJ &amp; Associates, LLP has presented their report with respect to our audited financial statements. The report of KLJ &amp; Associates, LLP is included in reliance upon their authority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SECURITIES ACT LIABILITIES</w:t>
      </w:r>
      <w:r>
        <w:rPr>
          <w:rFonts w:ascii="Arial" w:cs="Arial" w:eastAsia="Arial" w:hAnsi="Arial"/>
          <w:sz w:val="18"/>
          <w:szCs w:val="18"/>
          <w:color w:val="auto"/>
        </w:rPr>
        <w:t>.</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Through April 2016</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sales for the first three months of 2016 were approximately $1.76 million, an 18% increase over the same period in 2015.</w:t>
      </w:r>
    </w:p>
    <w:p>
      <w:pPr>
        <w:spacing w:after="0" w:line="21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hired an experienced Senior Vice President of Business Development to lead the expansion of our EHR network, as well as increase utilization of our existing network.</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hired a new CEO to lead the Company in its next stage of growth.</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sponsored the ePrescribe/EHR conference held in Philadelphia in March 2016, which generated significant leads for our sales force.</w:t>
      </w:r>
    </w:p>
    <w:p>
      <w:pPr>
        <w:spacing w:after="0" w:line="223"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completed an agreement with TrialCard to co-market our joint capabilities.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implemented a CRM for our expanding direct sales team, multiple partnerships as well as EHR growth opportunities.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partnerships with WPP is starting to show promise with the addition of XX new brands in our pipeline.</w:t>
      </w:r>
    </w:p>
    <w:p>
      <w:pPr>
        <w:spacing w:after="0" w:line="21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initiated a re-branding of our company to demonstrate our ability to bring financial and clinical messaging as well as brand support services, such as drug file integration and sale force training.</w:t>
      </w:r>
    </w:p>
    <w:p>
      <w:pPr>
        <w:spacing w:after="0" w:line="1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completed a full technology review and have kicked off several efforts to drive revenue growth with additional services for our existing clients. We expect those to be completed by Q3 2016.</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announced our first partnership in the independent pharmacy space with RxWiki.</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success in acquiring, integrating and expanding into new promotional EHR/eRx platforms continues to grow as well. We are actively engaged in discussions with several EHRs to integrate our technology into their platforms. We are also working extensively with our existing platforms to expand the reach of our eCoupon product to all of their providers, as well as increasing the utilization of the eCoupon functionality by their existing users.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over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2015</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sales for 2015 were $7.2 million, an 11% increase over 2014.</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2015, our promotional transactions, primarily from our core eCoupon distributions, increased approximately 25% over those in 2014.</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2015, we distributed eCoupons related to approximately 85 different brands.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Excluding non-cash expenses, in 2015 we generated operating income of approximately $350,000.</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2015, we successfully launched our e-Coupon solution within the Practice Fusion network.</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continued to acquire new pharmaceutical manufacturers and brands promoting through our platforms.</w:t>
      </w:r>
    </w:p>
    <w:p>
      <w:pPr>
        <w:spacing w:after="0" w:line="21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hired an experienced sales professional in November, 2015 to lead our relationship with media agencies and in December, an experienced executive to lead the expansion of our network.</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secured an investment of approximately $4.7 million from WPP, a global provider of advertising, marketing, and branding.</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completed an upgrade of our technology platform to Oracle database software to further improve system and reporting capacity.</w:t>
      </w:r>
    </w:p>
    <w:p>
      <w:pPr>
        <w:spacing w:after="0" w:line="21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proved an outstanding Return on Investment associated with our pharmaceutical promotions through an independent analytics firm with multiple pharmaceutical brands.</w:t>
      </w:r>
    </w:p>
    <w:p>
      <w:pPr>
        <w:spacing w:after="0" w:line="1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unveiled VoucherDVM and engaged leading platforms to offer automated vet product savings. We initiated a beta launch in January, 2016 with the National Veterinary Associates.</w:t>
      </w:r>
    </w:p>
    <w:p>
      <w:pPr>
        <w:spacing w:after="0" w:line="1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began a search for a new CEO to help lead us through our next stage of growth, which culminated in the hiring of Will Febbo, who became CEO on February 22, 2016.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generated positive cash flow from operations in 2015, and we expect to continue to do so in 2016, as well as to be profitable during the upcoming year based on the expected escalation of revenues.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success in acquiring, integrating and expanding into new promotional EHR/eRx platforms continues to grow as well. We are discussing 2016 rollout dates with potential additional networks.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Sales and Marketing Updates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sales team continues to expand opportunities within existing and new clients. We are focused on adding additional brands for existing clients, expanding the utilization of our network for existing brands, and obtaining new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are expanding our non e-Coupon services as follows:</w:t>
      </w:r>
    </w:p>
    <w:p>
      <w:pPr>
        <w:spacing w:after="0" w:line="225"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Drug File Integration – we are designing a service to better insure that manufacturers’ drugs are present in every ePrescribing platform available.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actively expanding our messaging capabilities with the goal of rapidly increasing revenue through this complementary service.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ePrescribe Training – we are pursuing opportunities to leverage our partnership with WPP/Grey to train representatives on understanding and leveraging EHR sales opportunities.</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VoucherDVM - we continue advancing our negotiations with each of the leading veterinarian technology platforms and have signed an agreement with National Veterinary Associates, one of the largest veterinary groups in the U.S., to initiate a beta launch in January,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are also continuing to ramp up our marketing efforts as follows: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Held multiple meetings initiated and arranged by Pharmaceutical companies to bring on new Health Systems/ePrescribe Platforms.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Spoke at Coupon and Co-Pay Off-set Strategies Conference.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Spoke at multiple conferences in 2015, including the Marcum 2015 MicroCap conference, the Liolios 4th annual Gateway conference and the LD Micro investor conference.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Sponsored the 3rd Annual ePrescribe/EHR Conference.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substantially over last year.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2016, in addition to expanding our network, we plan to intensively focus on increasing physician utilization of our partner networks. We intend to working individually with each of our partners based on their particular situation to improve workflow to increase coupon utilization by those providers that have access, obtain access for those prescribers that currently do not have e-coupon access, and increase overall revenue derived from each channel. We believe there is significant revenue growth available within our existing brands by better utilizing our existing partner networks, in addition to the revenue growth provided by new brands and new network partners.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began the search for an experienced EHR executive to lead our expansion efforts. In January, 2016, we hired James Brooks as Senior Vice President of Business Development to champion our EHR business through the development of new relationships with other EHR providers and patient platforms.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Updates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 support our growth, we have migrated our platform to Oracle database software. The system can now manage up to 1 million rules and return the appropriate content within 1 second. This allows unsurpassed response time to avoid delays, and the ability to meet the upcoming dramatic scale we expect.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launched downloadable “wrapper” code, which streamlines the integration requirements for our solution from a few weeks to a few days, if EHR channel partners choose to utilize this method. This addresses one of the biggest hurdles we face in getting health systems and EHRs to implement our system, given the extensive demand on their available technical resources.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developed a stand-alone desktop eCoupon application that can be used by prescribers that either are not using an eprescribing application, or whose EHR vendor does not offer e-Coupon functionality. We have sold one such application to a major pharmaceutical manufacturer for use as a tool by their sales force and to distribute to physicians. We expect this to be a source of revenue growth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recently added one executive officer to our team.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Brooks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4, 2016, the board of directors appointed Mr. James Brooks to act as our Senior Vice President of Business Development. Mr. Brooks brings more than 20 years of experience in sales &amp; marketing, including sales force development, sales management, and organizational leadership processes within the Electronic Health Record (EHR) and Healthcare Technology sector.</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4, 2016, we entered into an employment agreement with Mr. Brooks. The agreement is at will and may be terminated by either party at any time. Under the agreement, we agreed to compensate Mr. Brooks $185,000 annually and, subject to meeting certain assigned goals, we agreed to pay him a bonus of up to $100,000 per year, along with a maximum of 300,000 stock options during the first two years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Mr. Brooks is entitled to participate in any existing employee benefit plans. He has paid vacation and sick days, and other benefits included in the agreement.</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Brooks agreed to covenants not to solicit customers or recruit employees both during employment and for a period of one year following termination. The agreement also contains a confidentiality provision.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Harrell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Mr. David Harrell, ended his employment as our Chief Executive Officer.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9, 2016, we entered into a Separation Agreement and Release with Mr. Harrell that grants us a standard release of employment claims in consideration for, among other things, a stock payout of $720,415 to Mr. Harrell.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same date, we entered into a Corporate Consulting Agreement with Mr. Harrell that sets forth the terms his continued relationship with our company. He will remain our employee through May 31, 2016 and the Corporate Consulting Agreement is effective as of June 1, 2016. Under the terms of this agreement, Mr. Harrell will consult for our company for a period of 16 months and he will receive a monthly payment of $15,000, with the potential for up to $54,000 in additional bonus payments during the term of the agreement. This agreement also calls for insurance benefits for seven months. Finally, the agreement contains a Consultant Confidentiality, Invention Assignment and Non-Compete Agreement that contains restrictive covenants that include a one year non-compete following the completion of Mr. Harrell’s 18 months of consulting, and an inventions assignment clause during the term of his consulting relationship.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Events in 2015</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secured a strategic investment from WPP of approximately $4.7 million. The completion of this transaction represents a significant expansion of our relationship with WPP, the largest marketing services company in the world, and Lynn Vos, CEO of WPP’s subsidiary, Grey Healthcare Group, has joined our Board. We have hired a top executive to focus on overall client services, including the WPP relationship, and to focus on expanding opportunities available to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strategic value, we expect the WPP relationship to provide promotional support, help add pharmaceutical brands, aid in expansion of our EHR network, expand our service offerings, and help us expand our management and infrastructure. We anticipate that that the WPP relationship will have a significant and positive impact on our business.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signed an agreement with Allscripts to become its exclusive provider of eCoupons throughout all of its platforms as well as to integrate our e-Coupons into its Touchworks network. The Touchworks platform is used by large health systems throughout the country and is expected to represent a significant expansion of our network. ECoupon functionality within Touchworks is expected to launch on a test basis in late 2016 and on a wide-scale basis in early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 lengthy sales cycle involved in creating this new eCoupon market, we remain very excited about our core eCoupon business and expect acceleration to continue with the launch of additional channels and our joint pursuit of leading health systems with our pharmaceutical partners. We expect our active network to grow substantially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SAMPLEMD - Our platform, which we refer to as 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Over 90% of our revenue comes through activities related to our SampleMD platform.</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660" w:hanging="328"/>
        <w:spacing w:after="0" w:line="29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OPTIMIZEHR – Our consulting practice is focused on educating and working with pharmaceutical manufacturers on identifying, formulating, and implementing new eRx media strategies for promoting their products. Our consulting services include: 1) Drug File Integration - a service designed to better insure that manufacturers’ drugs are present in every ePrescribing platform available; 2) Sales Force Training – a service to educate the extended field sales force on this new integrated solution and what to look for within their client base to insure maximum exposure of their brands; and 3) Strategy Development – a service that assists manufactures in identifying and building a competitive strategy to take advantage of this new digital frontier. Currently, this activity results in less than 5% of our revenue, but represents a significant growth opportunity for us.</w:t>
      </w:r>
    </w:p>
    <w:p>
      <w:pPr>
        <w:spacing w:after="0" w:line="164"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 At the present time, we generate no revenue through this site, but we believe it represents a significant potential future revenue source.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extend our marketing efforts to build both brand and capabilities awareness in the market. As previously discussed, we continue to actively participate in industry and partner events such as exlPharma and the ACE – Allscripts Users Conference, as well as taking a lead sponsor position in the CBInet eRx and EHR conferences in March and October of 2015. We are also the named sponsor of the March 2016 conference. During the course of the year, we also initiated and delivered successful email marketing campaigns, which generated viable leads for our sales force.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also announced the expansion of our strategic partnership with WPP/Grey Health Group, a leading agency within the healthcare marketplace, which included a significant investment by an affiliated entity of WPP. We plan to continue to increase our marketing efforts with all of our strategic partners, as we intend to continue to promote our platform primarily through the following:</w:t>
      </w:r>
    </w:p>
    <w:p>
      <w:pPr>
        <w:spacing w:after="0" w:line="18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platform competes in the highly competitive pharmaceutical and healthcare advertising industry that is dominated by large well-known companies with established names, solid market niches, wide arrays of product offerings and marketing networks. Coupon offerings compete for pharmaceutical budgets with a variety of other forms of advertising and promotion.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Despite these overall competitors, we do not have major competition in our specific portion of the market. We have been experiencing a growing list of potential partners whom either have content that they want to deliver through our distribution engine and network, or whom have complementary technology and want to integrate our solution as a channel partner, expanding our reach to clinicians. The primary competitors in our space of the market are PDR Network, LLC and Physicians Interactive Holdings, Inc. However, we believe our breadth of brands offered, extensive list of pharmaceutical clients, and the vast reach of our network give us a substantial advantage and allow us to achieve a dominant position in the marketplace.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2012, we were awarded a patent for our innovative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hired Harness, Dickey &amp; Pierce, a nationally ranked IP firm, to further expand and protect our intellectual property. Through them, we have filed two additional patents on our technology. We believe our current and expanding IP will allow us to continue being the leader in this rapidly growing space. We stand ready to prepare additional filings, as necessary, to protect our intellectual property on any forthcoming solutions that will further assist and support physicians, pharmacists and patients.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OPTIMIZERx and SampleMD are our licensed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Prospectus, we had 14 full-time employees and 4 part-time employees, in addition to contracted programmers, as needed, through our established relationship with Simple eSolutions, a technical and programming resources partner.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Corporation, a Michigan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Currently, we do not own any real estate. Our principal executive offices are located at 400 Water Street, Suite 200, Rochester, Michigan, 48307. We initially entered into a 3 year lease for this 3,648 square foot facility, with a cost of $5,049.25 per month. We renewed that lease for a two year period on December 1, 2014 for a monthly rental rate of $5,201.50.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revenue reported for the three months ended March 31, 2016 was approximately $1.76 million, an increase of 18% over the approximately $1.49 million from the same period in 2015. These increased revenues result from both increased pharmaceutical brands being promoted and expanded distribution channels. We expect quarter over quarter revenue increases for the balance of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sales, composed of revenue share expense, increased over the same period in 2015 as a result of the revenue increases. Our revenue share expense as a percentage of revenue remained relatively constant at approximately 51% in both periods. We expect this percentage to gradually decrease in future quarters as we implement new channels with lower revenue share percentages and as we update our existing agreements to share third party costs, with a goal of a decrease of at least 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increased from approximately $850,000 for the three month period ended March 31, 2015 to approximately $1.23 million for the same period in 2016, an increase of approximately 46%.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2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3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557,206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106,384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179,278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Board Compensation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28,019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Consultants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31,323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70,765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50,268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Maintenance</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74,616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43,440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3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74,765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Operating Expense</w:t>
            </w:r>
          </w:p>
        </w:tc>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1,228,564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842,610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largest increases in operating expenses related to human resource costs and professional fees. Since the first quarter of 2015, we have hired a Vice President of Client Services, a Senior Vice President of Business Development, an additional Vice President of Sales, and a new CEO. The first quarter of 2016 includes an overlap period in the CEO position where our new CEO started in February and our previous CEO remained on the payroll until March 31. These new hires also resulted in increases in benefits, payroll taxes, and travel. Our professional fees increased significantly as a result of the litigation described in the footnotes to our financial statements. Both of our legal cases are in active periods and we expect to continue to incur significant costs related to the 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expect our overall operating expenses to continue to increase as we further implement our business plan and expand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loss for the three months ended March 31, 2016 was approximately $350,000 as compared to a loss of approximately $110,000 during the same period in 2015. The reasons for specific components are discussed above. Overall, the increased margin resulting from the increased sales was offset by the increased operating expenses described above.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2015 and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total revenue reported for the year ended December 31, 2015 was approximately $7.2 million, an increase of 11% from the year ended December 31, 2014. This increased revenue resulted from increases in all major revenue categories including setup fees, reporting fees, and e-Coupon distributions and resulted from both increased pharmaceutical brands being promoted and expanded distribution channels. We expect continued revenue increases in 2016.</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Because the pharmaceutical industry is dominated by large companies with multiple brands, our revenue is concentrated in a relatively small number of companies. We have approximately 25 pharmaceutical companies as customers and we received approximately 52% of our revenue in the year ended December 31, 2015 from our largest 5 customers, with approximately 20% of revenue from our largest customer. During the year ended December 31, 2014, approximately 64% of revenue came from our 5 largest customers, with 20% from our largest customer. While we are still dependent on major customers, as our customer base expands, we are becoming less dependent on any one customer.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cost of sales, composed of revenue share expense, increased in the year ended December 31, 2015, over the year ended December 31, 2014 as a result of the revenue increases. In addition, revenue share expense as a percentage of revenue in 2015 increased over 2014 from approximately 49.5% in the year ended December 31, 2014 to approximately 50.1% in the year ended December 31, 2015.</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increases in revenue share expense as a percentage of revenue result from a combination of factors, including product mix whereby a larger percentage of overall revenues are subject to revenue share. We expect revenue share expense as a percentage of revenue in 2016 to continue at levels similar to, or greater than, that of 2015 as revenues subject to revenue share expense continues to increase as a percentage of our overall revenues. In addition, our comarketing agreement with WPP requires us to pay revenue share to WPP agencies on new brands secured for us by those agencies. If we successfully expand revenue through the WPP relationship, our revenue share percentage will increase.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decreased to approximately $4.2 million for the year ended December 31, 2015 from approximately $4.3 million for the year ended December 31, 2014, a decrease of approximately 3%.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ind w:left="100"/>
              <w:spacing w:after="0"/>
              <w:rPr>
                <w:sz w:val="20"/>
                <w:szCs w:val="20"/>
                <w:color w:val="auto"/>
              </w:rPr>
            </w:pPr>
            <w:r>
              <w:rPr>
                <w:rFonts w:ascii="Arial" w:cs="Arial" w:eastAsia="Arial" w:hAnsi="Arial"/>
                <w:sz w:val="18"/>
                <w:szCs w:val="18"/>
                <w:color w:val="auto"/>
              </w:rPr>
              <w:t>Years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5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1,788,471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Professional Fees</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397,566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Board Compensation</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Investor Relations</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80,618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47,927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333,950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290,371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Exclusivity Fee</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151,826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140,101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4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157,062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3,614,776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581,106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1,172,242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Lawsuit settlement</w:t>
            </w:r>
          </w:p>
        </w:tc>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 Operating Expense</w:t>
            </w:r>
          </w:p>
        </w:tc>
        <w:tc>
          <w:tcPr>
            <w:tcW w:w="5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4,195,882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4,307,756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880" w:type="dxa"/>
            <w:vAlign w:val="bottom"/>
            <w:vMerge w:val="restart"/>
          </w:tcPr>
          <w:p>
            <w:pPr>
              <w:jc w:val="right"/>
              <w:ind w:right="2910"/>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main reasons for the overall decrease in operating expenses in 2015 are the substantial decrease in stock based compensation from 2014 to 2015 and the absence of a lawsuit settlement in 2015. Ignoring those items, operating expenses increased approximately 32% as a result of building a solid base for future growth.</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Within the remaining operating expenses, there were a variety of increases. Salaries, wages and benefits increased as a result of additional staff in 2015, as well as bonuses to executive officers totaling $195,000. We expect additional increases in compensation in 2016 as we hire additional high-level staff, as well as the impact of a full year of 2015 hires and the payout and severance benefits we are required to pay to our prior CEO. Professional fees increased as a result of the litigation in process, primarily related to the PDR/LDM lawsuit. We expect a continued increase in professional fees in 2016 as a result of increased activity on our litigation. Advertising and promotion increased as a result of our sponsorship of e-Coupon conferences. Development and maintenance increased as a result of expansion of our system capacity and capabilities and the move to a more robust Oracle database. Exclusivity fees of $250,000 in 2015 resulted from the initial payment related to the Allscripts Touchworks integration. An additional $650,000 is due under the Allscripts Touchworks agreement when e-Coupon functionality becomes widely available within the Touchworks platform, which is expected to be in early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finished the year ended December 31, 2015 with a loss of approximately $600,000, as compared to a loss of approximately $1.0 million during the year ended December 31, 2014. The reasons for specific components are discussed above. Overall, we had an increase in revenue and resulting gross margin as well as decreased operating expenses. In addition, the loss in both periods included noncash items. We had approximately $600,000 of stock based compensation and $335,000 of depreciation and amortization in 2015, and approximately $1.2 million related to stock based compensation and approximately $265,000 of depreciation and amortization in 2014. Excluding noncash expenses, we would have been profitable in both years. In addition, ignoring working capital changes, we had positive cash flow from operations in both years - approximately $325,000 during the year ended December 31, 2015 and approximately $400,000 during the year ended December 31,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our quarterly operating results for 2015 for information purposes.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First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Second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Third</w:t>
            </w:r>
          </w:p>
        </w:tc>
        <w:tc>
          <w:tcPr>
            <w:tcW w:w="2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Fourth</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Quarter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Quarter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Quarter</w:t>
            </w: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Quarter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1,487,553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1,705,457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2,007,409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2,020,259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7,220,678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756,440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882,327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929,020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731,113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823,130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962,994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1,081,239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842,610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980,659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875,425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4,195,882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(157,529)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87,569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(415,949)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87,937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87,937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2016, we had total current assets of approximately $9.9 million, compared with current liabilities of approximately $2.6 million, resulting in working capital of approximately $7.3 million and a current ratio of approximately 3.8 to 1, similar to the working capital of approximately $7.8 million and current ratio of 3.3 to 1 at December 31, 2015.</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cash flow for the quarter ended March 31, 2016 was negatively impacted by a one-time payment of $720,415 to our previous CEO in lieu of issuance of approximately 595,000 common shares due to him from prior years. This payment impacts two sections of the statement of cash flows. As discussed in more detail below, a portion of these shares were reflected in accounts payable and payment of that portion affects cash flow from operations. The remaining portion was reflected in stock payable in the equity section and payment affected cash used in financing activities.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is a table with summary data from the consolidated statement of cash flows for the quarter ended March 31, 2016, as presented and after removing the effect of this payment.</w:t>
      </w:r>
    </w:p>
    <w:p>
      <w:pPr>
        <w:spacing w:after="0" w:line="170" w:lineRule="exact"/>
        <w:rPr>
          <w:sz w:val="20"/>
          <w:szCs w:val="20"/>
          <w:color w:val="auto"/>
        </w:rPr>
      </w:pPr>
    </w:p>
    <w:p>
      <w:pPr>
        <w:jc w:val="center"/>
        <w:ind w:left="10060"/>
        <w:spacing w:after="0"/>
        <w:rPr>
          <w:sz w:val="20"/>
          <w:szCs w:val="20"/>
          <w:color w:val="auto"/>
        </w:rPr>
      </w:pPr>
      <w:r>
        <w:rPr>
          <w:rFonts w:ascii="Arial" w:cs="Arial" w:eastAsia="Arial" w:hAnsi="Arial"/>
          <w:sz w:val="18"/>
          <w:szCs w:val="18"/>
          <w:color w:val="auto"/>
        </w:rPr>
        <w:t>Adjusted to</w:t>
      </w:r>
    </w:p>
    <w:p>
      <w:pPr>
        <w:spacing w:after="0" w:line="23" w:lineRule="exact"/>
        <w:rPr>
          <w:sz w:val="20"/>
          <w:szCs w:val="20"/>
          <w:color w:val="auto"/>
        </w:rPr>
      </w:pPr>
    </w:p>
    <w:p>
      <w:pPr>
        <w:jc w:val="center"/>
        <w:ind w:left="10060"/>
        <w:spacing w:after="0"/>
        <w:rPr>
          <w:sz w:val="20"/>
          <w:szCs w:val="20"/>
          <w:color w:val="auto"/>
        </w:rPr>
      </w:pPr>
      <w:r>
        <w:rPr>
          <w:rFonts w:ascii="Arial" w:cs="Arial" w:eastAsia="Arial" w:hAnsi="Arial"/>
          <w:sz w:val="18"/>
          <w:szCs w:val="18"/>
          <w:color w:val="auto"/>
        </w:rPr>
        <w:t>remove</w:t>
      </w:r>
    </w:p>
    <w:p>
      <w:pPr>
        <w:spacing w:after="0" w:line="9" w:lineRule="exact"/>
        <w:rPr>
          <w:sz w:val="20"/>
          <w:szCs w:val="20"/>
          <w:color w:val="auto"/>
        </w:rPr>
      </w:pPr>
    </w:p>
    <w:p>
      <w:pPr>
        <w:jc w:val="center"/>
        <w:ind w:left="10060"/>
        <w:spacing w:after="0"/>
        <w:rPr>
          <w:sz w:val="20"/>
          <w:szCs w:val="20"/>
          <w:color w:val="auto"/>
        </w:rPr>
      </w:pPr>
      <w:r>
        <w:rPr>
          <w:rFonts w:ascii="Arial" w:cs="Arial" w:eastAsia="Arial" w:hAnsi="Arial"/>
          <w:sz w:val="18"/>
          <w:szCs w:val="18"/>
          <w:color w:val="auto"/>
        </w:rPr>
        <w:t>effect of</w:t>
      </w:r>
    </w:p>
    <w:p>
      <w:pPr>
        <w:spacing w:after="0" w:line="9" w:lineRule="exact"/>
        <w:rPr>
          <w:sz w:val="20"/>
          <w:szCs w:val="20"/>
          <w:color w:val="auto"/>
        </w:rPr>
      </w:pPr>
    </w:p>
    <w:p>
      <w:pPr>
        <w:ind w:left="9280"/>
        <w:spacing w:after="0"/>
        <w:tabs>
          <w:tab w:leader="none" w:pos="10400" w:val="left"/>
        </w:tabs>
        <w:rPr>
          <w:sz w:val="20"/>
          <w:szCs w:val="20"/>
          <w:color w:val="auto"/>
        </w:rPr>
      </w:pPr>
      <w:r>
        <w:rPr>
          <w:rFonts w:ascii="Arial" w:cs="Arial" w:eastAsia="Arial" w:hAnsi="Arial"/>
          <w:sz w:val="18"/>
          <w:szCs w:val="18"/>
          <w:color w:val="auto"/>
        </w:rPr>
        <w:t>As</w:t>
      </w:r>
      <w:r>
        <w:rPr>
          <w:sz w:val="20"/>
          <w:szCs w:val="20"/>
          <w:color w:val="auto"/>
        </w:rPr>
        <w:tab/>
      </w:r>
      <w:r>
        <w:rPr>
          <w:rFonts w:ascii="Arial" w:cs="Arial" w:eastAsia="Arial" w:hAnsi="Arial"/>
          <w:sz w:val="18"/>
          <w:szCs w:val="18"/>
          <w:color w:val="auto"/>
        </w:rPr>
        <w:t>one-time</w:t>
      </w:r>
    </w:p>
    <w:p>
      <w:pPr>
        <w:spacing w:after="0" w:line="9" w:lineRule="exact"/>
        <w:rPr>
          <w:sz w:val="20"/>
          <w:szCs w:val="20"/>
          <w:color w:val="auto"/>
        </w:rPr>
      </w:pPr>
    </w:p>
    <w:p>
      <w:pPr>
        <w:ind w:left="9040"/>
        <w:spacing w:after="0"/>
        <w:tabs>
          <w:tab w:leader="none" w:pos="10420" w:val="left"/>
        </w:tabs>
        <w:rPr>
          <w:sz w:val="20"/>
          <w:szCs w:val="20"/>
          <w:color w:val="auto"/>
        </w:rPr>
      </w:pPr>
      <w:r>
        <w:rPr>
          <w:rFonts w:ascii="Arial" w:cs="Arial" w:eastAsia="Arial" w:hAnsi="Arial"/>
          <w:sz w:val="18"/>
          <w:szCs w:val="18"/>
          <w:color w:val="auto"/>
        </w:rPr>
        <w:t>presented</w:t>
      </w:r>
      <w:r>
        <w:rPr>
          <w:sz w:val="20"/>
          <w:szCs w:val="20"/>
          <w:color w:val="auto"/>
        </w:rPr>
        <w:tab/>
      </w:r>
      <w:r>
        <w:rPr>
          <w:rFonts w:ascii="Arial" w:cs="Arial" w:eastAsia="Arial" w:hAnsi="Arial"/>
          <w:sz w:val="18"/>
          <w:szCs w:val="18"/>
          <w:color w:val="auto"/>
        </w:rPr>
        <w:t>payment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3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3"/>
        </w:trPr>
        <w:tc>
          <w:tcPr>
            <w:tcW w:w="6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2820" w:type="dxa"/>
            <w:vAlign w:val="bottom"/>
            <w:gridSpan w:val="2"/>
            <w:shd w:val="clear" w:color="auto" w:fill="CCEEFF"/>
          </w:tcPr>
          <w:p>
            <w:pPr>
              <w:jc w:val="right"/>
              <w:ind w:right="145"/>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(286,087)</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76,913</w:t>
            </w:r>
          </w:p>
        </w:tc>
        <w:tc>
          <w:tcPr>
            <w:tcW w:w="80" w:type="dxa"/>
            <w:vAlign w:val="bottom"/>
            <w:shd w:val="clear" w:color="auto" w:fill="CCEEFF"/>
          </w:tcPr>
          <w:p>
            <w:pPr>
              <w:spacing w:after="0"/>
              <w:rPr>
                <w:sz w:val="17"/>
                <w:szCs w:val="17"/>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(15,802)</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(15,802)</w:t>
            </w:r>
          </w:p>
        </w:tc>
      </w:tr>
      <w:tr>
        <w:trPr>
          <w:trHeight w:val="25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(357,415)</w:t>
            </w:r>
          </w:p>
        </w:tc>
        <w:tc>
          <w:tcPr>
            <w:tcW w:w="3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63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increase (decrease) in cash and cash equivalents</w:t>
            </w:r>
          </w:p>
        </w:tc>
        <w:tc>
          <w:tcPr>
            <w:tcW w:w="25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(659,304</w:t>
            </w:r>
          </w:p>
        </w:tc>
        <w:tc>
          <w:tcPr>
            <w:tcW w:w="240" w:type="dxa"/>
            <w:vAlign w:val="bottom"/>
            <w:tcBorders>
              <w:top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61,111</w:t>
            </w: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activities used approximately $286,000 in cash flow during the three months ended March 31, 2016, compared with cash generated of approximately $86,000 in the same period in 2015. This decrease resulted from the payment of $363,000 to our previous CEO to extinguish the accounts payable related to the purchase of a patent from the CEO in 2010. Excluding that one-time payment, we would have had positive cash flow from operations of approximately $76,000.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$16,000 in investing activities in the three months ended March 31, 2016 compared with approximately $23,000 in the same period in 2015. These investment activities relate to improvements implemented in our SampleMD website, equipment purchases, and expansion of our patent portfolio.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$357,000 in financing activities by retiring stock payable due to our previous CEO. These shares were due as a result of previously granted stock awards in 2014 and 2015, for which shares had not yet been issued. These shares were recorded as stock payable on the balance sheet at December 31, 2015.</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2015, we had total current assets of approximately $11.1 million, compared with current liabilities of approximately $3.4 million, resulting in working capital of approximately $6.7 million and a current ratio of approximately 3.3 to 1. This significant improvement over the working capital balance of approximately $3.2 million and the current ratio of 2.3 to 1 at December 31, 2014 is largely a result of our financing transaction with WPP. We are currently generating positive cash flow from operations and we expect our working capital balance to continue to improve in future quarters.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operating activities generated approximately $500,000 in the year ended December 31, 2015 as comparted with approximately $50,000 used by operating activities in the year ended December 31, 2014. The positive cash flow from operations in the year ended December 31, 2015 resulted from positive cash flow from operations prior to working capital items of approximately $350,000 and approximately $250,000 of working capital improvements. We expect to have positive cash flow from operations in future quarters in 2016, however severance payments due at the end of March 2016, may make that unlikely in Q1.</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used approximately $400,000 in investing activities in the year ended December 31, 2014 compared with about $100,000 in the year ended December 31, 2015. These investment activities relate to improvements being implemented in our SampleMD website, as well as protection and expansion of our patent portfolio. These items both represent important components of our business strategy moving forward. The 2014 was significantly higher as a result of the launch of our upgraded SampleMD 2.0 platform in early 2014, as well as the initial work on our migration to Oracle Software started in 2014 and completed in 2015.</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Financing activities provided approximately $4.3 million in the year ended December 31, 2015, resulting from the strategic investment of approximately $4.7 million by WPP, net of costs associated with the investment. Financing activities provided approximately $2.8 million during the year ended December 31, 2014. This results from a $10 million equity raise in March 2014, partially offset by costs of the raise and redemption of all the common stock, preferred stock, and warrants held by a major shareholder that significantly reduced the potential fully diluted shares count, even when considering the new equity issued. With the financing and cash on hand, we have sufficient cash to operate our business for more than the next twelve months and we do not anticipate the need to raise additional equity for operating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2015, however we consider our critical accounting policies to be those related to the amount of revenue to be billed, the timing of revenue recognition, calculation of revenue share expense, stock-based compensation, capitalization and related amortization of intangible assets, and impairment of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three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2015, WPP made a strategic investment in the Company and is a shareholder that owns approximately 20% of the shares of the Company. During 2015, we had billings of $420,503 to agencies that are part of the WPP group and recognized revenue of $178,855 related to those billings. As of December 31, 2015, we have receivables included in trade receivables on the balance sheet of $381,125 from WPP agencies and amounts due to WPP agencies included in revenue share payable of $37,803 as of December 31, 2015.</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Demand Registration Rights. We granted the Investor registration rights for the 6,011,106 acquired from us and any securities acquired in connection with an Amended and Restated Co-Marketing Agreement after a period of two years.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Inspection Rights. So long as the Investor owns not less than 25% of the Shares, we granted the Investor an annual right to inspect our books and records.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Observer Rights. So long as the Investor owns not less than 25% of the Shares, we will allow the Investor to choose a representative to attend our board meetings as a nonvoting observer.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Board Seat. So long as the Investor owns not less than 25% of the Shares, we agreed to appoint a nominee of the Investor as a member of our board of directors. We also agreed to a five member Board of Directors provided that it is not prohibited by the rules and regulations of an exchange that we trade on. We also agreed to enter into an Indemnity Agreement with the nominee.</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Budget Review. So long as the Investor owns not less than 25% of the Shares, we agreed to review our budget plans with the Investor’s nominee prior to submission to the Board of Directors, at the request of the Investor.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Right of First Refusal. We agreed that, in the event that it proposes to sell new securities, we will first offer such new securities to the Investor.</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Special Approval Matters. So long as the Investor owns not less than 25% of the Shares, and provided that it is not prohibited by the rules and regulations of an exchange that we trades on, we agreed that 80% Board approval will be required for certain decisions, including:</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then issued and outstanding capital stock of the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24, 2015, we amended and restated an existing Co-Marketing Agreement with Grey Healthcare Group, LLC (“GHG”) an affiliate of WPP (the “Amended and Restated Co-Marketing Agreement”). The Amended and Restated Co-Marketing Agreement was amended to give the GHG the option to receive all or part of the compensation due under the agreement in shares of our common stock. Shares issuable under the Amended and Restated Co-Marketing Agreement will be issued to WPP or any other affiliate of GHG designated in writing by GHG at the following rates:</w:t>
      </w:r>
    </w:p>
    <w:p>
      <w:pPr>
        <w:spacing w:after="0" w:line="171"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Until June 30, 2016, we will issue the number of shares of common stock equal to GHG’s share of net revenues received for sales of new services to GHG or Company clients (“GHG Net Revenues”) divided by $0.7875.</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After June 30, 2016, we will issue the number of shares of common stock equal to the GHG Net Revenues divided by a price equal to 80% multiplied by the average trading price of one share of common stock during the 30 trading day period immediately prior to the date of the most recent statement of GHG Net Revenues set forth by the Company.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17, 2014, we raised gross proceeds of $10,000,000 in an unregistered offering (the “Offering”) with certain accredited investors. We used a portion of the net proceeds of the Offering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the Series A Convertible Preferred Stock, Series B Convertible Preferred Stock, Common Stock, and warrants to purchase shares of common stock held by Vicis in our company. In connection with this fundraising, we agreed to grant 200,000 shares of fully vested common stock to officers David, Harrell, David Lester, and Terry Hamilton.</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we agreed to grant 337,500 shares of common stock, half of which vested immediately and half of which vested in August 2014, to both David Harrell and Terry Hamilton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Quarter Ended</w:t>
            </w:r>
          </w:p>
        </w:tc>
        <w:tc>
          <w:tcPr>
            <w:tcW w:w="5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High $</w:t>
            </w:r>
          </w:p>
        </w:tc>
        <w:tc>
          <w:tcPr>
            <w:tcW w:w="124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Low $</w:t>
            </w:r>
          </w:p>
        </w:tc>
      </w:tr>
      <w:tr>
        <w:trPr>
          <w:trHeight w:val="216"/>
        </w:trPr>
        <w:tc>
          <w:tcPr>
            <w:tcW w:w="36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December 31, 2014</w:t>
            </w:r>
          </w:p>
        </w:tc>
        <w:tc>
          <w:tcPr>
            <w:tcW w:w="5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September 30, 2014</w:t>
            </w:r>
          </w:p>
        </w:tc>
        <w:tc>
          <w:tcPr>
            <w:tcW w:w="6540" w:type="dxa"/>
            <w:vAlign w:val="bottom"/>
            <w:gridSpan w:val="4"/>
          </w:tcPr>
          <w:p>
            <w:pPr>
              <w:jc w:val="right"/>
              <w:ind w:right="220"/>
              <w:spacing w:after="0"/>
              <w:rPr>
                <w:sz w:val="20"/>
                <w:szCs w:val="20"/>
                <w:color w:val="auto"/>
              </w:rPr>
            </w:pPr>
            <w:r>
              <w:rPr>
                <w:rFonts w:ascii="Arial" w:cs="Arial" w:eastAsia="Arial" w:hAnsi="Arial"/>
                <w:sz w:val="18"/>
                <w:szCs w:val="18"/>
                <w:color w:val="auto"/>
              </w:rPr>
              <w:t>1.54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2014</w:t>
            </w:r>
          </w:p>
        </w:tc>
        <w:tc>
          <w:tcPr>
            <w:tcW w:w="6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30"/>
        </w:trPr>
        <w:tc>
          <w:tcPr>
            <w:tcW w:w="3640" w:type="dxa"/>
            <w:vAlign w:val="bottom"/>
          </w:tcPr>
          <w:p>
            <w:pPr>
              <w:ind w:left="180"/>
              <w:spacing w:after="0"/>
              <w:rPr>
                <w:sz w:val="20"/>
                <w:szCs w:val="20"/>
                <w:color w:val="auto"/>
              </w:rPr>
            </w:pPr>
            <w:r>
              <w:rPr>
                <w:rFonts w:ascii="Arial" w:cs="Arial" w:eastAsia="Arial" w:hAnsi="Arial"/>
                <w:sz w:val="18"/>
                <w:szCs w:val="18"/>
                <w:color w:val="auto"/>
              </w:rPr>
              <w:t>March 31, 2014</w:t>
            </w:r>
          </w:p>
        </w:tc>
        <w:tc>
          <w:tcPr>
            <w:tcW w:w="6540" w:type="dxa"/>
            <w:vAlign w:val="bottom"/>
            <w:gridSpan w:val="4"/>
          </w:tcPr>
          <w:p>
            <w:pPr>
              <w:jc w:val="right"/>
              <w:ind w:right="220"/>
              <w:spacing w:after="0"/>
              <w:rPr>
                <w:sz w:val="20"/>
                <w:szCs w:val="20"/>
                <w:color w:val="auto"/>
              </w:rPr>
            </w:pPr>
            <w:r>
              <w:rPr>
                <w:rFonts w:ascii="Arial" w:cs="Arial" w:eastAsia="Arial" w:hAnsi="Arial"/>
                <w:sz w:val="18"/>
                <w:szCs w:val="18"/>
                <w:color w:val="auto"/>
              </w:rPr>
              <w:t>1.95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425"/>
        </w:trPr>
        <w:tc>
          <w:tcPr>
            <w:tcW w:w="36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jc w:val="right"/>
              <w:ind w:right="279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Quarter Ended</w:t>
            </w: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High $</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Low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December 31, 2015</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September 30, 2015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30, 2015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March 31, 2015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Quarter Ended March 31, 2016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418"/>
        </w:trPr>
        <w:tc>
          <w:tcPr>
            <w:tcW w:w="8820" w:type="dxa"/>
            <w:vAlign w:val="bottom"/>
            <w:gridSpan w:val="3"/>
          </w:tcPr>
          <w:p>
            <w:pPr>
              <w:spacing w:after="0"/>
              <w:rPr>
                <w:sz w:val="20"/>
                <w:szCs w:val="20"/>
                <w:color w:val="auto"/>
              </w:rPr>
            </w:pPr>
            <w:r>
              <w:rPr>
                <w:rFonts w:ascii="Arial" w:cs="Arial" w:eastAsia="Arial" w:hAnsi="Arial"/>
                <w:sz w:val="18"/>
                <w:szCs w:val="18"/>
                <w:color w:val="auto"/>
              </w:rPr>
              <w:t>On June 2, 2016, the last sales price per share of our common stock was $1.07.</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2, 2016, we had 29,077,660 shares of our common stock issued and outstanding, held by 320 shareholders of record at our transfer agent, with holding our shares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initial Plan, we were able to issue up to an aggregate total of 1,500,000 incentive or non-qualified options to purchase our common stock, or stock awards. In March, 2016, the Board expanded the number of shares issuable under the plan to 4,000,000.</w:t>
      </w:r>
    </w:p>
    <w:p>
      <w:pPr>
        <w:sectPr>
          <w:pgSz w:w="11900" w:h="16838" w:orient="portrait"/>
          <w:cols w:equalWidth="0" w:num="1">
            <w:col w:w="11420"/>
          </w:cols>
          <w:pgMar w:left="240" w:top="226" w:right="239" w:bottom="1081"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081" w:gutter="0" w:footer="0" w:header="0"/>
          <w:type w:val="continuous"/>
        </w:sectPr>
      </w:pPr>
    </w:p>
    <w:bookmarkStart w:id="42" w:name="page43"/>
    <w:bookmarkEnd w:id="4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as of December 31, 2015</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available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Securities to</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for future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be issued</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issuance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upon</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exercise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w:t>
            </w:r>
          </w:p>
        </w:tc>
        <w:tc>
          <w:tcPr>
            <w:tcW w:w="0" w:type="dxa"/>
            <w:vAlign w:val="bottom"/>
          </w:tcPr>
          <w:p>
            <w:pPr>
              <w:spacing w:after="0"/>
              <w:rPr>
                <w:sz w:val="1"/>
                <w:szCs w:val="1"/>
                <w:color w:val="auto"/>
              </w:rPr>
            </w:pPr>
          </w:p>
        </w:tc>
      </w:tr>
      <w:tr>
        <w:trPr>
          <w:trHeight w:val="216"/>
        </w:trPr>
        <w:tc>
          <w:tcPr>
            <w:tcW w:w="7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 Compensation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price 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7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Plans Not Approved by</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41"/>
        </w:trPr>
        <w:tc>
          <w:tcPr>
            <w:tcW w:w="7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the Shareholders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options</w:t>
            </w:r>
          </w:p>
        </w:tc>
        <w:tc>
          <w:tcPr>
            <w:tcW w:w="1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options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223"/>
        </w:trPr>
        <w:tc>
          <w:tcPr>
            <w:tcW w:w="73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(b)</w:t>
            </w:r>
          </w:p>
        </w:tc>
        <w:tc>
          <w:tcPr>
            <w:tcW w:w="2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 Equity Compensation Plan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Other Equity Compensation (includes options and warrants)</w:t>
            </w:r>
          </w:p>
        </w:tc>
        <w:tc>
          <w:tcPr>
            <w:tcW w:w="1160" w:type="dxa"/>
            <w:vAlign w:val="bottom"/>
          </w:tcPr>
          <w:p>
            <w:pPr>
              <w:jc w:val="right"/>
              <w:spacing w:after="0"/>
              <w:rPr>
                <w:sz w:val="20"/>
                <w:szCs w:val="20"/>
                <w:color w:val="auto"/>
              </w:rPr>
            </w:pPr>
            <w:r>
              <w:rPr>
                <w:rFonts w:ascii="Arial" w:cs="Arial" w:eastAsia="Arial" w:hAnsi="Arial"/>
                <w:sz w:val="18"/>
                <w:szCs w:val="18"/>
                <w:color w:val="auto"/>
              </w:rPr>
              <w:t>2,609,139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gridSpan w:val="2"/>
            <w:vMerge w:val="continue"/>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3,709,583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Recent Sales of Unregistered Securities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2016, we issued 34,235 shares of common stock in connection with the cashless exercise of an expiring option to purchase 100,000 shares of common stock previously granted to a consultant.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March 2016, we issued 12,500 shares of common stock to our independent directors in connection with our Director Compensation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December, 2015, we issued 12,500 shares of restricted common stock to our outside Directors as part of our director compensation package for services rendered in the fourth quarter of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24, 2015, we entered into a Stock Purchase Agreement with WPP Luxembourg Gamma Three S.à r.l., a private limited liability company (société à responsabilité limitée) incorporated under the laws of the Grand Duchy of Luxembourg, pursuant to which we sold to WPP 6,011,106 shares of our common stock for $0.7875 per share, or gross proceeds of $4,733,746. Placement agents in the offering received warrants to purchase up to 240,444 shares of our common stock with an exercise price of $0.7875 per share and a term of 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we issued 6,250 shares of our common stock to each of our independent directors under our compensation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we issued 45,000 shares of our common stock under a capital markets advisory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2015 we issued 45,000 shares of our common stock to an investment banking firm in connection with a capital markets advisory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also issued 12,500 shares of common stock to our outside directors in connection with our Director Compensation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issued 12,500 shares of restricted common stock to our outside Directors as part of our director compensation package for services rendered in the fourth quarter of 2014.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2015 and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Name</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and</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Stock</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All Other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principal</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Salary</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Bonus</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Total</w:t>
            </w:r>
          </w:p>
        </w:tc>
      </w:tr>
      <w:tr>
        <w:trPr>
          <w:trHeight w:val="237"/>
        </w:trPr>
        <w:tc>
          <w:tcPr>
            <w:tcW w:w="420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Year</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2"/>
        </w:trPr>
        <w:tc>
          <w:tcPr>
            <w:tcW w:w="3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David A. Harrell</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200"/>
              <w:spacing w:after="0" w:line="201" w:lineRule="exact"/>
              <w:rPr>
                <w:sz w:val="20"/>
                <w:szCs w:val="20"/>
                <w:color w:val="auto"/>
              </w:rPr>
            </w:pPr>
            <w:r>
              <w:rPr>
                <w:rFonts w:ascii="Arial" w:cs="Arial" w:eastAsia="Arial" w:hAnsi="Arial"/>
                <w:sz w:val="18"/>
                <w:szCs w:val="18"/>
                <w:color w:val="auto"/>
              </w:rPr>
              <w:t>2015</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201,508</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75,000</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87"/>
              </w:rPr>
              <w:t>73,509</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200"/>
              <w:spacing w:after="0" w:line="201" w:lineRule="exact"/>
              <w:rPr>
                <w:sz w:val="20"/>
                <w:szCs w:val="20"/>
                <w:color w:val="auto"/>
              </w:rPr>
            </w:pPr>
            <w:r>
              <w:rPr>
                <w:rFonts w:ascii="Arial" w:cs="Arial" w:eastAsia="Arial" w:hAnsi="Arial"/>
                <w:sz w:val="18"/>
                <w:szCs w:val="18"/>
                <w:color w:val="auto"/>
                <w:w w:val="89"/>
              </w:rPr>
              <w:t>350,017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Chief Executive Officer,</w:t>
            </w: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183,750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394,969</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678,719</w:t>
            </w:r>
          </w:p>
        </w:tc>
      </w:tr>
      <w:tr>
        <w:trPr>
          <w:trHeight w:val="23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Strategic Officer and Director</w:t>
            </w: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Terence J. Hamilton</w:t>
            </w:r>
          </w:p>
        </w:tc>
        <w:tc>
          <w:tcPr>
            <w:tcW w:w="780" w:type="dxa"/>
            <w:vAlign w:val="bottom"/>
          </w:tcPr>
          <w:p>
            <w:pPr>
              <w:ind w:left="200"/>
              <w:spacing w:after="0" w:line="201" w:lineRule="exact"/>
              <w:rPr>
                <w:sz w:val="20"/>
                <w:szCs w:val="20"/>
                <w:color w:val="auto"/>
              </w:rPr>
            </w:pPr>
            <w:r>
              <w:rPr>
                <w:rFonts w:ascii="Arial" w:cs="Arial" w:eastAsia="Arial" w:hAnsi="Arial"/>
                <w:sz w:val="18"/>
                <w:szCs w:val="18"/>
                <w:color w:val="auto"/>
              </w:rPr>
              <w:t>2015</w:t>
            </w:r>
          </w:p>
        </w:tc>
        <w:tc>
          <w:tcPr>
            <w:tcW w:w="320" w:type="dxa"/>
            <w:vAlign w:val="bottom"/>
          </w:tcPr>
          <w:p>
            <w:pPr>
              <w:spacing w:after="0"/>
              <w:rPr>
                <w:sz w:val="17"/>
                <w:szCs w:val="17"/>
                <w:color w:val="auto"/>
              </w:rPr>
            </w:pP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165,000</w:t>
            </w:r>
          </w:p>
        </w:tc>
        <w:tc>
          <w:tcPr>
            <w:tcW w:w="10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60,000</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110,264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335,264</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VP of Sales and Director</w:t>
            </w:r>
          </w:p>
        </w:tc>
        <w:tc>
          <w:tcPr>
            <w:tcW w:w="780" w:type="dxa"/>
            <w:vAlign w:val="bottom"/>
          </w:tcPr>
          <w:p>
            <w:pPr>
              <w:ind w:left="200"/>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163,438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70,000</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458,906</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692,344</w:t>
            </w:r>
          </w:p>
        </w:tc>
      </w:tr>
      <w:tr>
        <w:trPr>
          <w:trHeight w:val="202"/>
        </w:trPr>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Douglas Baker</w:t>
            </w:r>
          </w:p>
        </w:tc>
        <w:tc>
          <w:tcPr>
            <w:tcW w:w="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2015</w:t>
            </w: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143,750</w:t>
            </w:r>
          </w:p>
        </w:tc>
        <w:tc>
          <w:tcPr>
            <w:tcW w:w="10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60,000</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10,668</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214,418</w:t>
            </w:r>
          </w:p>
        </w:tc>
      </w:tr>
      <w:tr>
        <w:trPr>
          <w:trHeight w:val="23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CFO</w:t>
            </w: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78,125</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131,110</w:t>
            </w: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209,235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2008, we entered into an employment agreement with Mr. Harrell to serve as our CEO. The agreement was amended on January 14, 2013 to account for his new positions as CSO and Vice Chairman. The terms of his compensation, was an annual salary of $144,000 with a 5% cost of living increase on each 12 month anniversary. Mr. Harrell was also eligible for additional quarterly and annual bonus compensation, stock options, and stock grants based on performance metrics outlined by our board of directors. He was entitled to vacation and sick days, and other benefits included in the agreement. On March 18, 2010, we entered into an addendum to the employment agreement to increase his compensation to $152,004 annually.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28, 2010, we amended Mr. Harrell’s employment agreement to include a covenant not to compete covering the term of employment and continuing for a period of two years thereafter. As a result of the same amendment, Mr. Harrell is entitled to severance payments if his employment terminated, with or without cause. Such payments would be due monthly at his then current salary rate for a period of 24 months following termination. On August 14, 2013, we further amended the employment agreement with Mr. Harrell. Pursuant to the terms and conditions of the Amendment to Employment Agreement with David Harrell:</w:t>
      </w:r>
    </w:p>
    <w:p>
      <w:pPr>
        <w:spacing w:after="0" w:line="18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Harrell will serve as Vice Chairman of the Board and Chief Strategy Officer of our company;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 of Mr. Harrell’s employment shall be for one year, and shall automatically renew for each year thereafter unless terminated on thirty days’ notice before the end of the term;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Harrell will earn a base salary of $183,750 per year;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14, 2013 we granted restricted stock awards under our 2013 Incentive Plan. Mr. Harrell was awarded 121,875 shares of our common stock. The award vested in 2014 and was valued at $1.69 per share. Mr. Harrell was granted an additional restricted stock award of 100,000 shares under our 2013 Incentive Plan on January 9, 2014. This award was fully vested at the time of grant and was valued at $1.89 per share. In 2015, Mr. Harrell was awarded an additional 79,042 shares of restricted common stock, valued at $0.93 per share. All shares described in this paragraph remain unissued and are recorded as common stock payable at December 31, 2015.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9, 2016, we entered into a Separation Agreement and Release with Mr. Harrell that grants us a standard release of employment claims in consideration for, among other things, a stock payout of $720,415 to Mr. Harrell to retire shares due and owing to him, awarded in prior years, but not yet issued.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same date, we entered into a Corporate Consulting Agreement with Mr. Harrell that sets forth the terms his continued relationship with our company. He remained our employee through May 31, 2016 and the Corporate Consulting Agreement went effective as of June 1, 2016. Under the terms of this agreement, Mr. Harrell will consult for our company for a period of 16 months and he will receive a monthly payment of $15,000, with the potential for up to $54,000 in additional bonus payments during the term of the agreement. This agreement also calls for insurance benefits for seven months. Finally, the agreement contains a Consultant Confidentiality, Invention Assignment and Non-Compete Agreement that contains restrictive covenants that include a one year non-compete following the completion of Mr. Harrell’s 18 months of consulting, and an inventions assignment clause during the term of his consulting relationship.</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28, 2010, we amended Mr. Hamilton’s employment agreement to include a covenant not to compete covering the term of employment and continuing for a period of one year thereafter. As a result of the same amendment, Mr. Hamilton is entitled to severance payments if he is terminated with or without cause. Such payments would be due monthly at his then current salary rate for a period of 12 months following termination. On August 14, 2013, we amended the employment agreement with Mr. Hamilton to increase his base salary to $157,500 per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16, 2014, Mr. Hamilton’s salary was increased to a base salary of $165,000, and on February 1, 2016, his base salary was increased to $181,500, but no formal contract amendment was signed, in either instance.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14, 2013 we granted restricted stock awards under our 2013 Incentive Plan. Mr. Hamilton was awarded 215,625 shares of our common stock. The award vested in 2014 and was valued at $1.69 per share. Mr. Hamilton was granted an additional restricted stock award of 50,000 shares under our 2013 Incentive Plan on January 9, 2014. This award was fully vested at the time of grant and was valued at $1.89 per share. In 2015, Mr. Hamilton was awarded an additional 118,563 shares of restricted common stock, valued at $0.93 per share. All shares described in this paragraph remain unissued and are recorded as common stock payable at December 31, 2015.</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12, 2014, we entered into an employment agreement with Mr. Baker, our Chief Financial Officer. Under the agreement, we agreed to compensate Mr. Baker $125,000 annually and we granted him options to purchase 100,000 shares of our common stock, with 50% vesting after one year and 50% vesting after two years of hire. The options were valued at 1.3111 per share, or a total of $131,110, for financial statement purposes using the Black-Scholes pricing model. Effective April 1, 2015, Mr. Baker’s salary was increased to an annual rate of $150,000, and effective February 1, 2016 to an annual rate of $165,000. During 2015, Mr. Baker was granted an additional 100,000 options that vest in 2017.</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Baker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14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8"/>
                <w:szCs w:val="18"/>
                <w:color w:val="auto"/>
              </w:rPr>
              <w:t>OPTION AWARDS</w:t>
            </w:r>
          </w:p>
        </w:tc>
        <w:tc>
          <w:tcPr>
            <w:tcW w:w="2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tcBorders>
            <w:gridSpan w:val="4"/>
          </w:tcPr>
          <w:p>
            <w:pPr>
              <w:ind w:left="320"/>
              <w:spacing w:after="0"/>
              <w:rPr>
                <w:sz w:val="20"/>
                <w:szCs w:val="20"/>
                <w:color w:val="auto"/>
              </w:rPr>
            </w:pPr>
            <w:r>
              <w:rPr>
                <w:rFonts w:ascii="Arial" w:cs="Arial" w:eastAsia="Arial" w:hAnsi="Arial"/>
                <w:sz w:val="18"/>
                <w:szCs w:val="18"/>
                <w:color w:val="auto"/>
              </w:rPr>
              <w:t>STOCK AWARDS</w:t>
            </w: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02"/>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Incentive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Incentive</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Plan</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Market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Plan</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Awards: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Awards: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Market or</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of</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Number</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Payout</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Number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of</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Value of</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or</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Unearned</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Unearned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Units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Shares,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3"/>
              </w:rPr>
              <w:t>Shares,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Number of</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or Units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of</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Units or</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Units or</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Securities</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Other</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Underlying</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Stock That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That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Rights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Rights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Unexercised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Option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Have</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Have</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That Have</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That</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Options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Option</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Not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Not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Not</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Have Not</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Price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Expiration</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Vested</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Vested</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Vested</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Vested</w:t>
            </w:r>
          </w:p>
        </w:tc>
      </w:tr>
      <w:tr>
        <w:trPr>
          <w:trHeight w:val="237"/>
        </w:trPr>
        <w:tc>
          <w:tcPr>
            <w:tcW w:w="1500" w:type="dxa"/>
            <w:vAlign w:val="bottom"/>
            <w:gridSpan w:val="2"/>
          </w:tcPr>
          <w:p>
            <w:pPr>
              <w:spacing w:after="0"/>
              <w:rPr>
                <w:sz w:val="20"/>
                <w:szCs w:val="20"/>
                <w:color w:val="auto"/>
              </w:rPr>
            </w:pPr>
            <w:r>
              <w:rPr>
                <w:rFonts w:ascii="Arial" w:cs="Arial" w:eastAsia="Arial" w:hAnsi="Arial"/>
                <w:sz w:val="18"/>
                <w:szCs w:val="18"/>
                <w:color w:val="auto"/>
              </w:rPr>
              <w:t>Name</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Exercisable</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Unexercisable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r>
      <w:tr>
        <w:trPr>
          <w:trHeight w:val="216"/>
        </w:trPr>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Harrell</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5/31/16</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1500" w:type="dxa"/>
            <w:vAlign w:val="bottom"/>
            <w:gridSpan w:val="2"/>
          </w:tcPr>
          <w:p>
            <w:pPr>
              <w:spacing w:after="0" w:line="201" w:lineRule="exact"/>
              <w:rPr>
                <w:sz w:val="20"/>
                <w:szCs w:val="20"/>
                <w:color w:val="auto"/>
              </w:rPr>
            </w:pPr>
            <w:r>
              <w:rPr>
                <w:rFonts w:ascii="Arial" w:cs="Arial" w:eastAsia="Arial" w:hAnsi="Arial"/>
                <w:sz w:val="18"/>
                <w:szCs w:val="18"/>
                <w:color w:val="auto"/>
              </w:rPr>
              <w:t>Douglas</w:t>
            </w:r>
          </w:p>
        </w:tc>
        <w:tc>
          <w:tcPr>
            <w:tcW w:w="10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50,000</w:t>
            </w:r>
          </w:p>
        </w:tc>
        <w:tc>
          <w:tcPr>
            <w:tcW w:w="136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50,000</w:t>
            </w:r>
          </w:p>
        </w:tc>
        <w:tc>
          <w:tcPr>
            <w:tcW w:w="900" w:type="dxa"/>
            <w:vAlign w:val="bottom"/>
          </w:tcPr>
          <w:p>
            <w:pPr>
              <w:spacing w:after="0"/>
              <w:rPr>
                <w:sz w:val="17"/>
                <w:szCs w:val="17"/>
                <w:color w:val="auto"/>
              </w:rPr>
            </w:pPr>
          </w:p>
        </w:tc>
        <w:tc>
          <w:tcPr>
            <w:tcW w:w="3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1.05</w:t>
            </w: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3"/>
              </w:rPr>
              <w:t>5/19/19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Baker</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100,000</w:t>
            </w:r>
          </w:p>
        </w:tc>
        <w:tc>
          <w:tcPr>
            <w:tcW w:w="9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6/24/20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Hamilton</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5/31/16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compensation of our directors as of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Fees Earned or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Paid in Cash</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Awards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Total</w:t>
            </w:r>
          </w:p>
        </w:tc>
      </w:tr>
      <w:tr>
        <w:trPr>
          <w:trHeight w:val="237"/>
        </w:trPr>
        <w:tc>
          <w:tcPr>
            <w:tcW w:w="4700" w:type="dxa"/>
            <w:vAlign w:val="bottom"/>
            <w:gridSpan w:val="2"/>
          </w:tcPr>
          <w:p>
            <w:pPr>
              <w:spacing w:after="0"/>
              <w:rPr>
                <w:sz w:val="20"/>
                <w:szCs w:val="20"/>
                <w:color w:val="auto"/>
              </w:rPr>
            </w:pPr>
            <w:r>
              <w:rPr>
                <w:rFonts w:ascii="Arial" w:cs="Arial" w:eastAsia="Arial" w:hAnsi="Arial"/>
                <w:sz w:val="18"/>
                <w:szCs w:val="18"/>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Gus D. Halas</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11,315</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20,894</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 Vos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Director Compensation Table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our Director Compensation Plan, independent directors (“Outside Directors”) shall receive (a) a $25,000 annual cash retainer, payable in equal quarterly installments, and (b) reimbursement for expenses related to Board meeting attendance and any committee participation. Directors are expected to attend four meetings per year as well as spend an additional 10 – 20 hours per month on company matters. In addition, Outside Directors shall receive 25,000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Financial Statements:</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F-1</w:t>
            </w:r>
          </w:p>
        </w:tc>
        <w:tc>
          <w:tcPr>
            <w:tcW w:w="10500" w:type="dxa"/>
            <w:vAlign w:val="bottom"/>
            <w:gridSpan w:val="10"/>
            <w:shd w:val="clear" w:color="auto" w:fill="CCEEFF"/>
          </w:tcPr>
          <w:p>
            <w:pPr>
              <w:spacing w:after="0" w:line="203"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Balance Sheets as of March 31, 2016 and December 31, 2015;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F-2</w:t>
            </w:r>
          </w:p>
        </w:tc>
        <w:tc>
          <w:tcPr>
            <w:tcW w:w="10500" w:type="dxa"/>
            <w:vAlign w:val="bottom"/>
            <w:gridSpan w:val="10"/>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Operations for three months ended March 31, 2016 and 2015;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F-3</w:t>
            </w:r>
          </w:p>
        </w:tc>
        <w:tc>
          <w:tcPr>
            <w:tcW w:w="10500" w:type="dxa"/>
            <w:vAlign w:val="bottom"/>
            <w:gridSpan w:val="10"/>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Cash Flows for three months ended March 31, 2016 and 2015; and</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F-4</w:t>
            </w:r>
          </w:p>
        </w:tc>
        <w:tc>
          <w:tcPr>
            <w:tcW w:w="684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Notes to Financial Statements.</w:t>
              </w:r>
            </w:hyperlink>
          </w:p>
        </w:tc>
        <w:tc>
          <w:tcPr>
            <w:tcW w:w="36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2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F-7</w:t>
            </w:r>
          </w:p>
        </w:tc>
        <w:tc>
          <w:tcPr>
            <w:tcW w:w="42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Report of Independent Registered Public Accounting Firm;</w:t>
              </w:r>
            </w:hyperlink>
          </w:p>
        </w:tc>
        <w:tc>
          <w:tcPr>
            <w:tcW w:w="6220" w:type="dxa"/>
            <w:vAlign w:val="bottom"/>
            <w:tcBorders>
              <w:bottom w:val="single" w:sz="8" w:color="CCEEFF"/>
            </w:tcBorders>
            <w:gridSpan w:val="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F-8</w:t>
            </w:r>
          </w:p>
        </w:tc>
        <w:tc>
          <w:tcPr>
            <w:tcW w:w="10500" w:type="dxa"/>
            <w:vAlign w:val="bottom"/>
            <w:gridSpan w:val="10"/>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Balance Sheets as of December 31, 2015 and 2014;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F-9</w:t>
            </w:r>
          </w:p>
        </w:tc>
        <w:tc>
          <w:tcPr>
            <w:tcW w:w="64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Operations for the years ended December 31, 2015 and 2014;</w:t>
              </w:r>
            </w:hyperlink>
          </w:p>
        </w:tc>
        <w:tc>
          <w:tcPr>
            <w:tcW w:w="4040" w:type="dxa"/>
            <w:vAlign w:val="bottom"/>
            <w:tcBorders>
              <w:bottom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F-10</w:t>
            </w:r>
          </w:p>
        </w:tc>
        <w:tc>
          <w:tcPr>
            <w:tcW w:w="10500" w:type="dxa"/>
            <w:vAlign w:val="bottom"/>
            <w:gridSpan w:val="10"/>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 of Stockholders’ Equity as of December 31, 2015;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F-12</w:t>
            </w:r>
          </w:p>
        </w:tc>
        <w:tc>
          <w:tcPr>
            <w:tcW w:w="68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Statements of Cash Flows for the years ended December 31, 2015 and 2014; and</w:t>
              </w:r>
            </w:hyperlink>
          </w:p>
        </w:tc>
        <w:tc>
          <w:tcPr>
            <w:tcW w:w="368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F-13</w:t>
            </w:r>
          </w:p>
        </w:tc>
        <w:tc>
          <w:tcPr>
            <w:tcW w:w="10500" w:type="dxa"/>
            <w:vAlign w:val="bottom"/>
            <w:gridSpan w:val="10"/>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Notes to Financial Statements.</w:t>
              </w:r>
            </w:hyperlink>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0" w:type="dxa"/>
            <w:vAlign w:val="bottom"/>
            <w:tcBorders>
              <w:top w:val="single" w:sz="8" w:color="0000EE"/>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2016 AND DECEMBER 31,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March 31, 2016</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868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7,548,261</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8,207,565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2,340,765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2,847,450</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54,555</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70,623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9,943,581</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11,125,638</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23,076</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817,239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832,884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Web development costs,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308,812</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340,470</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deposit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1,131,100</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1,178,403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11,097,757</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12,314,280</w:t>
            </w:r>
          </w:p>
        </w:tc>
        <w:tc>
          <w:tcPr>
            <w:tcW w:w="80" w:type="dxa"/>
            <w:vAlign w:val="bottom"/>
            <w:shd w:val="clear" w:color="auto" w:fill="CCEEFF"/>
          </w:tcPr>
          <w:p>
            <w:pPr>
              <w:spacing w:after="0"/>
              <w:rPr>
                <w:sz w:val="21"/>
                <w:szCs w:val="2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195,076</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212,191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1,502,816</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2,355,608</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845,226</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227,002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2,551,208</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3,371,784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$.001 par value, 500,000,000 shares authorized, 29,043,425 and 29,030,925 shares issued and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outstanding, respectively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29,043</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29,031</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Preferred stock, $.001 par value, 10,000,000 shares authorized, 0 and 65 shares issued and outstanding, respectively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2,294,416</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2,329,508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32,631,226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32,185,499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663,670</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1,132,148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stock compensation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(13,800)</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(27,071,806)</w:t>
            </w:r>
          </w:p>
        </w:tc>
        <w:tc>
          <w:tcPr>
            <w:tcW w:w="1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(26,719,890)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8,546,549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8,942,496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11,097,757</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12,314,280</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 AND 2015</w:t>
      </w:r>
    </w:p>
    <w:p>
      <w:pPr>
        <w:spacing w:after="0" w:line="224"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1,759,528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1,487,553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892,793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866,735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731,113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1,228,564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(361,829)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INCOME (EXPENSE)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(351,916)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(351,916</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(111,201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29,030,925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22,897,819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80" w:type="dxa"/>
            <w:vAlign w:val="bottom"/>
            <w:tcBorders>
              <w:top w:val="single" w:sz="8" w:color="CCEEFF"/>
              <w:bottom w:val="single" w:sz="8" w:color="CCEEFF"/>
            </w:tcBorders>
            <w:vMerge w:val="restart"/>
          </w:tcPr>
          <w:p>
            <w:pPr>
              <w:ind w:left="3020"/>
              <w:spacing w:after="0"/>
              <w:rPr>
                <w:sz w:val="20"/>
                <w:szCs w:val="20"/>
                <w:color w:val="auto"/>
              </w:rPr>
            </w:pPr>
            <w:r>
              <w:rPr>
                <w:rFonts w:ascii="Arial" w:cs="Arial" w:eastAsia="Arial" w:hAnsi="Arial"/>
                <w:sz w:val="18"/>
                <w:szCs w:val="18"/>
                <w:color w:val="auto"/>
                <w:w w:val="93"/>
              </w:rPr>
              <w:t>The accompanying notes are an integral part of these financial statements.</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5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F-2</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 AND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color w:val="auto"/>
              </w:rPr>
              <w:t>For the three months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for the period</w:t>
            </w:r>
          </w:p>
        </w:tc>
        <w:tc>
          <w:tcPr>
            <w:tcW w:w="1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(351,916)</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Stock and options issued for services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106,384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506,685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286,840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(380,115)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share payable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(852,792)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618,224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(286,087</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86,692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Patent rights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Equipment</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(14,507)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Website site development costs</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(15,802</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(22,842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 payable</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(357,415)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(357,415</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8,207,565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3,446,973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vMerge w:val="continue"/>
            <w:shd w:val="clear" w:color="auto" w:fill="CCEEFF"/>
          </w:tcPr>
          <w:p>
            <w:pPr>
              <w:spacing w:after="0"/>
              <w:rPr>
                <w:sz w:val="21"/>
                <w:szCs w:val="21"/>
                <w:color w:val="auto"/>
              </w:rPr>
            </w:pPr>
          </w:p>
        </w:tc>
        <w:tc>
          <w:tcPr>
            <w:tcW w:w="1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7,548,261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3,510,823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1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Cash paid for income taxes</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solution company focused on the health care industry. Our objective is to bring better access to better care by leveraging our proprietary technology to provide on demand savings and clinical messaging within physicians’ and patients’ web based platforms, including Electronic Health Records, e-prescribing platforms, pharmacies and Patient Portals. Initially defined as a marketing and advertising company through its consumer website, OptimizeRx.com, we have matured as a technology solutions provider through our direct to physician solutions, which allows physicians to automatically display and distribute sample vouchers and/or co-pay coupons electronically within the ePrescription platform to pharmacies on behalf of their patients. The OptimizeRx solution is integrated into the ePrescribing or Electronic Medical Records applications, but can also be accessed on their mobile device as well as an application on a prescriber’s desktop.</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solutions provide health care institutions with an alternative option to the traditional inefficiencies and issues associated with storing and managing physical drug samples and pre-printed coupons and provides better access and affordability to patients to improve affordability, adherence, education and outcomes. In turn, we provide pharmaceutical manufacturers with both direct to consumer and direct to physician channels for more efficiently communicating and promoting their products and savings with a method of transparent return on investment.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for the three month periods ended March 31, 2016 and 2015 have been prepared by us without audit pursuant to the rules and regulations of the U.S. Securities and Exchange Commission. In the opinion of management, all adjustments necessary to present fairly our financial position, results of operations, and cash flows as of March 31, 2016 and 2015, and for the periods then ended, have been made. Those adjustments consist of normal and recurring adjustments. The consolidated balance sheet as of December 31, 2015, has been derived from the audited consolidated balance sheet as of that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2015, as filed with the U.S. Securities and Exchange Commission.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results of operations for the three month period ended March 31, 2016, are not necessarily indicative of the results to be expected for the full year. Certain reclassifications have been made in the prior period’s consolidated financial statements to conform to the current period’s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described in greater detail in Note 4, related party transactions, in February 2016, we made a one-time payment of $720,415 to our previous CEO in lieu of issuing shares owed to him from prior years. A portion of this payment, $357,415, was for 295,384 shares of common stock reflected in stock payable at December 31, 2015.</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March 2016, we issued 12,500 shares of common stock to Independent Directors in connection with our Director Compensation plan which calls for issuance of 6,250 shares per quarter to each Independent Director. These shares were valued at $13,125. In January 2015, we issued 12,500 shares of common stock to our Independent Directors in connection with the same compensation plan. Those shares were recorded as stock payable at December 31, 2014. In addition, we recorded an additional 12,500 shares, valued at $16,375 as stock payable at March 31, 2015 for shares to be issued in April 2015.</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2015, we entered into a capital markets advisory agreement covering a one year period, which calls for 90,000 shares of common stock to be issued as compensation. These shares were valued at $112,500 and are being amortized to expense over the period of service. Of these shares, 45,000 were issued in March 2015, and the balance were issued in August 2015.</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the fair value method to account for stock based compensation. We recorded $79,459 and $53,841 in compensation expense in the periods ended March 31, 2016 and 2015, respectively, related to options issued under our stock-based incentive compensation plan. This includes expense related to options issued in prior years for which the requisite service period for those options includes the current year as well as options issued in the current year. The fair value of these instruments was calculated using the Black-Scholes option pricing model. Information related to the assumptions used in this model is set forth in our Annual Report on Form 10-K for the fiscal year ended December 31,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4 – RELATED PARTY TRANSACTIONS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after hiring a new CEO, we paid our previous CEO $720,415 in lieu of issuing him 595,384 shares of common stock based on the 50 day average price of $1.21 per share. A total of 295,384 of these shares were due as a result of previously granted stock awards in 2014 and 2015, for which shares had not yet been issued. These shares were recorded as stock payable on the balance sheet at December 31, 2015. The remaining 300,000 shares were due in connection with the purchase of a patent from the previous CEO in 2010. These shares were recorded as accounts payable – related party on the balance sheet at December 31, 2015. The difference between the value the shares were initially recorded at in 2010 and the amount they were redeemed at in 2016 was recorded as additional paid in capital.</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Also, in April 2016, we and the previous CEO entered into a separation agreement and an 18 month consulting agreement, both of which we recently disclosed in a Form 8-K that we filed with the U.S. Securities and Exchange Commission. The consulting agreement set forth the terms of the previous CEO’s continued relationship with our company. He remained our employee through March 31, 2016 and the consulting agreement began April 1, 2016. Under the terms of the consulting agreement, he will receive a monthly payment of $15,000, with the potential for up to $54,000 in additional bonus payments during the term of the agreement. This agreement also calls for total payments of $12,425 related to insurance benefits. The separation agreement and consulting agreement replace and supersede all previously disclosed payments related to his severance and board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5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2014, we initiated litigation against Shadron Stastney, our CEO from January to December 2013,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 The parties are currently in the discovery process and a dispositive motion has been filed by Mr. Stastney. We are in the process of preparing our response to the motion.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CONTINGENCIES (continued)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is in excess of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is in excess of $1.0 million, as well as damages for lost income and business value as a result of PDR’s actions.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have filed a motion to dismiss two of the four counts in the consolidated complaint. In January, 2016, the Court dismissed one of our four claims, but allowed the other three to continue forward. The parties are currently in the discovery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6 – SUBSEQUENT EVENTS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accordance with ASC 855-10, we have analyzed our operations subsequent to March 31, 2016 through the date these financial statements were issued and have determined that we do not have any material subsequent events to disclose in these financial statements other than the events described below.</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2016, we issued 34,235 shares of common stock in connection with the cashless exercise of an expiring option to purchase 100,000 shares of common stock previously granted to a consultant.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5201 Eden Ave.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Edina, MN 55436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Office: 630-277-2330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763-592-8238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sheets of OptimizeRx Corporation as of December 31, 2015 and 2014, and the related consolidated statements of operations, shareholders' equity (deficit), and cash flows for the years then ended. These consolidated financial statements are the responsibility of the Company's management. Our responsibility is to express an opinion on these consolidated financial statements based on our audits.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2015 and 2014 and the results of their operations and their cash flows for years ended December 31, 2015 and 2014,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Edina, MN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Consolidated Balance Sheets as of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December 31,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December 31,</w:t>
            </w:r>
          </w:p>
        </w:tc>
        <w:tc>
          <w:tcPr>
            <w:tcW w:w="8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2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8,207,565</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3,446,973</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2,847,450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2,100,381</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70,623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11,125,638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5,575,447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rights,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832,884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930,854</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Web development costs, 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340,470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504,643</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deposit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1,178,403</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1,440,546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12,314,280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7,028,806</w:t>
            </w:r>
          </w:p>
        </w:tc>
        <w:tc>
          <w:tcPr>
            <w:tcW w:w="0" w:type="dxa"/>
            <w:vAlign w:val="bottom"/>
          </w:tcPr>
          <w:p>
            <w:pPr>
              <w:spacing w:after="0"/>
              <w:rPr>
                <w:sz w:val="1"/>
                <w:szCs w:val="1"/>
                <w:color w:val="auto"/>
              </w:rPr>
            </w:pPr>
          </w:p>
        </w:tc>
      </w:tr>
      <w:tr>
        <w:trPr>
          <w:trHeight w:val="21"/>
        </w:trPr>
        <w:tc>
          <w:tcPr>
            <w:tcW w:w="8620" w:type="dxa"/>
            <w:vAlign w:val="bottom"/>
            <w:tcBorders>
              <w:top w:val="single" w:sz="8" w:color="CCEEFF"/>
              <w:bottom w:val="single" w:sz="8" w:color="CCEEFF"/>
            </w:tcBorders>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Accounts payable - trade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212,191</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200,372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 related party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25,459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2,355,608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1,502,761</w:t>
            </w:r>
          </w:p>
        </w:tc>
        <w:tc>
          <w:tcPr>
            <w:tcW w:w="0" w:type="dxa"/>
            <w:vAlign w:val="bottom"/>
          </w:tcPr>
          <w:p>
            <w:pPr>
              <w:spacing w:after="0"/>
              <w:rPr>
                <w:sz w:val="1"/>
                <w:szCs w:val="1"/>
                <w:color w:val="auto"/>
              </w:rPr>
            </w:pPr>
          </w:p>
        </w:tc>
      </w:tr>
      <w:tr>
        <w:trPr>
          <w:trHeight w:val="237"/>
        </w:trPr>
        <w:tc>
          <w:tcPr>
            <w:tcW w:w="86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227,002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120,130</w:t>
            </w:r>
          </w:p>
        </w:tc>
        <w:tc>
          <w:tcPr>
            <w:tcW w:w="0" w:type="dxa"/>
            <w:vAlign w:val="bottom"/>
          </w:tcPr>
          <w:p>
            <w:pPr>
              <w:spacing w:after="0"/>
              <w:rPr>
                <w:sz w:val="1"/>
                <w:szCs w:val="1"/>
                <w:color w:val="auto"/>
              </w:rPr>
            </w:pPr>
          </w:p>
        </w:tc>
      </w:tr>
      <w:tr>
        <w:trPr>
          <w:trHeight w:val="236"/>
        </w:trPr>
        <w:tc>
          <w:tcPr>
            <w:tcW w:w="8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3,371,784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2,418,722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Preferred stock, $.001 par value, 10,000,000 shares authorized, no issued and outstanding at December 31, 2015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2014,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stock, $.001 par value, 500,000,000 shares authorized, 29,030,925 and 22,867,319 shares issued and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340"/>
              <w:spacing w:after="0"/>
              <w:rPr>
                <w:sz w:val="20"/>
                <w:szCs w:val="20"/>
                <w:color w:val="auto"/>
              </w:rPr>
            </w:pPr>
            <w:r>
              <w:rPr>
                <w:rFonts w:ascii="Arial" w:cs="Arial" w:eastAsia="Arial" w:hAnsi="Arial"/>
                <w:sz w:val="18"/>
                <w:szCs w:val="18"/>
                <w:color w:val="auto"/>
              </w:rPr>
              <w:t>outstanding at December 31, 2015 and 2014, respectively</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29,031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22,867</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warrants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2,329,508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2,153,295</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32,185,499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27,595,609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1,132,148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963,063</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Deferred stock 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(26,719,890)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(26,124,750)</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8,942,496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4,610,084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12,314,280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7,028,806</w:t>
            </w:r>
          </w:p>
        </w:tc>
        <w:tc>
          <w:tcPr>
            <w:tcW w:w="0" w:type="dxa"/>
            <w:vAlign w:val="bottom"/>
          </w:tcPr>
          <w:p>
            <w:pPr>
              <w:spacing w:after="0"/>
              <w:rPr>
                <w:sz w:val="1"/>
                <w:szCs w:val="1"/>
                <w:color w:val="auto"/>
              </w:rPr>
            </w:pPr>
          </w:p>
        </w:tc>
      </w:tr>
      <w:tr>
        <w:trPr>
          <w:trHeight w:val="21"/>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For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December 31,</w:t>
            </w:r>
          </w:p>
        </w:tc>
        <w:tc>
          <w:tcPr>
            <w:tcW w:w="20" w:type="dxa"/>
            <w:vAlign w:val="bottom"/>
          </w:tcPr>
          <w:p>
            <w:pPr>
              <w:spacing w:after="0"/>
              <w:rPr>
                <w:sz w:val="19"/>
                <w:szCs w:val="19"/>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7,220,678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6,502,962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REVENUE SHARE EXPENSE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3,622,203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3,221,534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3,598,475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spacing w:after="0" w:line="203" w:lineRule="exact"/>
              <w:rPr>
                <w:sz w:val="20"/>
                <w:szCs w:val="20"/>
                <w:color w:val="auto"/>
              </w:rPr>
            </w:pPr>
            <w:r>
              <w:rPr>
                <w:rFonts w:ascii="Arial" w:cs="Arial" w:eastAsia="Arial" w:hAnsi="Arial"/>
                <w:sz w:val="18"/>
                <w:szCs w:val="18"/>
                <w:color w:val="auto"/>
              </w:rPr>
              <w:t>EXPENSES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581,106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1,172,242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333,950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Lawsuit settlement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expenses</w:t>
            </w: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3,280,826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2,471,174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4,195,882</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4,307,756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(597,407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(1,026,328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spacing w:after="0" w:line="203" w:lineRule="exact"/>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INCOME</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ind w:left="160"/>
              <w:spacing w:after="0" w:line="203" w:lineRule="exact"/>
              <w:rPr>
                <w:sz w:val="20"/>
                <w:szCs w:val="20"/>
                <w:color w:val="auto"/>
              </w:rPr>
            </w:pPr>
            <w:r>
              <w:rPr>
                <w:rFonts w:ascii="Arial" w:cs="Arial" w:eastAsia="Arial" w:hAnsi="Arial"/>
                <w:sz w:val="18"/>
                <w:szCs w:val="18"/>
                <w:color w:val="auto"/>
              </w:rPr>
              <w:t>LOSS BEFORE PROVISION FOR INCOME TAXES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(595,140)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(1,025,393)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400" w:type="dxa"/>
            <w:vAlign w:val="bottom"/>
            <w:vMerge w:val="continue"/>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(595,140</w:t>
            </w:r>
          </w:p>
        </w:tc>
        <w:tc>
          <w:tcPr>
            <w:tcW w:w="220" w:type="dxa"/>
            <w:vAlign w:val="bottom"/>
            <w:vMerge w:val="continue"/>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(1,025,393</w:t>
            </w:r>
          </w:p>
        </w:tc>
        <w:tc>
          <w:tcPr>
            <w:tcW w:w="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BASIC</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24,562,438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22,382,415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0" w:type="dxa"/>
            <w:vAlign w:val="bottom"/>
            <w:vMerge w:val="restart"/>
          </w:tcPr>
          <w:p>
            <w:pPr>
              <w:spacing w:after="0"/>
              <w:rPr>
                <w:sz w:val="20"/>
                <w:szCs w:val="20"/>
                <w:color w:val="auto"/>
              </w:rPr>
            </w:pPr>
            <w:r>
              <w:rPr>
                <w:rFonts w:ascii="Arial" w:cs="Arial" w:eastAsia="Arial" w:hAnsi="Arial"/>
                <w:sz w:val="18"/>
                <w:szCs w:val="18"/>
                <w:color w:val="auto"/>
                <w:w w:val="95"/>
              </w:rPr>
              <w:t>NET LOSS PER SHARE: BASIC (no separate per share amount shown for diluted because loss is antidilutive)</w:t>
            </w: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6" w:name="page57"/>
    <w:bookmarkEnd w:id="56"/>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ectPr>
          <w:pgSz w:w="11900" w:h="16838" w:orient="portrait"/>
          <w:cols w:equalWidth="0" w:num="1">
            <w:col w:w="11360"/>
          </w:cols>
          <w:pgMar w:left="240" w:top="22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Balance,</w:t>
      </w:r>
    </w:p>
    <w:p>
      <w:pPr>
        <w:spacing w:after="0"/>
        <w:rPr>
          <w:sz w:val="20"/>
          <w:szCs w:val="20"/>
          <w:color w:val="auto"/>
        </w:rPr>
      </w:pPr>
      <w:r>
        <w:rPr>
          <w:rFonts w:ascii="Arial" w:cs="Arial" w:eastAsia="Arial" w:hAnsi="Arial"/>
          <w:sz w:val="13"/>
          <w:szCs w:val="13"/>
          <w:color w:val="auto"/>
        </w:rPr>
        <w:t>December 31,</w:t>
      </w:r>
    </w:p>
    <w:p>
      <w:pPr>
        <w:spacing w:after="0" w:line="221" w:lineRule="auto"/>
        <w:rPr>
          <w:sz w:val="20"/>
          <w:szCs w:val="20"/>
          <w:color w:val="auto"/>
        </w:rPr>
      </w:pPr>
      <w:r>
        <w:rPr>
          <w:rFonts w:ascii="Arial" w:cs="Arial" w:eastAsia="Arial" w:hAnsi="Arial"/>
          <w:sz w:val="14"/>
          <w:szCs w:val="14"/>
          <w:color w:val="auto"/>
        </w:rPr>
        <w:t>2013</w:t>
      </w:r>
    </w:p>
    <w:p>
      <w:pPr>
        <w:spacing w:after="0" w:line="221" w:lineRule="auto"/>
        <w:rPr>
          <w:sz w:val="20"/>
          <w:szCs w:val="20"/>
          <w:color w:val="auto"/>
        </w:rPr>
      </w:pPr>
      <w:r>
        <w:rPr>
          <w:rFonts w:ascii="Arial" w:cs="Arial" w:eastAsia="Arial" w:hAnsi="Arial"/>
          <w:sz w:val="14"/>
          <w:szCs w:val="14"/>
          <w:color w:val="auto"/>
        </w:rPr>
        <w:t>Issuance of</w:t>
      </w:r>
    </w:p>
    <w:p>
      <w:pPr>
        <w:spacing w:after="0"/>
        <w:rPr>
          <w:sz w:val="20"/>
          <w:szCs w:val="20"/>
          <w:color w:val="auto"/>
        </w:rPr>
      </w:pPr>
      <w:r>
        <w:rPr>
          <w:rFonts w:ascii="Arial" w:cs="Arial" w:eastAsia="Arial" w:hAnsi="Arial"/>
          <w:sz w:val="13"/>
          <w:szCs w:val="13"/>
          <w:color w:val="auto"/>
        </w:rPr>
        <w:t>stock options:</w:t>
      </w:r>
    </w:p>
    <w:p>
      <w:pPr>
        <w:ind w:left="180"/>
        <w:spacing w:after="0" w:line="221" w:lineRule="auto"/>
        <w:rPr>
          <w:sz w:val="20"/>
          <w:szCs w:val="20"/>
          <w:color w:val="auto"/>
        </w:rPr>
      </w:pPr>
      <w:r>
        <w:rPr>
          <w:rFonts w:ascii="Arial" w:cs="Arial" w:eastAsia="Arial" w:hAnsi="Arial"/>
          <w:sz w:val="14"/>
          <w:szCs w:val="14"/>
          <w:color w:val="auto"/>
        </w:rPr>
        <w:t>to</w:t>
      </w:r>
    </w:p>
    <w:p>
      <w:pPr>
        <w:ind w:left="180"/>
        <w:spacing w:after="0"/>
        <w:rPr>
          <w:sz w:val="20"/>
          <w:szCs w:val="20"/>
          <w:color w:val="auto"/>
        </w:rPr>
      </w:pPr>
      <w:r>
        <w:rPr>
          <w:rFonts w:ascii="Arial" w:cs="Arial" w:eastAsia="Arial" w:hAnsi="Arial"/>
          <w:sz w:val="13"/>
          <w:szCs w:val="13"/>
          <w:color w:val="auto"/>
        </w:rPr>
        <w:t>employees</w:t>
      </w:r>
    </w:p>
    <w:p>
      <w:pPr>
        <w:ind w:left="180"/>
        <w:spacing w:after="0" w:line="221" w:lineRule="auto"/>
        <w:rPr>
          <w:sz w:val="20"/>
          <w:szCs w:val="20"/>
          <w:color w:val="auto"/>
        </w:rPr>
      </w:pPr>
      <w:r>
        <w:rPr>
          <w:rFonts w:ascii="Arial" w:cs="Arial" w:eastAsia="Arial" w:hAnsi="Arial"/>
          <w:sz w:val="14"/>
          <w:szCs w:val="14"/>
          <w:color w:val="auto"/>
        </w:rPr>
        <w:t>to</w:t>
      </w:r>
    </w:p>
    <w:p>
      <w:pPr>
        <w:ind w:left="180"/>
        <w:spacing w:after="0"/>
        <w:rPr>
          <w:sz w:val="20"/>
          <w:szCs w:val="20"/>
          <w:color w:val="auto"/>
        </w:rPr>
      </w:pPr>
      <w:r>
        <w:rPr>
          <w:rFonts w:ascii="Arial" w:cs="Arial" w:eastAsia="Arial" w:hAnsi="Arial"/>
          <w:sz w:val="12"/>
          <w:szCs w:val="12"/>
          <w:color w:val="auto"/>
        </w:rPr>
        <w:t>consultants</w:t>
      </w:r>
    </w:p>
    <w:p>
      <w:pPr>
        <w:spacing w:after="0" w:line="11" w:lineRule="exact"/>
        <w:rPr>
          <w:sz w:val="20"/>
          <w:szCs w:val="20"/>
          <w:color w:val="auto"/>
        </w:rPr>
      </w:pPr>
    </w:p>
    <w:p>
      <w:pPr>
        <w:ind w:right="160"/>
        <w:spacing w:after="0" w:line="238" w:lineRule="auto"/>
        <w:rPr>
          <w:sz w:val="20"/>
          <w:szCs w:val="20"/>
          <w:color w:val="auto"/>
        </w:rPr>
      </w:pPr>
      <w:r>
        <w:rPr>
          <w:rFonts w:ascii="Arial" w:cs="Arial" w:eastAsia="Arial" w:hAnsi="Arial"/>
          <w:sz w:val="13"/>
          <w:szCs w:val="13"/>
          <w:color w:val="auto"/>
        </w:rPr>
        <w:t>Issuance of common stock:</w:t>
      </w:r>
    </w:p>
    <w:p>
      <w:pPr>
        <w:ind w:left="180"/>
        <w:spacing w:after="0" w:line="222" w:lineRule="auto"/>
        <w:rPr>
          <w:sz w:val="20"/>
          <w:szCs w:val="20"/>
          <w:color w:val="auto"/>
        </w:rPr>
      </w:pPr>
      <w:r>
        <w:rPr>
          <w:rFonts w:ascii="Arial" w:cs="Arial" w:eastAsia="Arial" w:hAnsi="Arial"/>
          <w:sz w:val="14"/>
          <w:szCs w:val="14"/>
          <w:color w:val="auto"/>
        </w:rPr>
        <w:t>for</w:t>
      </w:r>
    </w:p>
    <w:p>
      <w:pPr>
        <w:ind w:left="180"/>
        <w:spacing w:after="0" w:line="222" w:lineRule="auto"/>
        <w:rPr>
          <w:sz w:val="20"/>
          <w:szCs w:val="20"/>
          <w:color w:val="auto"/>
        </w:rPr>
      </w:pPr>
      <w:r>
        <w:rPr>
          <w:rFonts w:ascii="Arial" w:cs="Arial" w:eastAsia="Arial" w:hAnsi="Arial"/>
          <w:sz w:val="14"/>
          <w:szCs w:val="14"/>
          <w:color w:val="auto"/>
        </w:rPr>
        <w:t>services</w:t>
      </w:r>
    </w:p>
    <w:p>
      <w:pPr>
        <w:ind w:left="180"/>
        <w:spacing w:after="0" w:line="221" w:lineRule="auto"/>
        <w:rPr>
          <w:sz w:val="20"/>
          <w:szCs w:val="20"/>
          <w:color w:val="auto"/>
        </w:rPr>
      </w:pPr>
      <w:r>
        <w:rPr>
          <w:rFonts w:ascii="Arial" w:cs="Arial" w:eastAsia="Arial" w:hAnsi="Arial"/>
          <w:sz w:val="14"/>
          <w:szCs w:val="14"/>
          <w:color w:val="auto"/>
        </w:rPr>
        <w:t>for cash</w:t>
      </w:r>
    </w:p>
    <w:p>
      <w:pPr>
        <w:ind w:left="180"/>
        <w:spacing w:after="0"/>
        <w:rPr>
          <w:sz w:val="20"/>
          <w:szCs w:val="20"/>
          <w:color w:val="auto"/>
        </w:rPr>
      </w:pPr>
      <w:r>
        <w:rPr>
          <w:rFonts w:ascii="Arial" w:cs="Arial" w:eastAsia="Arial" w:hAnsi="Arial"/>
          <w:sz w:val="13"/>
          <w:szCs w:val="13"/>
          <w:color w:val="auto"/>
        </w:rPr>
        <w:t>for warrant</w:t>
      </w:r>
    </w:p>
    <w:p>
      <w:pPr>
        <w:ind w:left="180"/>
        <w:spacing w:after="0" w:line="221" w:lineRule="auto"/>
        <w:rPr>
          <w:sz w:val="20"/>
          <w:szCs w:val="20"/>
          <w:color w:val="auto"/>
        </w:rPr>
      </w:pPr>
      <w:r>
        <w:rPr>
          <w:rFonts w:ascii="Arial" w:cs="Arial" w:eastAsia="Arial" w:hAnsi="Arial"/>
          <w:sz w:val="14"/>
          <w:szCs w:val="14"/>
          <w:color w:val="auto"/>
        </w:rPr>
        <w:t>exercise</w:t>
      </w:r>
    </w:p>
    <w:p>
      <w:pPr>
        <w:spacing w:after="0" w:line="221" w:lineRule="auto"/>
        <w:rPr>
          <w:sz w:val="20"/>
          <w:szCs w:val="20"/>
          <w:color w:val="auto"/>
        </w:rPr>
      </w:pPr>
      <w:r>
        <w:rPr>
          <w:rFonts w:ascii="Arial" w:cs="Arial" w:eastAsia="Arial" w:hAnsi="Arial"/>
          <w:sz w:val="14"/>
          <w:szCs w:val="14"/>
          <w:color w:val="auto"/>
        </w:rPr>
        <w:t>Issue</w:t>
      </w:r>
    </w:p>
    <w:p>
      <w:pPr>
        <w:spacing w:after="0" w:line="222" w:lineRule="auto"/>
        <w:rPr>
          <w:sz w:val="20"/>
          <w:szCs w:val="20"/>
          <w:color w:val="auto"/>
        </w:rPr>
      </w:pPr>
      <w:r>
        <w:rPr>
          <w:rFonts w:ascii="Arial" w:cs="Arial" w:eastAsia="Arial" w:hAnsi="Arial"/>
          <w:sz w:val="14"/>
          <w:szCs w:val="14"/>
          <w:color w:val="auto"/>
        </w:rPr>
        <w:t>warrants for</w:t>
      </w:r>
    </w:p>
    <w:p>
      <w:pPr>
        <w:spacing w:after="0" w:line="221" w:lineRule="auto"/>
        <w:rPr>
          <w:sz w:val="20"/>
          <w:szCs w:val="20"/>
          <w:color w:val="auto"/>
        </w:rPr>
      </w:pPr>
      <w:r>
        <w:rPr>
          <w:rFonts w:ascii="Arial" w:cs="Arial" w:eastAsia="Arial" w:hAnsi="Arial"/>
          <w:sz w:val="14"/>
          <w:szCs w:val="14"/>
          <w:color w:val="auto"/>
        </w:rPr>
        <w:t>equity raise</w:t>
      </w:r>
    </w:p>
    <w:p>
      <w:pPr>
        <w:spacing w:after="0" w:line="222" w:lineRule="auto"/>
        <w:rPr>
          <w:sz w:val="20"/>
          <w:szCs w:val="20"/>
          <w:color w:val="auto"/>
        </w:rPr>
      </w:pPr>
      <w:r>
        <w:rPr>
          <w:rFonts w:ascii="Arial" w:cs="Arial" w:eastAsia="Arial" w:hAnsi="Arial"/>
          <w:sz w:val="14"/>
          <w:szCs w:val="14"/>
          <w:color w:val="auto"/>
        </w:rPr>
        <w:t>Issue stock</w:t>
      </w:r>
    </w:p>
    <w:p>
      <w:pPr>
        <w:spacing w:after="0" w:line="221" w:lineRule="auto"/>
        <w:rPr>
          <w:sz w:val="20"/>
          <w:szCs w:val="20"/>
          <w:color w:val="auto"/>
        </w:rPr>
      </w:pPr>
      <w:r>
        <w:rPr>
          <w:rFonts w:ascii="Arial" w:cs="Arial" w:eastAsia="Arial" w:hAnsi="Arial"/>
          <w:sz w:val="14"/>
          <w:szCs w:val="14"/>
          <w:color w:val="auto"/>
        </w:rPr>
        <w:t>rights to</w:t>
      </w:r>
    </w:p>
    <w:p>
      <w:pPr>
        <w:spacing w:after="0" w:line="222" w:lineRule="auto"/>
        <w:rPr>
          <w:sz w:val="20"/>
          <w:szCs w:val="20"/>
          <w:color w:val="auto"/>
        </w:rPr>
      </w:pPr>
      <w:r>
        <w:rPr>
          <w:rFonts w:ascii="Arial" w:cs="Arial" w:eastAsia="Arial" w:hAnsi="Arial"/>
          <w:sz w:val="14"/>
          <w:szCs w:val="14"/>
          <w:color w:val="auto"/>
        </w:rPr>
        <w:t>officers</w:t>
      </w:r>
    </w:p>
    <w:p>
      <w:pPr>
        <w:spacing w:after="0" w:line="221" w:lineRule="auto"/>
        <w:rPr>
          <w:sz w:val="20"/>
          <w:szCs w:val="20"/>
          <w:color w:val="auto"/>
        </w:rPr>
      </w:pPr>
      <w:r>
        <w:rPr>
          <w:rFonts w:ascii="Arial" w:cs="Arial" w:eastAsia="Arial" w:hAnsi="Arial"/>
          <w:sz w:val="14"/>
          <w:szCs w:val="14"/>
          <w:color w:val="auto"/>
        </w:rPr>
        <w:t>Reclassify</w:t>
      </w:r>
    </w:p>
    <w:p>
      <w:pPr>
        <w:spacing w:after="0" w:line="222" w:lineRule="auto"/>
        <w:rPr>
          <w:sz w:val="20"/>
          <w:szCs w:val="20"/>
          <w:color w:val="auto"/>
        </w:rPr>
      </w:pPr>
      <w:r>
        <w:rPr>
          <w:rFonts w:ascii="Arial" w:cs="Arial" w:eastAsia="Arial" w:hAnsi="Arial"/>
          <w:sz w:val="14"/>
          <w:szCs w:val="14"/>
          <w:color w:val="auto"/>
        </w:rPr>
        <w:t>expired and</w:t>
      </w:r>
    </w:p>
    <w:p>
      <w:pPr>
        <w:spacing w:after="0" w:line="221" w:lineRule="auto"/>
        <w:rPr>
          <w:sz w:val="20"/>
          <w:szCs w:val="20"/>
          <w:color w:val="auto"/>
        </w:rPr>
      </w:pPr>
      <w:r>
        <w:rPr>
          <w:rFonts w:ascii="Arial" w:cs="Arial" w:eastAsia="Arial" w:hAnsi="Arial"/>
          <w:sz w:val="14"/>
          <w:szCs w:val="14"/>
          <w:color w:val="auto"/>
        </w:rPr>
        <w:t>redeemed</w:t>
      </w:r>
    </w:p>
    <w:p>
      <w:pPr>
        <w:spacing w:after="0" w:line="222" w:lineRule="auto"/>
        <w:rPr>
          <w:sz w:val="20"/>
          <w:szCs w:val="20"/>
          <w:color w:val="auto"/>
        </w:rPr>
      </w:pPr>
      <w:r>
        <w:rPr>
          <w:rFonts w:ascii="Arial" w:cs="Arial" w:eastAsia="Arial" w:hAnsi="Arial"/>
          <w:sz w:val="14"/>
          <w:szCs w:val="14"/>
          <w:color w:val="auto"/>
        </w:rPr>
        <w:t>warrants</w:t>
      </w:r>
    </w:p>
    <w:p>
      <w:pPr>
        <w:spacing w:after="0" w:line="221" w:lineRule="auto"/>
        <w:rPr>
          <w:sz w:val="20"/>
          <w:szCs w:val="20"/>
          <w:color w:val="auto"/>
        </w:rPr>
      </w:pPr>
      <w:r>
        <w:rPr>
          <w:rFonts w:ascii="Arial" w:cs="Arial" w:eastAsia="Arial" w:hAnsi="Arial"/>
          <w:sz w:val="14"/>
          <w:szCs w:val="14"/>
          <w:color w:val="auto"/>
        </w:rPr>
        <w:t>Expense</w:t>
      </w:r>
    </w:p>
    <w:p>
      <w:pPr>
        <w:spacing w:after="0" w:line="221" w:lineRule="auto"/>
        <w:rPr>
          <w:sz w:val="20"/>
          <w:szCs w:val="20"/>
          <w:color w:val="auto"/>
        </w:rPr>
      </w:pPr>
      <w:r>
        <w:rPr>
          <w:rFonts w:ascii="Arial" w:cs="Arial" w:eastAsia="Arial" w:hAnsi="Arial"/>
          <w:sz w:val="14"/>
          <w:szCs w:val="14"/>
          <w:color w:val="auto"/>
        </w:rPr>
        <w:t>consulting</w:t>
      </w:r>
    </w:p>
    <w:p>
      <w:pPr>
        <w:spacing w:after="0" w:line="222" w:lineRule="auto"/>
        <w:rPr>
          <w:sz w:val="20"/>
          <w:szCs w:val="20"/>
          <w:color w:val="auto"/>
        </w:rPr>
      </w:pPr>
      <w:r>
        <w:rPr>
          <w:rFonts w:ascii="Arial" w:cs="Arial" w:eastAsia="Arial" w:hAnsi="Arial"/>
          <w:sz w:val="14"/>
          <w:szCs w:val="14"/>
          <w:color w:val="auto"/>
        </w:rPr>
        <w:t>services</w:t>
      </w:r>
    </w:p>
    <w:p>
      <w:pPr>
        <w:spacing w:after="0" w:line="221" w:lineRule="auto"/>
        <w:rPr>
          <w:sz w:val="20"/>
          <w:szCs w:val="20"/>
          <w:color w:val="auto"/>
        </w:rPr>
      </w:pPr>
      <w:r>
        <w:rPr>
          <w:rFonts w:ascii="Arial" w:cs="Arial" w:eastAsia="Arial" w:hAnsi="Arial"/>
          <w:sz w:val="14"/>
          <w:szCs w:val="14"/>
          <w:color w:val="auto"/>
        </w:rPr>
        <w:t>Redeem</w:t>
      </w:r>
    </w:p>
    <w:p>
      <w:pPr>
        <w:spacing w:after="0" w:line="222" w:lineRule="auto"/>
        <w:rPr>
          <w:sz w:val="20"/>
          <w:szCs w:val="20"/>
          <w:color w:val="auto"/>
        </w:rPr>
      </w:pPr>
      <w:r>
        <w:rPr>
          <w:rFonts w:ascii="Arial" w:cs="Arial" w:eastAsia="Arial" w:hAnsi="Arial"/>
          <w:sz w:val="14"/>
          <w:szCs w:val="14"/>
          <w:color w:val="auto"/>
        </w:rPr>
        <w:t>shares for</w:t>
      </w:r>
    </w:p>
    <w:p>
      <w:pPr>
        <w:spacing w:after="0" w:line="221" w:lineRule="auto"/>
        <w:rPr>
          <w:sz w:val="20"/>
          <w:szCs w:val="20"/>
          <w:color w:val="auto"/>
        </w:rPr>
      </w:pPr>
      <w:r>
        <w:rPr>
          <w:rFonts w:ascii="Arial" w:cs="Arial" w:eastAsia="Arial" w:hAnsi="Arial"/>
          <w:sz w:val="14"/>
          <w:szCs w:val="14"/>
          <w:color w:val="auto"/>
        </w:rPr>
        <w:t>cash</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3"/>
          <w:szCs w:val="13"/>
          <w:color w:val="auto"/>
        </w:rPr>
        <w:t>Net loss for the year</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Balance, December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Ended December 31,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Preferred</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Preferred</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w w:val="99"/>
              </w:rPr>
              <w:t>Deferred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Total</w:t>
            </w:r>
          </w:p>
        </w:tc>
      </w:tr>
      <w:tr>
        <w:trPr>
          <w:trHeight w:val="162"/>
        </w:trPr>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Stock</w:t>
            </w:r>
          </w:p>
        </w:tc>
        <w:tc>
          <w:tcPr>
            <w:tcW w:w="10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Stock</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Stock</w:t>
            </w: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Stockholders’</w:t>
            </w:r>
          </w:p>
        </w:tc>
      </w:tr>
      <w:tr>
        <w:trPr>
          <w:trHeight w:val="174"/>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1"/>
              </w:rPr>
              <w:t>Warrants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6"/>
              </w:rPr>
              <w:t>Payable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Compensation</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7"/>
              </w:rPr>
              <w:t>Equity</w:t>
            </w:r>
          </w:p>
        </w:tc>
        <w:tc>
          <w:tcPr>
            <w:tcW w:w="40" w:type="dxa"/>
            <w:vAlign w:val="bottom"/>
          </w:tcPr>
          <w:p>
            <w:pPr>
              <w:spacing w:after="0"/>
              <w:rPr>
                <w:sz w:val="15"/>
                <w:szCs w:val="15"/>
                <w:color w:val="auto"/>
              </w:rPr>
            </w:pPr>
          </w:p>
        </w:tc>
      </w:tr>
      <w:tr>
        <w:trPr>
          <w:trHeight w:val="447"/>
        </w:trPr>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14,817,496</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14,817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18,148,049</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8,875,155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(270,462)</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(25,099,357)</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1,668,202</w:t>
            </w:r>
          </w:p>
        </w:tc>
        <w:tc>
          <w:tcPr>
            <w:tcW w:w="40" w:type="dxa"/>
            <w:vAlign w:val="bottom"/>
          </w:tcPr>
          <w:p>
            <w:pPr>
              <w:spacing w:after="0"/>
              <w:rPr>
                <w:sz w:val="24"/>
                <w:szCs w:val="24"/>
                <w:color w:val="auto"/>
              </w:rPr>
            </w:pPr>
          </w:p>
        </w:tc>
      </w:tr>
      <w:tr>
        <w:trPr>
          <w:trHeight w:val="594"/>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272,804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272,804</w:t>
            </w:r>
          </w:p>
        </w:tc>
        <w:tc>
          <w:tcPr>
            <w:tcW w:w="40" w:type="dxa"/>
            <w:vAlign w:val="bottom"/>
          </w:tcPr>
          <w:p>
            <w:pPr>
              <w:spacing w:after="0"/>
              <w:rPr>
                <w:sz w:val="24"/>
                <w:szCs w:val="24"/>
                <w:color w:val="auto"/>
              </w:rPr>
            </w:pPr>
          </w:p>
        </w:tc>
      </w:tr>
      <w:tr>
        <w:trPr>
          <w:trHeight w:val="297"/>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16,935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(16,935)</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709"/>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167,065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26,812</w:t>
            </w: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14,688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41,667</w:t>
            </w:r>
          </w:p>
        </w:tc>
        <w:tc>
          <w:tcPr>
            <w:tcW w:w="40" w:type="dxa"/>
            <w:vAlign w:val="bottom"/>
          </w:tcPr>
          <w:p>
            <w:pPr>
              <w:spacing w:after="0"/>
              <w:rPr>
                <w:sz w:val="24"/>
                <w:szCs w:val="24"/>
                <w:color w:val="auto"/>
              </w:rPr>
            </w:pPr>
          </w:p>
        </w:tc>
      </w:tr>
      <w:tr>
        <w:trPr>
          <w:trHeight w:val="182"/>
        </w:trPr>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8,333,333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8,333</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8,408,699</w:t>
            </w:r>
          </w:p>
        </w:tc>
        <w:tc>
          <w:tcPr>
            <w:tcW w:w="1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378,000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8,795,032</w:t>
            </w:r>
          </w:p>
        </w:tc>
        <w:tc>
          <w:tcPr>
            <w:tcW w:w="40" w:type="dxa"/>
            <w:vAlign w:val="bottom"/>
          </w:tcPr>
          <w:p>
            <w:pPr>
              <w:spacing w:after="0"/>
              <w:rPr>
                <w:sz w:val="15"/>
                <w:szCs w:val="15"/>
                <w:color w:val="auto"/>
              </w:rPr>
            </w:pPr>
          </w:p>
        </w:tc>
      </w:tr>
      <w:tr>
        <w:trPr>
          <w:trHeight w:val="297"/>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445,765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(694,133)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693,687</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44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1,110,211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(1,110,211)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44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570,375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570,375</w:t>
            </w:r>
          </w:p>
        </w:tc>
        <w:tc>
          <w:tcPr>
            <w:tcW w:w="40" w:type="dxa"/>
            <w:vAlign w:val="bottom"/>
          </w:tcPr>
          <w:p>
            <w:pPr>
              <w:spacing w:after="0"/>
              <w:rPr>
                <w:sz w:val="24"/>
                <w:szCs w:val="24"/>
                <w:color w:val="auto"/>
              </w:rPr>
            </w:pPr>
          </w:p>
        </w:tc>
      </w:tr>
      <w:tr>
        <w:trPr>
          <w:trHeight w:val="594"/>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(16,410,832)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16,410,832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44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287,397</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287,397</w:t>
            </w:r>
          </w:p>
        </w:tc>
        <w:tc>
          <w:tcPr>
            <w:tcW w:w="40" w:type="dxa"/>
            <w:vAlign w:val="bottom"/>
          </w:tcPr>
          <w:p>
            <w:pPr>
              <w:spacing w:after="0"/>
              <w:rPr>
                <w:sz w:val="24"/>
                <w:szCs w:val="24"/>
                <w:color w:val="auto"/>
              </w:rPr>
            </w:pPr>
          </w:p>
        </w:tc>
      </w:tr>
      <w:tr>
        <w:trPr>
          <w:trHeight w:val="446"/>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(896,340)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(5,999,104)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(6,000,000)</w:t>
            </w:r>
          </w:p>
        </w:tc>
      </w:tr>
      <w:tr>
        <w:trPr>
          <w:trHeight w:val="29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(1,025,393)</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(1,025,393)</w:t>
            </w:r>
          </w:p>
        </w:tc>
      </w:tr>
      <w:tr>
        <w:trPr>
          <w:trHeight w:val="27"/>
        </w:trPr>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80"/>
        </w:trPr>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22,867,319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22,867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2,153,295</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27,595,609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963,063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(26,124,750</w:t>
            </w:r>
            <w:r>
              <w:rPr>
                <w:rFonts w:ascii="Arial" w:cs="Arial" w:eastAsia="Arial" w:hAnsi="Arial"/>
                <w:sz w:val="28"/>
                <w:szCs w:val="28"/>
                <w:color w:val="auto"/>
                <w:w w:val="98"/>
                <w:vertAlign w:val="superscript"/>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4,610,084</w:t>
            </w:r>
          </w:p>
        </w:tc>
        <w:tc>
          <w:tcPr>
            <w:tcW w:w="40" w:type="dxa"/>
            <w:vAlign w:val="bottom"/>
          </w:tcPr>
          <w:p>
            <w:pPr>
              <w:spacing w:after="0"/>
              <w:rPr>
                <w:sz w:val="24"/>
                <w:szCs w:val="24"/>
                <w:color w:val="auto"/>
              </w:rPr>
            </w:pPr>
          </w:p>
        </w:tc>
      </w:tr>
      <w:tr>
        <w:trPr>
          <w:trHeight w:val="21"/>
        </w:trPr>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-3669665</wp:posOffset>
            </wp:positionV>
            <wp:extent cx="7246620" cy="283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-3197860</wp:posOffset>
            </wp:positionV>
            <wp:extent cx="724662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-2820670</wp:posOffset>
            </wp:positionV>
            <wp:extent cx="7246620" cy="283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-2348865</wp:posOffset>
            </wp:positionV>
            <wp:extent cx="724662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-2066290</wp:posOffset>
            </wp:positionV>
            <wp:extent cx="7246620" cy="283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-1499870</wp:posOffset>
            </wp:positionV>
            <wp:extent cx="7246620" cy="377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-840105</wp:posOffset>
            </wp:positionV>
            <wp:extent cx="7246620" cy="283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-351155</wp:posOffset>
            </wp:positionV>
            <wp:extent cx="7246620"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18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ectPr>
          <w:pgSz w:w="11900" w:h="16838" w:orient="portrait"/>
          <w:cols w:equalWidth="0" w:num="2">
            <w:col w:w="820" w:space="80"/>
            <w:col w:w="10460"/>
          </w:cols>
          <w:pgMar w:left="240" w:top="226" w:right="299" w:bottom="1440" w:gutter="0" w:footer="0" w:header="0"/>
          <w:type w:val="continuous"/>
        </w:sect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57" w:name="page58"/>
    <w:bookmarkEnd w:id="57"/>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ectPr>
          <w:pgSz w:w="11900" w:h="16838" w:orient="portrait"/>
          <w:cols w:equalWidth="0" w:num="1">
            <w:col w:w="11360"/>
          </w:cols>
          <w:pgMar w:left="240" w:top="22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Balance,</w:t>
      </w:r>
    </w:p>
    <w:p>
      <w:pPr>
        <w:spacing w:after="0"/>
        <w:rPr>
          <w:sz w:val="20"/>
          <w:szCs w:val="20"/>
          <w:color w:val="auto"/>
        </w:rPr>
      </w:pPr>
      <w:r>
        <w:rPr>
          <w:rFonts w:ascii="Arial" w:cs="Arial" w:eastAsia="Arial" w:hAnsi="Arial"/>
          <w:sz w:val="13"/>
          <w:szCs w:val="13"/>
          <w:color w:val="auto"/>
        </w:rPr>
        <w:t>December 31,</w:t>
      </w:r>
    </w:p>
    <w:p>
      <w:pPr>
        <w:spacing w:after="0" w:line="221" w:lineRule="auto"/>
        <w:rPr>
          <w:sz w:val="20"/>
          <w:szCs w:val="20"/>
          <w:color w:val="auto"/>
        </w:rPr>
      </w:pPr>
      <w:r>
        <w:rPr>
          <w:rFonts w:ascii="Arial" w:cs="Arial" w:eastAsia="Arial" w:hAnsi="Arial"/>
          <w:sz w:val="14"/>
          <w:szCs w:val="14"/>
          <w:color w:val="auto"/>
        </w:rPr>
        <w:t>2014</w:t>
      </w:r>
    </w:p>
    <w:p>
      <w:pPr>
        <w:spacing w:after="0" w:line="221" w:lineRule="auto"/>
        <w:rPr>
          <w:sz w:val="20"/>
          <w:szCs w:val="20"/>
          <w:color w:val="auto"/>
        </w:rPr>
      </w:pPr>
      <w:r>
        <w:rPr>
          <w:rFonts w:ascii="Arial" w:cs="Arial" w:eastAsia="Arial" w:hAnsi="Arial"/>
          <w:sz w:val="14"/>
          <w:szCs w:val="14"/>
          <w:color w:val="auto"/>
        </w:rPr>
        <w:t>Issuance of</w:t>
      </w:r>
    </w:p>
    <w:p>
      <w:pPr>
        <w:spacing w:after="0" w:line="222" w:lineRule="auto"/>
        <w:rPr>
          <w:sz w:val="20"/>
          <w:szCs w:val="20"/>
          <w:color w:val="auto"/>
        </w:rPr>
      </w:pPr>
      <w:r>
        <w:rPr>
          <w:rFonts w:ascii="Arial" w:cs="Arial" w:eastAsia="Arial" w:hAnsi="Arial"/>
          <w:sz w:val="14"/>
          <w:szCs w:val="14"/>
          <w:color w:val="auto"/>
        </w:rPr>
        <w:t>stock options</w:t>
      </w:r>
    </w:p>
    <w:p>
      <w:pPr>
        <w:spacing w:after="0"/>
        <w:rPr>
          <w:sz w:val="20"/>
          <w:szCs w:val="20"/>
          <w:color w:val="auto"/>
        </w:rPr>
      </w:pPr>
      <w:r>
        <w:rPr>
          <w:rFonts w:ascii="Arial" w:cs="Arial" w:eastAsia="Arial" w:hAnsi="Arial"/>
          <w:sz w:val="13"/>
          <w:szCs w:val="13"/>
          <w:color w:val="auto"/>
        </w:rPr>
        <w:t>to employees</w:t>
      </w:r>
    </w:p>
    <w:p>
      <w:pPr>
        <w:spacing w:after="0" w:line="221" w:lineRule="auto"/>
        <w:rPr>
          <w:sz w:val="20"/>
          <w:szCs w:val="20"/>
          <w:color w:val="auto"/>
        </w:rPr>
      </w:pPr>
      <w:r>
        <w:rPr>
          <w:rFonts w:ascii="Arial" w:cs="Arial" w:eastAsia="Arial" w:hAnsi="Arial"/>
          <w:sz w:val="14"/>
          <w:szCs w:val="14"/>
          <w:color w:val="auto"/>
        </w:rPr>
        <w:t>Issuance of</w:t>
      </w:r>
    </w:p>
    <w:p>
      <w:pPr>
        <w:spacing w:after="0" w:line="221" w:lineRule="auto"/>
        <w:rPr>
          <w:sz w:val="20"/>
          <w:szCs w:val="20"/>
          <w:color w:val="auto"/>
        </w:rPr>
      </w:pPr>
      <w:r>
        <w:rPr>
          <w:rFonts w:ascii="Arial" w:cs="Arial" w:eastAsia="Arial" w:hAnsi="Arial"/>
          <w:sz w:val="14"/>
          <w:szCs w:val="14"/>
          <w:color w:val="auto"/>
        </w:rPr>
        <w:t>common</w:t>
      </w:r>
    </w:p>
    <w:p>
      <w:pPr>
        <w:spacing w:after="0" w:line="222" w:lineRule="auto"/>
        <w:rPr>
          <w:sz w:val="20"/>
          <w:szCs w:val="20"/>
          <w:color w:val="auto"/>
        </w:rPr>
      </w:pPr>
      <w:r>
        <w:rPr>
          <w:rFonts w:ascii="Arial" w:cs="Arial" w:eastAsia="Arial" w:hAnsi="Arial"/>
          <w:sz w:val="14"/>
          <w:szCs w:val="14"/>
          <w:color w:val="auto"/>
        </w:rPr>
        <w:t>stock:</w:t>
      </w:r>
    </w:p>
    <w:p>
      <w:pPr>
        <w:ind w:left="180"/>
        <w:spacing w:after="0" w:line="221" w:lineRule="auto"/>
        <w:rPr>
          <w:sz w:val="20"/>
          <w:szCs w:val="20"/>
          <w:color w:val="auto"/>
        </w:rPr>
      </w:pPr>
      <w:r>
        <w:rPr>
          <w:rFonts w:ascii="Arial" w:cs="Arial" w:eastAsia="Arial" w:hAnsi="Arial"/>
          <w:sz w:val="14"/>
          <w:szCs w:val="14"/>
          <w:color w:val="auto"/>
        </w:rPr>
        <w:t>for</w:t>
      </w:r>
    </w:p>
    <w:p>
      <w:pPr>
        <w:ind w:left="180"/>
        <w:spacing w:after="0" w:line="222" w:lineRule="auto"/>
        <w:rPr>
          <w:sz w:val="20"/>
          <w:szCs w:val="20"/>
          <w:color w:val="auto"/>
        </w:rPr>
      </w:pPr>
      <w:r>
        <w:rPr>
          <w:rFonts w:ascii="Arial" w:cs="Arial" w:eastAsia="Arial" w:hAnsi="Arial"/>
          <w:sz w:val="14"/>
          <w:szCs w:val="14"/>
          <w:color w:val="auto"/>
        </w:rPr>
        <w:t>services</w:t>
      </w:r>
    </w:p>
    <w:p>
      <w:pPr>
        <w:ind w:right="140" w:firstLine="162"/>
        <w:spacing w:after="0" w:line="242" w:lineRule="auto"/>
        <w:rPr>
          <w:sz w:val="20"/>
          <w:szCs w:val="20"/>
          <w:color w:val="auto"/>
        </w:rPr>
      </w:pPr>
      <w:r>
        <w:rPr>
          <w:rFonts w:ascii="Arial" w:cs="Arial" w:eastAsia="Arial" w:hAnsi="Arial"/>
          <w:sz w:val="13"/>
          <w:szCs w:val="13"/>
          <w:color w:val="auto"/>
        </w:rPr>
        <w:t>for cash Issue stock rights to officers Expense consulting services Net loss for the year</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Balance, December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Ended December 31,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Preferred</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Preferred</w:t>
            </w: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w w:val="99"/>
              </w:rPr>
              <w:t>Deferred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Total</w:t>
            </w:r>
          </w:p>
        </w:tc>
      </w:tr>
      <w:tr>
        <w:trPr>
          <w:trHeight w:val="162"/>
        </w:trPr>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color w:val="auto"/>
              </w:rPr>
              <w:t>Stock</w:t>
            </w:r>
          </w:p>
        </w:tc>
        <w:tc>
          <w:tcPr>
            <w:tcW w:w="960" w:type="dxa"/>
            <w:vAlign w:val="bottom"/>
            <w:gridSpan w:val="2"/>
          </w:tcPr>
          <w:p>
            <w:pPr>
              <w:ind w:left="26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Paid-in</w:t>
            </w:r>
          </w:p>
        </w:tc>
        <w:tc>
          <w:tcPr>
            <w:tcW w:w="1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Stock</w:t>
            </w: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Stockholders’</w:t>
            </w:r>
          </w:p>
        </w:tc>
      </w:tr>
      <w:tr>
        <w:trPr>
          <w:trHeight w:val="174"/>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Warrants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Capital</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8"/>
              </w:rPr>
              <w:t>Payable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Compensation</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7"/>
              </w:rPr>
              <w:t>Equity</w:t>
            </w:r>
          </w:p>
        </w:tc>
        <w:tc>
          <w:tcPr>
            <w:tcW w:w="40" w:type="dxa"/>
            <w:vAlign w:val="bottom"/>
          </w:tcPr>
          <w:p>
            <w:pPr>
              <w:spacing w:after="0"/>
              <w:rPr>
                <w:sz w:val="15"/>
                <w:szCs w:val="15"/>
                <w:color w:val="auto"/>
              </w:rPr>
            </w:pPr>
          </w:p>
        </w:tc>
      </w:tr>
      <w:tr>
        <w:trPr>
          <w:trHeight w:val="447"/>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22,867,319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22,867</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2,153,295</w:t>
            </w:r>
          </w:p>
        </w:tc>
        <w:tc>
          <w:tcPr>
            <w:tcW w:w="10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27,595,609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963,083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(26,124,750)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4,610,084</w:t>
            </w:r>
          </w:p>
        </w:tc>
        <w:tc>
          <w:tcPr>
            <w:tcW w:w="40" w:type="dxa"/>
            <w:vAlign w:val="bottom"/>
          </w:tcPr>
          <w:p>
            <w:pPr>
              <w:spacing w:after="0"/>
              <w:rPr>
                <w:sz w:val="24"/>
                <w:szCs w:val="24"/>
                <w:color w:val="auto"/>
              </w:rPr>
            </w:pPr>
          </w:p>
        </w:tc>
      </w:tr>
      <w:tr>
        <w:trPr>
          <w:trHeight w:val="44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253,358</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253,358</w:t>
            </w:r>
          </w:p>
        </w:tc>
        <w:tc>
          <w:tcPr>
            <w:tcW w:w="40" w:type="dxa"/>
            <w:vAlign w:val="bottom"/>
          </w:tcPr>
          <w:p>
            <w:pPr>
              <w:spacing w:after="0"/>
              <w:rPr>
                <w:sz w:val="24"/>
                <w:szCs w:val="24"/>
                <w:color w:val="auto"/>
              </w:rPr>
            </w:pPr>
          </w:p>
        </w:tc>
      </w:tr>
      <w:tr>
        <w:trPr>
          <w:trHeight w:val="709"/>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152,500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172,310</w:t>
            </w:r>
          </w:p>
        </w:tc>
        <w:tc>
          <w:tcPr>
            <w:tcW w:w="1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(14,688)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(97,650)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60,125</w:t>
            </w:r>
          </w:p>
        </w:tc>
        <w:tc>
          <w:tcPr>
            <w:tcW w:w="4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6,011,106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6,011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176,213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4,164,222</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4,346,446</w:t>
            </w:r>
          </w:p>
        </w:tc>
        <w:tc>
          <w:tcPr>
            <w:tcW w:w="40" w:type="dxa"/>
            <w:vAlign w:val="bottom"/>
          </w:tcPr>
          <w:p>
            <w:pPr>
              <w:spacing w:after="0"/>
              <w:rPr>
                <w:sz w:val="15"/>
                <w:szCs w:val="15"/>
                <w:color w:val="auto"/>
              </w:rPr>
            </w:pPr>
          </w:p>
        </w:tc>
      </w:tr>
      <w:tr>
        <w:trPr>
          <w:trHeight w:val="44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183,773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183,773</w:t>
            </w:r>
          </w:p>
        </w:tc>
        <w:tc>
          <w:tcPr>
            <w:tcW w:w="40" w:type="dxa"/>
            <w:vAlign w:val="bottom"/>
          </w:tcPr>
          <w:p>
            <w:pPr>
              <w:spacing w:after="0"/>
              <w:rPr>
                <w:sz w:val="24"/>
                <w:szCs w:val="24"/>
                <w:color w:val="auto"/>
              </w:rPr>
            </w:pPr>
          </w:p>
        </w:tc>
      </w:tr>
      <w:tr>
        <w:trPr>
          <w:trHeight w:val="44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83,850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83,850</w:t>
            </w:r>
          </w:p>
        </w:tc>
        <w:tc>
          <w:tcPr>
            <w:tcW w:w="40" w:type="dxa"/>
            <w:vAlign w:val="bottom"/>
          </w:tcPr>
          <w:p>
            <w:pPr>
              <w:spacing w:after="0"/>
              <w:rPr>
                <w:sz w:val="24"/>
                <w:szCs w:val="24"/>
                <w:color w:val="auto"/>
              </w:rPr>
            </w:pPr>
          </w:p>
        </w:tc>
      </w:tr>
      <w:tr>
        <w:trPr>
          <w:trHeight w:val="29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(595,140)</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(595,140)</w:t>
            </w:r>
          </w:p>
        </w:tc>
      </w:tr>
      <w:tr>
        <w:trPr>
          <w:trHeight w:val="27"/>
        </w:trPr>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80"/>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29,030,925</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29,031</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2,329,508</w:t>
            </w:r>
          </w:p>
        </w:tc>
        <w:tc>
          <w:tcPr>
            <w:tcW w:w="10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32,185,499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1,132,168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(13,800</w:t>
            </w:r>
            <w:r>
              <w:rPr>
                <w:rFonts w:ascii="Arial" w:cs="Arial" w:eastAsia="Arial" w:hAnsi="Arial"/>
                <w:sz w:val="28"/>
                <w:szCs w:val="28"/>
                <w:color w:val="auto"/>
                <w:vertAlign w:val="superscript"/>
              </w:rPr>
              <w:t>)</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(26,719,890</w:t>
            </w:r>
            <w:r>
              <w:rPr>
                <w:rFonts w:ascii="Arial" w:cs="Arial" w:eastAsia="Arial" w:hAnsi="Arial"/>
                <w:sz w:val="28"/>
                <w:szCs w:val="28"/>
                <w:color w:val="auto"/>
                <w:w w:val="98"/>
                <w:vertAlign w:val="superscript"/>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8,942,496</w:t>
            </w:r>
          </w:p>
        </w:tc>
        <w:tc>
          <w:tcPr>
            <w:tcW w:w="40" w:type="dxa"/>
            <w:vAlign w:val="bottom"/>
          </w:tcPr>
          <w:p>
            <w:pPr>
              <w:spacing w:after="0"/>
              <w:rPr>
                <w:sz w:val="24"/>
                <w:szCs w:val="24"/>
                <w:color w:val="auto"/>
              </w:rPr>
            </w:pPr>
          </w:p>
        </w:tc>
      </w:tr>
      <w:tr>
        <w:trPr>
          <w:trHeight w:val="21"/>
        </w:trPr>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-2254885</wp:posOffset>
            </wp:positionV>
            <wp:extent cx="7246620" cy="283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-1689100</wp:posOffset>
            </wp:positionV>
            <wp:extent cx="7246620" cy="283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-1217295</wp:posOffset>
            </wp:positionV>
            <wp:extent cx="724662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-840105</wp:posOffset>
            </wp:positionV>
            <wp:extent cx="7246620" cy="283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-351155</wp:posOffset>
            </wp:positionV>
            <wp:extent cx="7246620"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18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ectPr>
          <w:pgSz w:w="11900" w:h="16838" w:orient="portrait"/>
          <w:cols w:equalWidth="0" w:num="2">
            <w:col w:w="820" w:space="80"/>
            <w:col w:w="10460"/>
          </w:cols>
          <w:pgMar w:left="240" w:top="226" w:right="299" w:bottom="1440" w:gutter="0" w:footer="0" w:header="0"/>
          <w:type w:val="continuous"/>
        </w:sect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58" w:name="page59"/>
    <w:bookmarkEnd w:id="5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for the period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(595,140)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(1,025,393)</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333,950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264,340</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Loss on disposal of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31,731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issued for services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253,358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272,804</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327,748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899,438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(747,069)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(588,672)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11,819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11,633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852,847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215,210</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(18,476)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106,872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(106,142)</w:t>
            </w: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5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515,110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(56,350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rights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(110,551)</w:t>
            </w:r>
          </w:p>
        </w:tc>
        <w:tc>
          <w:tcPr>
            <w:tcW w:w="0" w:type="dxa"/>
            <w:vAlign w:val="bottom"/>
          </w:tcPr>
          <w:p>
            <w:pPr>
              <w:spacing w:after="0"/>
              <w:rPr>
                <w:sz w:val="1"/>
                <w:szCs w:val="1"/>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Web development costs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(97,399)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(292,417)</w:t>
            </w:r>
          </w:p>
        </w:tc>
        <w:tc>
          <w:tcPr>
            <w:tcW w:w="0" w:type="dxa"/>
            <w:vAlign w:val="bottom"/>
          </w:tcPr>
          <w:p>
            <w:pPr>
              <w:spacing w:after="0"/>
              <w:rPr>
                <w:sz w:val="1"/>
                <w:szCs w:val="1"/>
                <w:color w:val="auto"/>
              </w:rPr>
            </w:pPr>
          </w:p>
        </w:tc>
      </w:tr>
      <w:tr>
        <w:trPr>
          <w:trHeight w:val="236"/>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24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4,346,446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8,795,032</w:t>
            </w:r>
          </w:p>
        </w:tc>
        <w:tc>
          <w:tcPr>
            <w:tcW w:w="0" w:type="dxa"/>
            <w:vAlign w:val="bottom"/>
          </w:tcPr>
          <w:p>
            <w:pPr>
              <w:spacing w:after="0"/>
              <w:rPr>
                <w:sz w:val="1"/>
                <w:szCs w:val="1"/>
                <w:color w:val="auto"/>
              </w:rPr>
            </w:pPr>
          </w:p>
        </w:tc>
      </w:tr>
      <w:tr>
        <w:trPr>
          <w:trHeight w:val="237"/>
        </w:trPr>
        <w:tc>
          <w:tcPr>
            <w:tcW w:w="8240" w:type="dxa"/>
            <w:vAlign w:val="bottom"/>
          </w:tcPr>
          <w:p>
            <w:pPr>
              <w:ind w:left="360"/>
              <w:spacing w:after="0"/>
              <w:rPr>
                <w:sz w:val="20"/>
                <w:szCs w:val="20"/>
                <w:color w:val="auto"/>
              </w:rPr>
            </w:pPr>
            <w:r>
              <w:rPr>
                <w:rFonts w:ascii="Arial" w:cs="Arial" w:eastAsia="Arial" w:hAnsi="Arial"/>
                <w:sz w:val="18"/>
                <w:szCs w:val="18"/>
                <w:color w:val="auto"/>
              </w:rPr>
              <w:t>Redemption of common and preferred stock</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36"/>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4,346,446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240" w:type="dxa"/>
            <w:vAlign w:val="bottom"/>
          </w:tcPr>
          <w:p>
            <w:pPr>
              <w:spacing w:after="0" w:line="203" w:lineRule="exact"/>
              <w:rPr>
                <w:sz w:val="20"/>
                <w:szCs w:val="20"/>
                <w:color w:val="auto"/>
              </w:rPr>
            </w:pPr>
            <w:r>
              <w:rPr>
                <w:rFonts w:ascii="Arial" w:cs="Arial" w:eastAsia="Arial" w:hAnsi="Arial"/>
                <w:sz w:val="18"/>
                <w:szCs w:val="18"/>
                <w:b w:val="1"/>
                <w:bCs w:val="1"/>
                <w:color w:val="auto"/>
              </w:rPr>
              <w:t>NET INCREASE IN CASH AND CASH EQUIVALENTS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4,760,592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2,328,730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3,446,973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1,118,243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40" w:type="dxa"/>
            <w:vAlign w:val="bottom"/>
            <w:vMerge w:val="continue"/>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8,207,565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3,446,973</w:t>
            </w:r>
          </w:p>
        </w:tc>
        <w:tc>
          <w:tcPr>
            <w:tcW w:w="0" w:type="dxa"/>
            <w:vAlign w:val="bottom"/>
          </w:tcPr>
          <w:p>
            <w:pPr>
              <w:spacing w:after="0"/>
              <w:rPr>
                <w:sz w:val="1"/>
                <w:szCs w:val="1"/>
                <w:color w:val="auto"/>
              </w:rPr>
            </w:pPr>
          </w:p>
        </w:tc>
      </w:tr>
      <w:tr>
        <w:trPr>
          <w:trHeight w:val="216"/>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24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Cash paid for income taxes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issued for future services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8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OptimizeRx Corporation is a technology solutions company targeting the healthcare industry. Our objective is to bring better access to better healthcare through connecting patients, physicians and pharmaceutical manufacturers through technology. Originally defined as a marketing and advertising company through our consumer website, we have matured into a technology solutions provider with our direct to physician solution, SampleMD. SampleMD allows physicians to search, print and send available sample trial vouchers and/or co-pay coupons on behalf of their patients. The SampleMD solution is integrated into the physician’s ePrescribing or Electronic Health Record applications, but can also be a stand-alone desktop application. OptimizeRx solutions provide pharmaceutical manufacturers a direct to physician channel for communicating and promoting their products. It allows healthcare providers a means to provide sampling and coupons without having to physically store samples on site, and it provides better access and affordability to patients.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was originally formed as Optimizer Systems, LLC in the State of Michigan on January 31, 2006. It converted its form to a corporation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its wholly-owned subsidiary (together, "OptimizeRx" and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cash, accounts receivable, prepaid expenses, accounts payable, accounts payable – related party, accrued expenses and deferred revenue approximates the carrying amount of these financial instruments due to their short-term nature.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$0 for each of the years ended December 31, 2015 and 2014. The allowance for doubtful accounts was $0 as of both December 31, 2015 and 2014.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Capital assets are being depreciated over their estimated useful lives of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it is earned. Revenues are primarily generated from our content delivery activities in which we deliver eCoupons and eVouchers through a distribution network of ePrescribers and Electronic Health Record technology providers (channel partners), or from reselling services that complement our business for other of our partners.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setup fees that are required for integrating client offerings and campaigns into our rule-based content delivery system and network upon completion of the setup when the client’s campaign is ready to launch within our system. As the eCoupons and or eVouchers are distributed through our platform and network of channel partners (a transaction), these transactions are recorded and revenue is recognized at the time of distribution. Revenue for transactions can be realized based on a price per distribution, a price per redemption, or as a flat fee over a period of time,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some instances, we also resell products and or services that are available through our channel partners, and that are complementary to our core business and client base. In these instances, net revenue is recognized based on the commission based revenue split that the Company receives.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fees and can also be specific to special considerations and campaigns. In addition, we pay revenue share to PDR/LDM as a result of a 2014 legal settlement in an amount equal to the greater of 10% of eCoupon distribution revenues generated or $0.37 per eCoupon distributed. The contractual amount due to our channel partners is recorded as an expense at the time the eCoupon is distributed.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amount of revenue to be billed, and the timing of revenue recognition and related revenue share expenses. Actual results could differ from these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expenses research and development expenses as incurred. Our research efforts are focused on understanding the market dynamics that have the potential to affect the business and increase revenue in both the short and long term. Our primary goal is to increase revenue by helping patients better afford and access the medicines their doctors prescribe, as well as other healthcare products and services they need. Based on this, the Company continually seeks ways to improve its technology to enhance user experiences, and to develop new services and solutions for its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0.24% - 0.93%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0.90% - 1.44%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2.5 - 3.5 years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 - 85%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 - 138%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OptimizerRx’s stock options have characteristics significantly different from those of traded options, and changes in the subjective input assumptions could materially affect the fair value estimate.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have not been included in the diluted earnings per share calculation for either year since their effect is anti-dilutive in all years presented.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3 – PREPAID EXPENSES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Prepaid expenses consisted of the following as of December 31, 2015 and 2014: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Legal</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prepaid expenses</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70,623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NOTE 4 – PROPERTY AND EQUIPMENT</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Company owned equipment recorded at cost which consisted of the following as of December 31, 2015 and 2014: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(22,414)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(17,794)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$4,620 and $5,933 for the years ended December 31, 2015 and 2014,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its web-based technology, which consisted of the following as of December 31, 2015 and 2014: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OptimizeRx web-based technology</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SampleMD web-based technology</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602,517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602,517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SampleMD 2.0 web-based technology</w:t>
            </w: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537,877</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440,477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Subtotal, web-based technology</w:t>
            </w:r>
          </w:p>
        </w:tc>
        <w:tc>
          <w:tcPr>
            <w:tcW w:w="3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1,294,527</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1,197,127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(954,057)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(692,484)</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Web-based technology, net</w:t>
            </w:r>
          </w:p>
        </w:tc>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vMerge w:val="continue"/>
          </w:tcPr>
          <w:p>
            <w:pPr>
              <w:spacing w:after="0"/>
              <w:rPr>
                <w:sz w:val="20"/>
                <w:szCs w:val="20"/>
                <w:color w:val="auto"/>
              </w:rPr>
            </w:pPr>
          </w:p>
        </w:tc>
        <w:tc>
          <w:tcPr>
            <w:tcW w:w="32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340,470</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504,643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is recorded using the straight-line method over a period of up to five years. During 2014, the Company launched its SampleMD 2.0 web-based technology. All remaining carrying value at December 31, 2015 relates to the SampleMD 2.0 web-based technology. Amortization expense for the web-based technology costs was $261,572 and $192,760 for the years ended December 31,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the technical contributions and assignment of all exclusive rights to and for a key patent from an officer and shareholder in exchange for 300,000 shares of common stock to be granted at the discretion of the seller and 200,000 stock options, which expired in April 2015, that were valued at $360,000. The shares were valued on the grant date at $570,000 and have been recorded as a payable to the related party.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purchasing and defending its patent, which consisted of the following as of December 31, 2015 and 2014: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Patent rights and intangible assets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Patent defense costs</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172,457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170,937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New patents and trademarks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90,202</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(328,042)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(260,285)</w:t>
            </w:r>
          </w:p>
        </w:tc>
        <w:tc>
          <w:tcPr>
            <w:tcW w:w="0" w:type="dxa"/>
            <w:vAlign w:val="bottom"/>
          </w:tcPr>
          <w:p>
            <w:pPr>
              <w:spacing w:after="0"/>
              <w:rPr>
                <w:sz w:val="1"/>
                <w:szCs w:val="1"/>
                <w:color w:val="auto"/>
              </w:rPr>
            </w:pPr>
          </w:p>
        </w:tc>
      </w:tr>
      <w:tr>
        <w:trPr>
          <w:trHeight w:val="27"/>
        </w:trPr>
        <w:tc>
          <w:tcPr>
            <w:tcW w:w="58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Patent rights and intangible assets, net</w:t>
            </w:r>
          </w:p>
        </w:tc>
        <w:tc>
          <w:tcPr>
            <w:tcW w:w="2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vMerge w:val="continue"/>
            <w:shd w:val="clear" w:color="auto" w:fill="CCEEFF"/>
          </w:tcPr>
          <w:p>
            <w:pPr>
              <w:spacing w:after="0"/>
              <w:rPr>
                <w:sz w:val="21"/>
                <w:szCs w:val="21"/>
                <w:color w:val="auto"/>
              </w:rPr>
            </w:pPr>
          </w:p>
        </w:tc>
        <w:tc>
          <w:tcPr>
            <w:tcW w:w="31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832,884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930,854</w:t>
            </w:r>
          </w:p>
        </w:tc>
        <w:tc>
          <w:tcPr>
            <w:tcW w:w="0" w:type="dxa"/>
            <w:vAlign w:val="bottom"/>
          </w:tcPr>
          <w:p>
            <w:pPr>
              <w:spacing w:after="0"/>
              <w:rPr>
                <w:sz w:val="1"/>
                <w:szCs w:val="1"/>
                <w:color w:val="auto"/>
              </w:rPr>
            </w:pPr>
          </w:p>
        </w:tc>
      </w:tr>
      <w:tr>
        <w:trPr>
          <w:trHeight w:val="21"/>
        </w:trPr>
        <w:tc>
          <w:tcPr>
            <w:tcW w:w="58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$67,758 and $65,647 for the years ended December 31, 2015 and 2014,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several signed contracts with customers for the distribution of coupons, or other services, which include payment in advance. The payments are not recorded as revenue until the revenue is earned under its revenue recognition policy discussed in Note 2. Deferred revenue was $227,002 and $120,130 as of December 31, 2015 and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the technical contributions and assignment of all exclusive rights to and for the SampleMD patent in process at the time from an officer and shareholder in exchange for 300,000 shares of common stock to be granted at the discretion of the seller and 200,000 stock options, which expired in April 2015, that were valued at $360,000. The shares were valued on the grant date at $570,000 and have been recorded as a payable to the related party.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2015, WPP made a strategic investment in the Company and is a shareholder that owns approximately 20% of the shares of the Company. During 2015, we had billings of $420,503 to agencies that are part of the WPP group and recognized revenue of $178,855 related to those billings. As of December 31, 2015, we have receivables included in trade receivables on the balance sheet of $381,125 from WPP agencies and amounts due to WPP agencies included in revenue share payable of $37,803 as of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500,000,000 shares of common stock, $.001 par value per share, authorized as of December 31, 2015. There were 29,030,925 and 22,867,319 shares of common stock issued and outstanding at December 31, 2015 and 2014, respectively.</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2015, we entered into a securities purchase agreement pursuant to which we sold 6,011,106 shares of our common stock for $0.7875 per share, or gross proceeds of $4,733,746. The shares were issue to a subsidiary of WPP, the world’s largest marketing services company, as part of a strategic investment by WPP. Placement agents in the offering received commissions and expenses of $387,300, or approximately 8.2% of the gross proceeds. The net proceeds received were $4,346,446. Placement agents also received warrants to purchase up to 240,444 shares of our common stock with an exercise price of $0.7875 per share and a term of 5 years. The warrants were valued at $176,213 and have been recorded as equity issuance costs.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2014, the Company adopted a Director Compensation plan covering its independent non-employee Directors. A total of 50,000 shares, valued at $60,125, were granted and issued in 2015 in connection with this compensation plan. A total of 19,565 shares were granted in 2014 with a total value of $23,166. A total of 7,065 of these shares were issued in 2014 and the remaining 12,500 shares were included in stock payable at December 31, 2014 and issued in January 2015.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we entered into a capital markets advisory agreement covering a one-year period, which called for 90,000 shares of common stock to be issued as compensation. These shares were valued at $112,500 and were amortized to expense over the period of service. 45,000 of these shares were issued in March 2015. The agreement was terminated in July 2015, effective in August, and the remaining 45,000 shares were not issued. The total expense recognized was $56,250.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2015, we agreed to grant 197,605 fully vested shares of our common stock to two executive officers as bonuses. These shares have not been issued, but are recorded as stock payable and can be requested by the officers at any time.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(CONTINUED)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2015 we entered into a new capital markets advisory agreement covering a one-year period, which called for 90,000 shares of common stock to be issued as compensation. The first 45,000 shares were issued in September 2015 and valued at $41,400. These shares are being amortized over a six-month period. The agreement was cancelled in February 2016 and the remaining 45,000 shares will not be issued.</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the Company entered into a securities purchase agreement, pursuant to which the Company sold 8,333,333 shares of the Company’s common stock for $1.20 per share, or gross proceeds of $10,000,000.</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warrants were valued at $1,110,211, have been recorded as equity issuance costs, and were registered on a registration statement dated May 28, 2014. In addition to the warrants to placement agents, the Company also paid cash bonuses of $240,000 to three executive officers, agreed to issue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 The 200,000 shares for the three executive officers have not been issued, but are recorded as stock payable and can be requested by the respective officers at any time.</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the net proceeds of the 2014 offering to exercise the securities redemption option agreement, as amended, with Vicis Capital Master Fund that provided the Company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was used for working capital purposes.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2014, an officer exercised 500,000 stock warrants using the cashless exercise feature included in the warrants. In exchange for the 500,000 warrants, 410,348 shares of common stock were issued. In October 2014, a consultant exercised 50,000 stock warrants using the cashless exercise feature included in the warrants. In exchange for the 50,000 warrants, 35,417 shares of common stock were issued.</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the Company agreed to grant 337,500 shares of common stock, half of which vested immediately and half of which vested in August 2014, to two executive officers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 An additional 10,000 shares were issued in 2014 before the agreement was terminated by the Company. The 2014 shares were valued at $1.85, the closing price of the Company’s common stock on the date of issuance.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10, 2013, the Company entered into a capital markets advisory agreement with Taglich Brothers, Inc. for various services. The agreement covered a one-year period and the Company agreed to issue 44,000 shares of common stock to Taglich over the term of the agreement. The shares were valued at $1.66, the closing price of the stock on the date of the agreement and were written off over the term of the agreement. The shares were issued in June 2014 upon expiration of the contract.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20, 2013, the Company entered into a separation agreement that included post-employment consulting services with a former CEO of the Company. The Company agreed to issue 500,000 shares of common stock, 250,000 shares immediately and 250,000 by January 1, 2014. The shares were issued and the Company recognized the entire issuance in the December 31, 2013 shares outstanding. The shares were valued at $505,000 and $174,808 of that amount remained as deferred stock compensation as of December 31, 2013, but was fully amortized to expense in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were convertible into 3,500,000 shares of common stock and bore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were entitled to semi-annual dividends payable on the stated value of the Series A preferred stock at a rate of 10% per annum, which was cumulative, and accrued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was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could cause this conversion at the time the shares were eligible for resale by the holder. The conversion price was subject to adjustment as hereinafter provided, at any time, or from time to time upon the terms and in the manner hereinafter set forth in the shareholder agreement. There was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had undeclared dividends that were due in February and September 2012 totaling $350,000 and undeclared dividends of $350,000 that were due in February and September 2013 for a total undeclared amount of $700,000 as of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9, all of the Series A Preferred shares were redeemed in 2014.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were convertible into 1,000,000 shares of common stock and bore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were convertible into 1,000,000 shares of common stock and bore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were entitled to semi-annual dividends payable on the stated value of the Series B preferred stock at a rate of 10% per annum, which was cumulative, and accrued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was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holder could cause this conversion at the time the shares were eligible for resale by the holder. The conversion price was subject to adjustment as hereinafter provided, at any time, or from time to time upon the terms and in the manner hereinafter set forth in the shareholder agreement.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had undeclared dividends that were due in February and September 2012 totaling $150,000 and undeclared dividends of $150,000 that were due in February and September 2013 for a total undeclared amount of $300,000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9, all of the Series B Preferred shares were redeemed in 2014.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sponsors a stock-based incentive compensation plan known as the 2013 Equity Compensation Plan (the “Plan”), which was established by the Board of Directors of the Company in June 2013. A total of 1,500,000 shares were initially reserved for issuance under the Plan, of which 1,085,000 options have been granted and remain outstanding and 735,105 shares have been granted, but not issued. Of the shares granted but not issued, the Company has committed to retire 295,384 of those shares for cash. The Company has no remaining shares available to grant under the Plan, but intends to amend the Plan to increase the number of shares authorized.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Plan allows the Company to grant incentive stock options, non-qualified stock options, stock appreciation right,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are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Prior to establishment of the Plan, the Board granted options under terms similar to those described in the preceding paragraphs.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cost that has been charged against income related to options for the years ended December 31, 2015 and 2014, was $253,358 and $272,804, respectively. No income tax benefit was recognized in the income statement and no compensation was capitalized in any of the years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 activity during the years ended December 31, 2015 and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2014</w:t>
            </w:r>
          </w:p>
        </w:tc>
        <w:tc>
          <w:tcPr>
            <w:tcW w:w="49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Granted - 2014</w:t>
            </w:r>
          </w:p>
        </w:tc>
        <w:tc>
          <w:tcPr>
            <w:tcW w:w="6180" w:type="dxa"/>
            <w:vAlign w:val="bottom"/>
            <w:gridSpan w:val="3"/>
          </w:tcPr>
          <w:p>
            <w:pPr>
              <w:jc w:val="right"/>
              <w:ind w:right="140"/>
              <w:spacing w:after="0"/>
              <w:rPr>
                <w:sz w:val="20"/>
                <w:szCs w:val="20"/>
                <w:color w:val="auto"/>
              </w:rPr>
            </w:pPr>
            <w:r>
              <w:rPr>
                <w:rFonts w:ascii="Arial" w:cs="Arial" w:eastAsia="Arial" w:hAnsi="Arial"/>
                <w:sz w:val="18"/>
                <w:szCs w:val="18"/>
                <w:color w:val="auto"/>
              </w:rPr>
              <w:t>387,500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Exercised - 2014</w:t>
            </w:r>
          </w:p>
        </w:tc>
        <w:tc>
          <w:tcPr>
            <w:tcW w:w="6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Expired – 2014</w:t>
            </w:r>
          </w:p>
        </w:tc>
        <w:tc>
          <w:tcPr>
            <w:tcW w:w="6180" w:type="dxa"/>
            <w:vAlign w:val="bottom"/>
            <w:gridSpan w:val="3"/>
          </w:tcPr>
          <w:p>
            <w:pPr>
              <w:jc w:val="right"/>
              <w:ind w:right="80"/>
              <w:spacing w:after="0"/>
              <w:rPr>
                <w:sz w:val="20"/>
                <w:szCs w:val="20"/>
                <w:color w:val="auto"/>
              </w:rPr>
            </w:pPr>
            <w:r>
              <w:rPr>
                <w:rFonts w:ascii="Arial" w:cs="Arial" w:eastAsia="Arial" w:hAnsi="Arial"/>
                <w:sz w:val="18"/>
                <w:szCs w:val="18"/>
                <w:color w:val="auto"/>
              </w:rPr>
              <w:t>(260,000)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2014</w:t>
            </w:r>
          </w:p>
        </w:tc>
        <w:tc>
          <w:tcPr>
            <w:tcW w:w="49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Granted – 2015</w:t>
            </w:r>
          </w:p>
        </w:tc>
        <w:tc>
          <w:tcPr>
            <w:tcW w:w="6180" w:type="dxa"/>
            <w:vAlign w:val="bottom"/>
            <w:gridSpan w:val="3"/>
          </w:tcPr>
          <w:p>
            <w:pPr>
              <w:jc w:val="right"/>
              <w:ind w:right="140"/>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Exercised – 2015</w:t>
            </w:r>
          </w:p>
        </w:tc>
        <w:tc>
          <w:tcPr>
            <w:tcW w:w="6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Expired – 2015</w:t>
            </w:r>
          </w:p>
        </w:tc>
        <w:tc>
          <w:tcPr>
            <w:tcW w:w="49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(242,500)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39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Balance, December 31, 2015</w:t>
            </w:r>
          </w:p>
        </w:tc>
        <w:tc>
          <w:tcPr>
            <w:tcW w:w="49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vMerge w:val="continue"/>
            <w:shd w:val="clear" w:color="auto" w:fill="CCEEFF"/>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
        </w:trPr>
        <w:tc>
          <w:tcPr>
            <w:tcW w:w="39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jc w:val="right"/>
              <w:ind w:right="4200"/>
              <w:spacing w:after="0"/>
              <w:rPr>
                <w:sz w:val="20"/>
                <w:szCs w:val="20"/>
                <w:color w:val="auto"/>
              </w:rPr>
            </w:pPr>
            <w:r>
              <w:rPr>
                <w:rFonts w:ascii="Arial" w:cs="Arial" w:eastAsia="Arial" w:hAnsi="Arial"/>
                <w:sz w:val="18"/>
                <w:szCs w:val="18"/>
                <w:color w:val="auto"/>
              </w:rPr>
              <w:t>F-23</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issued warrants, primarily in connection with capital raising activities. As discussed in Note 9, in 2015, we issued 240,444 warrants, with an exercise price of $0.7875 per share in connection with the strategic investment by WPP. As also discussed in Note 9, in 2014 we issued 804,139 warrants, with an exercise price of $1.20 per share, in connection with a $10 million equity raise, the proceeds of which were used to retire common stock, preferred, stock, and previously existing warrants.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The Company had the following warrants outstanding as of December 31, 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color w:val="auto"/>
                <w:w w:val="94"/>
              </w:rPr>
              <w:t>Expiration</w:t>
            </w:r>
          </w:p>
        </w:tc>
        <w:tc>
          <w:tcPr>
            <w:tcW w:w="0" w:type="dxa"/>
            <w:vAlign w:val="bottom"/>
          </w:tcPr>
          <w:p>
            <w:pPr>
              <w:spacing w:after="0"/>
              <w:rPr>
                <w:sz w:val="1"/>
                <w:szCs w:val="1"/>
                <w:color w:val="auto"/>
              </w:rPr>
            </w:pPr>
          </w:p>
        </w:tc>
      </w:tr>
      <w:tr>
        <w:trPr>
          <w:trHeight w:val="237"/>
        </w:trPr>
        <w:tc>
          <w:tcPr>
            <w:tcW w:w="8700" w:type="dxa"/>
            <w:vAlign w:val="bottom"/>
            <w:gridSpan w:val="2"/>
          </w:tcPr>
          <w:p>
            <w:pPr>
              <w:spacing w:after="0"/>
              <w:rPr>
                <w:sz w:val="20"/>
                <w:szCs w:val="20"/>
                <w:color w:val="auto"/>
              </w:rPr>
            </w:pPr>
            <w:r>
              <w:rPr>
                <w:rFonts w:ascii="Arial" w:cs="Arial" w:eastAsia="Arial" w:hAnsi="Arial"/>
                <w:sz w:val="18"/>
                <w:szCs w:val="18"/>
                <w:color w:val="auto"/>
              </w:rPr>
              <w:t>Number of Warrants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Price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10/5/2017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50,000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2/17/2016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804,139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3/17/2019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240,444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0.7875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9/24/2020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color w:val="auto"/>
              </w:rPr>
              <w:t>The Company had the following warrant activity during the years ended December 31, 2015 and 2014: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Number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rPr>
              <w:t>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Warrants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804,139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Cancelled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color w:val="auto"/>
              </w:rPr>
              <w:t>Balance, December 31, 2014</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1,854,139</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240,444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0.7875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Balance, December 31, 2015</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2,094,583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the lease for its current office space located in Rochester Michigan on December 1, 2011 at an approximate rent of $5,000 per month. The initial lease term was for three years with an option to renew for an additional two years at approximately $5,200 per month. The lease was renewed and now expires on November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Minimum annual rent payments are as follows for the remainder term of the lease: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6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Total lease commitment</w:t>
            </w:r>
          </w:p>
        </w:tc>
        <w:tc>
          <w:tcPr>
            <w:tcW w:w="6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57,217</w:t>
            </w:r>
          </w:p>
        </w:tc>
      </w:tr>
      <w:tr>
        <w:trPr>
          <w:trHeight w:val="21"/>
        </w:trPr>
        <w:tc>
          <w:tcPr>
            <w:tcW w:w="39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9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2"/>
          </w:tcPr>
          <w:p>
            <w:pPr>
              <w:jc w:val="right"/>
              <w:ind w:right="4640"/>
              <w:spacing w:after="0"/>
              <w:rPr>
                <w:sz w:val="20"/>
                <w:szCs w:val="20"/>
                <w:color w:val="auto"/>
              </w:rPr>
            </w:pPr>
            <w:r>
              <w:rPr>
                <w:rFonts w:ascii="Arial" w:cs="Arial" w:eastAsia="Arial" w:hAnsi="Arial"/>
                <w:sz w:val="18"/>
                <w:szCs w:val="18"/>
                <w:color w:val="auto"/>
              </w:rPr>
              <w:t>F-24</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major customers that individually accounted for 10% or more of revenue in any one of the years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Percentage</w:t>
            </w:r>
          </w:p>
        </w:tc>
        <w:tc>
          <w:tcPr>
            <w:tcW w:w="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Eli Lilly and Company</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1,409,720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1,270,064</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Alcon Laboratories, Inc.</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958,653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797,972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Astellas Pharma US, Inc.</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341,555</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772,320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Daiichi Sanyko, Inc.</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541,201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644,702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Pfizer</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521,317</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628,741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All other customers</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3,448,232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2,389,163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7,220,678</w:t>
            </w:r>
          </w:p>
        </w:tc>
        <w:tc>
          <w:tcPr>
            <w:tcW w:w="1420" w:type="dxa"/>
            <w:vAlign w:val="bottom"/>
            <w:gridSpan w:val="2"/>
          </w:tcPr>
          <w:p>
            <w:pPr>
              <w:jc w:val="right"/>
              <w:ind w:right="1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6,502,962</w:t>
            </w:r>
          </w:p>
        </w:tc>
        <w:tc>
          <w:tcPr>
            <w:tcW w:w="1300" w:type="dxa"/>
            <w:vAlign w:val="bottom"/>
            <w:gridSpan w:val="2"/>
          </w:tcPr>
          <w:p>
            <w:pPr>
              <w:jc w:val="right"/>
              <w:ind w:right="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NOTE 15 – INCOME TAXES</w:t>
            </w:r>
          </w:p>
        </w:tc>
        <w:tc>
          <w:tcPr>
            <w:tcW w:w="1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12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2015, the Company had net operating loss carry forwards of approximately $9.1 million that expire from 2027 through 2035 that are available to offset future taxable income. The Company was formed in 2006 as a limited liability company and changed to a corporation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w w:val="94"/>
              </w:rPr>
              <w:t>The provision for Federal income tax consists of the following for the years ended December 31, 2015 and 2014: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Federal income tax benefit attributable to:</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operations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Permanent and Timing Differences (net)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(218,000)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vMerge w:val="restart"/>
          </w:tcPr>
          <w:p>
            <w:pPr>
              <w:ind w:left="360"/>
              <w:spacing w:after="0"/>
              <w:rPr>
                <w:sz w:val="20"/>
                <w:szCs w:val="20"/>
                <w:color w:val="auto"/>
              </w:rPr>
            </w:pPr>
            <w:r>
              <w:rPr>
                <w:rFonts w:ascii="Arial" w:cs="Arial" w:eastAsia="Arial" w:hAnsi="Arial"/>
                <w:sz w:val="18"/>
                <w:szCs w:val="18"/>
                <w:color w:val="auto"/>
              </w:rPr>
              <w:t>Net provision for federal income tax</w:t>
            </w: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vMerge w:val="continue"/>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2015 and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Deferred tax asset attributable to:</w:t>
            </w: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carryover</w:t>
            </w:r>
          </w:p>
        </w:tc>
        <w:tc>
          <w:tcPr>
            <w:tcW w:w="3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3,110,000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3,126,000</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(3,110,000)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(3,126,000)</w:t>
            </w:r>
          </w:p>
        </w:tc>
        <w:tc>
          <w:tcPr>
            <w:tcW w:w="0" w:type="dxa"/>
            <w:vAlign w:val="bottom"/>
          </w:tcPr>
          <w:p>
            <w:pPr>
              <w:spacing w:after="0"/>
              <w:rPr>
                <w:sz w:val="1"/>
                <w:szCs w:val="1"/>
                <w:color w:val="auto"/>
              </w:rPr>
            </w:pPr>
          </w:p>
        </w:tc>
      </w:tr>
      <w:tr>
        <w:trPr>
          <w:trHeight w:val="27"/>
        </w:trPr>
        <w:tc>
          <w:tcPr>
            <w:tcW w:w="562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Net deferred tax asset</w:t>
            </w:r>
          </w:p>
        </w:tc>
        <w:tc>
          <w:tcPr>
            <w:tcW w:w="3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vMerge w:val="continue"/>
            <w:shd w:val="clear" w:color="auto" w:fill="CCEEFF"/>
          </w:tcPr>
          <w:p>
            <w:pPr>
              <w:spacing w:after="0"/>
              <w:rPr>
                <w:sz w:val="21"/>
                <w:szCs w:val="21"/>
                <w:color w:val="auto"/>
              </w:rPr>
            </w:pPr>
          </w:p>
        </w:tc>
        <w:tc>
          <w:tcPr>
            <w:tcW w:w="3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56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 It is likely that the fundraising activities of 2014 and 2015 have resulted in such an ownership change.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September, 2014, we initiated litigation against Shadron Stastney, our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to prevent Mr. Stastney from continuing to pursue his claims. Mr. Stastney has filed a counterclaim requesting damages in the amount of at least $450,000 related to the nonregistration of his shares. The parties are currently in the discovery process and a dispositive motion has been filed by Mr. Stastney. We are in the process of preparing our response to the motion.</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to resolve previous litigation with LDM. LDM breached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damages in an amount at least equal to the amounts paid to date to LDM under the settlement agreement, which is in excess of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We are seeking damages in an amount at least equal the amounts paid to date by us to LDM under the settlement agreement, which is in excess of $1.0 million, as well as damages for lost income and business value as a result of PDR’s actions.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filed a motion to dismissal of our claims except those for breach of contract. In January, the Court dismissed two of six claims asserted against LDM and PDR but allowed the remainder of our claims to continue forward. The parties are currently engaged in in the discovery process.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COMMITMENTS AND CONTINGENT LIABILITIES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Separation benefits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Company hired a new CEO. The previous CEO will terminate as an employee effective March 31, 2016, but remain non-executive chairman of the Board. In connection with his separation from service, he will receive severance pay of 24 months, totaling approximately $405,000 and the Company will redeem 595,384 unissued common shares owing to him for an additional payment of $720,415. This includes the 300,000 shares described in Note 8, related party transactions, and 295,384 shares currently reflected in stock payable on the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Allscripts Agreement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2015, we signed an amendment to our Allscripts agreement whereby we became its exclusive eCoupon supplier and Allscripts agreed to integrate our eCoupon functionality into its Touchworks platform. Under the terms of this agreement, we agreed to pay $900,000 in two installments. The first installment of $250,000 was due and paid in November 2015. The second installment of $650,000 is due when the e-Coupon functionality is launched on a widespread basis in the Touchworks platform, which is currently expected to be in early 2017. If e-Coupon functionality is not launched by February, 2018, the initial payment of $250,000 will be refunded.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NOTE 17 – RETIREMENT PLAN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no expense under this plan in either 2014 or 2015, as the plan became effective in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18 – SUBSEQUENT EVENTS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2015 through the date these financial statements were issued and has determined that it does not have any material subsequent events to disclose in these financial statements other than the events described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2016, we made the payment of $720,415 described in more detail in Note 16 to redeem shares of stock due to our former CEO.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4" w:name="page75"/>
    <w:bookmarkEnd w:id="7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AND DISAGREEMENTS WITH ACCOUNTANTS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annual, quarterly and current reports, proxy statements and other documents with the SEC. These filings contain important information which does not appear in this prospectus. You may read and copy, at prescribed rates, any documents we have filed with the SEC at its Public Reference Room located at 100 F Street, N.E., Washington, DC 20549. You may obtain information on the operation of the Public Reference Room by calling the SEC at 1-800-SEC-0330. We also file these documents with the SEC electronically. You can access the electronic versions of these filings on the SEC’s website found at http://www.sec.gov.</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filed with the Securities and Exchange Commission (“SEC”) a registration statement for the securities on Form S-1 under the Securities Act. This prospectus, which forms part of the registration statement, does not contain all the information contained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inspect and copy the registration statement at the public reference facilities maintained by the SEC at 100 F Street, N.E., Washington, D.C. 20549 upon payment of certain prescribed fees. You may obtain information on the operation of the SEC’s public reference facilities by calling the SEC at 1-800-SEC-0330. You may also access the registration statement electronically through the SEC’s Electronic Data Gathering, Analysis and Retrieval, or EDGAR, system at the SEC’s website located at http://www.sec.gov.</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Until _______________, all dealers that effect transactions in these securities whether or not participating in this offering may be required to deliver a</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80" w:type="dxa"/>
            <w:vAlign w:val="bottom"/>
          </w:tcPr>
          <w:p>
            <w:pPr>
              <w:jc w:val="center"/>
              <w:ind w:left="2311"/>
              <w:spacing w:after="0"/>
              <w:rPr>
                <w:sz w:val="20"/>
                <w:szCs w:val="20"/>
                <w:color w:val="auto"/>
              </w:rPr>
            </w:pPr>
            <w:r>
              <w:rPr>
                <w:rFonts w:ascii="Arial" w:cs="Arial" w:eastAsia="Arial" w:hAnsi="Arial"/>
                <w:sz w:val="18"/>
                <w:szCs w:val="18"/>
                <w:b w:val="1"/>
                <w:bCs w:val="1"/>
                <w:color w:val="auto"/>
              </w:rPr>
              <w:t>PART II</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80" w:type="dxa"/>
            <w:vAlign w:val="bottom"/>
          </w:tcPr>
          <w:p>
            <w:pPr>
              <w:jc w:val="center"/>
              <w:ind w:left="2311"/>
              <w:spacing w:after="0"/>
              <w:rPr>
                <w:sz w:val="20"/>
                <w:szCs w:val="20"/>
                <w:color w:val="auto"/>
              </w:rPr>
            </w:pPr>
            <w:r>
              <w:rPr>
                <w:rFonts w:ascii="Arial" w:cs="Arial" w:eastAsia="Arial" w:hAnsi="Arial"/>
                <w:sz w:val="18"/>
                <w:szCs w:val="18"/>
                <w:b w:val="1"/>
                <w:bCs w:val="1"/>
                <w:color w:val="auto"/>
              </w:rPr>
              <w:t>INFORMATION NOT REQUIRED IN PROSPECTUS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Item 13.  Other Expenses of Issuance and Distribution</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80" w:type="dxa"/>
            <w:vAlign w:val="bottom"/>
          </w:tcPr>
          <w:p>
            <w:pPr>
              <w:spacing w:after="0" w:line="256" w:lineRule="exact"/>
              <w:rPr>
                <w:sz w:val="20"/>
                <w:szCs w:val="20"/>
                <w:color w:val="auto"/>
              </w:rPr>
            </w:pPr>
            <w:r>
              <w:rPr>
                <w:rFonts w:ascii="Arial" w:cs="Arial" w:eastAsia="Arial" w:hAnsi="Arial"/>
                <w:sz w:val="18"/>
                <w:szCs w:val="18"/>
                <w:color w:val="auto"/>
              </w:rPr>
              <w:t>Accounting Fees and Expenses</w:t>
            </w:r>
            <w:r>
              <w:rPr>
                <w:rFonts w:ascii="Arial" w:cs="Arial" w:eastAsia="Arial" w:hAnsi="Arial"/>
                <w:sz w:val="29"/>
                <w:szCs w:val="29"/>
                <w:color w:val="auto"/>
                <w:vertAlign w:val="superscript"/>
              </w:rPr>
              <w:t>*</w:t>
            </w: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Legal Fees and Expenses</w:t>
            </w:r>
            <w:r>
              <w:rPr>
                <w:rFonts w:ascii="Arial" w:cs="Arial" w:eastAsia="Arial" w:hAnsi="Arial"/>
                <w:sz w:val="29"/>
                <w:szCs w:val="29"/>
                <w:color w:val="auto"/>
                <w:vertAlign w:val="superscript"/>
              </w:rPr>
              <w:t>*</w:t>
            </w:r>
          </w:p>
        </w:tc>
        <w:tc>
          <w:tcPr>
            <w:tcW w:w="1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80" w:type="dxa"/>
            <w:vAlign w:val="bottom"/>
          </w:tcPr>
          <w:p>
            <w:pPr>
              <w:spacing w:after="0" w:line="256" w:lineRule="exact"/>
              <w:rPr>
                <w:sz w:val="20"/>
                <w:szCs w:val="20"/>
                <w:color w:val="auto"/>
              </w:rPr>
            </w:pPr>
            <w:r>
              <w:rPr>
                <w:rFonts w:ascii="Arial" w:cs="Arial" w:eastAsia="Arial" w:hAnsi="Arial"/>
                <w:sz w:val="18"/>
                <w:szCs w:val="18"/>
                <w:color w:val="auto"/>
              </w:rPr>
              <w:t>Miscellaneous</w:t>
            </w:r>
            <w:r>
              <w:rPr>
                <w:rFonts w:ascii="Arial" w:cs="Arial" w:eastAsia="Arial" w:hAnsi="Arial"/>
                <w:sz w:val="29"/>
                <w:szCs w:val="29"/>
                <w:color w:val="auto"/>
                <w:vertAlign w:val="superscript"/>
              </w:rPr>
              <w:t>*</w:t>
            </w: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15,105.87</w:t>
            </w:r>
          </w:p>
        </w:tc>
        <w:tc>
          <w:tcPr>
            <w:tcW w:w="0" w:type="dxa"/>
            <w:vAlign w:val="bottom"/>
          </w:tcPr>
          <w:p>
            <w:pPr>
              <w:spacing w:after="0"/>
              <w:rPr>
                <w:sz w:val="1"/>
                <w:szCs w:val="1"/>
                <w:color w:val="auto"/>
              </w:rPr>
            </w:pPr>
          </w:p>
        </w:tc>
      </w:tr>
      <w:tr>
        <w:trPr>
          <w:trHeight w:val="21"/>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 Estimates</w:t>
            </w:r>
          </w:p>
        </w:tc>
        <w:tc>
          <w:tcPr>
            <w:tcW w:w="1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900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bear our fees and expenses incurred in connection with the registration of shares of common stock in connection with this offering. The Selling Shareholders will bear all selling and other expenses that they incur in connection with their sale of shares of common stock pursuant to the prospectus which is part of this registration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officers and directors are indemnified as provided by the Nevada Revised Statutes and our bylaws.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81" w:lineRule="exact"/>
        <w:rPr>
          <w:sz w:val="20"/>
          <w:szCs w:val="20"/>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willful failure to deal fairly with the company or its shareholders in connection with a matter in which the director has a material conflict of interest;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violation of criminal law (unless the director had reasonable cause to believe that his or her conduct was lawful or no reasonable cause to believe that his or her conduct was unlawful);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8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indemnification is expressly required to be made by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proceeding was authorized by our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indemnification is provided by us, in our sole discretion, pursuant to the powers vested us under Nevada law;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indemnification is required to be made pursuant to the bylaws.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2016, we issued 34,235 shares of common stock in connection with the cashless exercise of an expiring option to purchase 100,000 shares of common stock previously granted to a consultant.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March 2016, we issued 12,500 shares of common stock to our independent directors in connection with our Director Compensation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December, 2015, we issued 12,500 shares of restricted common stock to our outside Directors as part of our director compensation package for services rendered in the fourth quarter of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24, 2015, we entered into a Stock Purchase Agreement with WPP Luxembourg Gamma Three S.à r.l., a private limited liability company (société à responsabilité limitée) incorporated under the laws of the Grand Duchy of Luxembourg, pursuant to which we sold to WPP 6,011,106 shares of our common stock for $0.7875 per share, or gross proceeds of $4,733,746. Placement agents in the offering received warrants to purchase up to 240,444 shares of our common stock with an exercise price of $0.7875 per share and a term of 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we issued 6,250 shares of our common stock to each of our independent directors under our compensation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we issued 45,000 shares of our common stock under a capital markets advisory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2015 we issued 45,000 shares of our common stock to an investment banking firm in connection with a capital markets advisory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also issued 12,500 shares of common stock to our outside directors in connection with our Director Compensation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issued 12,500 shares of restricted common stock to our outside Directors as part of our director compensation package for services rendered in the fourth quarter of 2014.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w w:val="95"/>
              </w:rPr>
              <w:t>Item 16.</w:t>
            </w:r>
          </w:p>
        </w:tc>
        <w:tc>
          <w:tcPr>
            <w:tcW w:w="1076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6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640" w:type="dxa"/>
            <w:vAlign w:val="bottom"/>
          </w:tcPr>
          <w:p>
            <w:pPr>
              <w:spacing w:after="0"/>
              <w:rPr>
                <w:sz w:val="24"/>
                <w:szCs w:val="24"/>
                <w:color w:val="auto"/>
              </w:rPr>
            </w:pPr>
          </w:p>
        </w:tc>
      </w:tr>
      <w:tr>
        <w:trPr>
          <w:trHeight w:val="241"/>
        </w:trPr>
        <w:tc>
          <w:tcPr>
            <w:tcW w:w="660" w:type="dxa"/>
            <w:vAlign w:val="bottom"/>
          </w:tcPr>
          <w:p>
            <w:pPr>
              <w:spacing w:after="0"/>
              <w:rPr>
                <w:sz w:val="20"/>
                <w:szCs w:val="20"/>
                <w:color w:val="auto"/>
              </w:rPr>
            </w:pPr>
            <w:r>
              <w:rPr>
                <w:rFonts w:ascii="Arial" w:cs="Arial" w:eastAsia="Arial" w:hAnsi="Arial"/>
                <w:sz w:val="18"/>
                <w:szCs w:val="18"/>
                <w:b w:val="1"/>
                <w:bCs w:val="1"/>
                <w:color w:val="auto"/>
                <w:w w:val="94"/>
              </w:rPr>
              <w:t>Number</w:t>
            </w:r>
          </w:p>
        </w:tc>
        <w:tc>
          <w:tcPr>
            <w:tcW w:w="107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57"/>
        </w:trPr>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22"/>
                <w:szCs w:val="22"/>
                <w:color w:val="auto"/>
              </w:rPr>
            </w:pPr>
          </w:p>
        </w:tc>
        <w:tc>
          <w:tcPr>
            <w:tcW w:w="10640" w:type="dxa"/>
            <w:vAlign w:val="bottom"/>
            <w:tcBorders>
              <w:top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29"/>
                <w:szCs w:val="29"/>
                <w:color w:val="auto"/>
                <w:vertAlign w:val="superscript"/>
              </w:rPr>
              <w:t>1</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Amended and Restated Bylaws of the Company</w:t>
            </w:r>
            <w:r>
              <w:rPr>
                <w:rFonts w:ascii="Arial" w:cs="Arial" w:eastAsia="Arial" w:hAnsi="Arial"/>
                <w:sz w:val="29"/>
                <w:szCs w:val="29"/>
                <w:color w:val="auto"/>
                <w:vertAlign w:val="superscript"/>
              </w:rPr>
              <w:t>2</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29"/>
                <w:szCs w:val="29"/>
                <w:color w:val="auto"/>
                <w:vertAlign w:val="superscript"/>
              </w:rPr>
              <w:t>1</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3.4</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Certificate of Designation, filed on June 3, 2010 with the Secretary of State of the State of Nevada by the Company</w:t>
            </w:r>
            <w:r>
              <w:rPr>
                <w:rFonts w:ascii="Arial" w:cs="Arial" w:eastAsia="Arial" w:hAnsi="Arial"/>
                <w:sz w:val="29"/>
                <w:szCs w:val="29"/>
                <w:color w:val="auto"/>
                <w:vertAlign w:val="superscript"/>
              </w:rPr>
              <w:t>3</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10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Opinion of The Doney Law firm with Consent to use**</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Employment Agreement between the Company and Terry Hamilton, dated August 1, 2008</w:t>
            </w:r>
            <w:r>
              <w:rPr>
                <w:rFonts w:ascii="Arial" w:cs="Arial" w:eastAsia="Arial" w:hAnsi="Arial"/>
                <w:sz w:val="29"/>
                <w:szCs w:val="29"/>
                <w:color w:val="auto"/>
                <w:vertAlign w:val="superscript"/>
              </w:rPr>
              <w:t>4</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Employment Agreement between the Company and David Harrell, dated June 1, 2008</w:t>
            </w:r>
            <w:r>
              <w:rPr>
                <w:rFonts w:ascii="Arial" w:cs="Arial" w:eastAsia="Arial" w:hAnsi="Arial"/>
                <w:sz w:val="29"/>
                <w:szCs w:val="29"/>
                <w:color w:val="auto"/>
                <w:vertAlign w:val="superscript"/>
              </w:rPr>
              <w:t>4</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10.3</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Employment Agreement Addendum between the Company and Terry Hamilton, dated March 18, 2010</w:t>
            </w:r>
            <w:r>
              <w:rPr>
                <w:rFonts w:ascii="Arial" w:cs="Arial" w:eastAsia="Arial" w:hAnsi="Arial"/>
                <w:sz w:val="29"/>
                <w:szCs w:val="29"/>
                <w:color w:val="auto"/>
                <w:vertAlign w:val="superscript"/>
              </w:rPr>
              <w:t>4</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Employment Agreement Addendum between the Company and David Harrell, dated March 18, 2010</w:t>
            </w:r>
            <w:r>
              <w:rPr>
                <w:rFonts w:ascii="Arial" w:cs="Arial" w:eastAsia="Arial" w:hAnsi="Arial"/>
                <w:sz w:val="29"/>
                <w:szCs w:val="29"/>
                <w:color w:val="auto"/>
                <w:vertAlign w:val="superscript"/>
              </w:rPr>
              <w:t>4</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10.5</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Amendment to Employment Agreement between the Company and Terry Hamilton, dated July 28, 2010</w:t>
            </w:r>
            <w:r>
              <w:rPr>
                <w:rFonts w:ascii="Arial" w:cs="Arial" w:eastAsia="Arial" w:hAnsi="Arial"/>
                <w:sz w:val="29"/>
                <w:szCs w:val="29"/>
                <w:color w:val="auto"/>
                <w:vertAlign w:val="superscript"/>
              </w:rPr>
              <w:t>5</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Amendment to Employment Agreement and David Harrell, dated July 28, 2010</w:t>
            </w:r>
            <w:r>
              <w:rPr>
                <w:rFonts w:ascii="Arial" w:cs="Arial" w:eastAsia="Arial" w:hAnsi="Arial"/>
                <w:sz w:val="29"/>
                <w:szCs w:val="29"/>
                <w:color w:val="auto"/>
                <w:vertAlign w:val="superscript"/>
              </w:rPr>
              <w:t>5</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10.7</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Amendment to Employment Agreement between the Company and Terry Hamilton, dated August 14, 2013</w:t>
            </w:r>
            <w:r>
              <w:rPr>
                <w:rFonts w:ascii="Arial" w:cs="Arial" w:eastAsia="Arial" w:hAnsi="Arial"/>
                <w:sz w:val="29"/>
                <w:szCs w:val="29"/>
                <w:color w:val="auto"/>
                <w:vertAlign w:val="superscript"/>
              </w:rPr>
              <w:t>6</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Amendment to Employment Agreement between the Company and David Harrell, dated August 14, 2013</w:t>
            </w:r>
            <w:r>
              <w:rPr>
                <w:rFonts w:ascii="Arial" w:cs="Arial" w:eastAsia="Arial" w:hAnsi="Arial"/>
                <w:sz w:val="29"/>
                <w:szCs w:val="29"/>
                <w:color w:val="auto"/>
                <w:vertAlign w:val="superscript"/>
              </w:rPr>
              <w:t>6</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Separation Agreement, dated September 20, 2013</w:t>
            </w:r>
            <w:r>
              <w:rPr>
                <w:rFonts w:ascii="Arial" w:cs="Arial" w:eastAsia="Arial" w:hAnsi="Arial"/>
                <w:sz w:val="29"/>
                <w:szCs w:val="29"/>
                <w:color w:val="auto"/>
                <w:vertAlign w:val="superscript"/>
              </w:rPr>
              <w:t>7</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10.10</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Securities Purchase Agreement</w:t>
            </w:r>
            <w:r>
              <w:rPr>
                <w:rFonts w:ascii="Arial" w:cs="Arial" w:eastAsia="Arial" w:hAnsi="Arial"/>
                <w:sz w:val="29"/>
                <w:szCs w:val="29"/>
                <w:color w:val="auto"/>
                <w:vertAlign w:val="superscript"/>
              </w:rPr>
              <w:t>8</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Registration Rights Agreement</w:t>
            </w:r>
            <w:r>
              <w:rPr>
                <w:rFonts w:ascii="Arial" w:cs="Arial" w:eastAsia="Arial" w:hAnsi="Arial"/>
                <w:sz w:val="29"/>
                <w:szCs w:val="29"/>
                <w:color w:val="auto"/>
                <w:vertAlign w:val="superscript"/>
              </w:rPr>
              <w:t>8</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10.12</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Investor Agreement</w:t>
            </w:r>
            <w:r>
              <w:rPr>
                <w:rFonts w:ascii="Arial" w:cs="Arial" w:eastAsia="Arial" w:hAnsi="Arial"/>
                <w:sz w:val="29"/>
                <w:szCs w:val="29"/>
                <w:color w:val="auto"/>
                <w:vertAlign w:val="superscript"/>
              </w:rPr>
              <w:t>8</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Warrant Agreement</w:t>
            </w:r>
            <w:r>
              <w:rPr>
                <w:rFonts w:ascii="Arial" w:cs="Arial" w:eastAsia="Arial" w:hAnsi="Arial"/>
                <w:sz w:val="29"/>
                <w:szCs w:val="29"/>
                <w:color w:val="auto"/>
                <w:vertAlign w:val="superscript"/>
              </w:rPr>
              <w:t>9</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10.14</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Warrant Agreement</w:t>
            </w:r>
            <w:r>
              <w:rPr>
                <w:rFonts w:ascii="Arial" w:cs="Arial" w:eastAsia="Arial" w:hAnsi="Arial"/>
                <w:sz w:val="29"/>
                <w:szCs w:val="29"/>
                <w:color w:val="auto"/>
                <w:vertAlign w:val="superscript"/>
              </w:rPr>
              <w:t>9</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Employment Agreement between the Company and Douglas P. Baker, dated May 12, 2014</w:t>
            </w:r>
            <w:r>
              <w:rPr>
                <w:rFonts w:ascii="Arial" w:cs="Arial" w:eastAsia="Arial" w:hAnsi="Arial"/>
                <w:sz w:val="29"/>
                <w:szCs w:val="29"/>
                <w:color w:val="auto"/>
                <w:vertAlign w:val="superscript"/>
              </w:rPr>
              <w:t>10</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10.16</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Stock Purchase Agreement, dated September 24, 2015</w:t>
            </w:r>
            <w:r>
              <w:rPr>
                <w:rFonts w:ascii="Arial" w:cs="Arial" w:eastAsia="Arial" w:hAnsi="Arial"/>
                <w:sz w:val="29"/>
                <w:szCs w:val="29"/>
                <w:color w:val="auto"/>
                <w:vertAlign w:val="superscript"/>
              </w:rPr>
              <w:t>11</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Investor Rights Agreement, dated September 24, 2015</w:t>
            </w:r>
            <w:r>
              <w:rPr>
                <w:rFonts w:ascii="Arial" w:cs="Arial" w:eastAsia="Arial" w:hAnsi="Arial"/>
                <w:sz w:val="29"/>
                <w:szCs w:val="29"/>
                <w:color w:val="auto"/>
                <w:vertAlign w:val="superscript"/>
              </w:rPr>
              <w:t>11</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10.18</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Indemnity Agreement, dated September 24, 2015</w:t>
            </w:r>
            <w:r>
              <w:rPr>
                <w:rFonts w:ascii="Arial" w:cs="Arial" w:eastAsia="Arial" w:hAnsi="Arial"/>
                <w:sz w:val="29"/>
                <w:szCs w:val="29"/>
                <w:color w:val="auto"/>
                <w:vertAlign w:val="superscript"/>
              </w:rPr>
              <w:t>11</w:t>
            </w:r>
          </w:p>
        </w:tc>
      </w:tr>
      <w:tr>
        <w:trPr>
          <w:trHeight w:val="257"/>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1076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Employment Agreement between the Company and James Brooks, dated December 4, 2015</w:t>
            </w:r>
            <w:r>
              <w:rPr>
                <w:rFonts w:ascii="Arial" w:cs="Arial" w:eastAsia="Arial" w:hAnsi="Arial"/>
                <w:sz w:val="29"/>
                <w:szCs w:val="29"/>
                <w:color w:val="auto"/>
                <w:vertAlign w:val="superscript"/>
              </w:rPr>
              <w:t>12</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10.20</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Employment Agreement between the Company and William Febbo, dated February 12, 2016</w:t>
            </w:r>
            <w:r>
              <w:rPr>
                <w:rFonts w:ascii="Arial" w:cs="Arial" w:eastAsia="Arial" w:hAnsi="Arial"/>
                <w:sz w:val="29"/>
                <w:szCs w:val="29"/>
                <w:color w:val="auto"/>
                <w:vertAlign w:val="superscript"/>
              </w:rPr>
              <w:t>13</w:t>
            </w:r>
          </w:p>
        </w:tc>
      </w:tr>
      <w:tr>
        <w:trPr>
          <w:trHeight w:val="205"/>
        </w:trPr>
        <w:tc>
          <w:tcPr>
            <w:tcW w:w="660" w:type="dxa"/>
            <w:vAlign w:val="bottom"/>
          </w:tcPr>
          <w:p>
            <w:pPr>
              <w:spacing w:after="0" w:line="206" w:lineRule="exact"/>
              <w:rPr>
                <w:sz w:val="20"/>
                <w:szCs w:val="20"/>
                <w:color w:val="auto"/>
              </w:rPr>
            </w:pPr>
            <w:r>
              <w:rPr>
                <w:rFonts w:ascii="Arial" w:cs="Arial" w:eastAsia="Arial" w:hAnsi="Arial"/>
                <w:sz w:val="18"/>
                <w:szCs w:val="18"/>
                <w:color w:val="auto"/>
              </w:rPr>
              <w:t>10.21</w:t>
            </w:r>
          </w:p>
        </w:tc>
        <w:tc>
          <w:tcPr>
            <w:tcW w:w="10760" w:type="dxa"/>
            <w:vAlign w:val="bottom"/>
            <w:gridSpan w:val="2"/>
          </w:tcPr>
          <w:p>
            <w:pPr>
              <w:ind w:left="120"/>
              <w:spacing w:after="0" w:line="206" w:lineRule="exact"/>
              <w:rPr>
                <w:sz w:val="20"/>
                <w:szCs w:val="20"/>
                <w:color w:val="auto"/>
              </w:rPr>
            </w:pPr>
            <w:r>
              <w:rPr>
                <w:rFonts w:ascii="Arial" w:cs="Arial" w:eastAsia="Arial" w:hAnsi="Arial"/>
                <w:sz w:val="18"/>
                <w:szCs w:val="18"/>
                <w:color w:val="auto"/>
                <w:w w:val="93"/>
              </w:rPr>
              <w:t>Separation Agreement, Corporate Consulting Agreement and Confidentiality Agreement between the Company and David Harrell dated May 5,</w:t>
            </w:r>
          </w:p>
        </w:tc>
      </w:tr>
      <w:tr>
        <w:trPr>
          <w:trHeight w:val="267"/>
        </w:trPr>
        <w:tc>
          <w:tcPr>
            <w:tcW w:w="660" w:type="dxa"/>
            <w:vAlign w:val="bottom"/>
          </w:tcPr>
          <w:p>
            <w:pPr>
              <w:spacing w:after="0"/>
              <w:rPr>
                <w:sz w:val="23"/>
                <w:szCs w:val="23"/>
                <w:color w:val="auto"/>
              </w:rPr>
            </w:pPr>
          </w:p>
        </w:tc>
        <w:tc>
          <w:tcPr>
            <w:tcW w:w="10760" w:type="dxa"/>
            <w:vAlign w:val="bottom"/>
            <w:gridSpan w:val="2"/>
          </w:tcPr>
          <w:p>
            <w:pPr>
              <w:ind w:left="120"/>
              <w:spacing w:after="0" w:line="266" w:lineRule="exact"/>
              <w:rPr>
                <w:sz w:val="20"/>
                <w:szCs w:val="20"/>
                <w:color w:val="auto"/>
              </w:rPr>
            </w:pPr>
            <w:r>
              <w:rPr>
                <w:rFonts w:ascii="Arial" w:cs="Arial" w:eastAsia="Arial" w:hAnsi="Arial"/>
                <w:sz w:val="18"/>
                <w:szCs w:val="18"/>
                <w:color w:val="auto"/>
              </w:rPr>
              <w:t>2016</w:t>
            </w:r>
            <w:r>
              <w:rPr>
                <w:rFonts w:ascii="Arial" w:cs="Arial" w:eastAsia="Arial" w:hAnsi="Arial"/>
                <w:sz w:val="30"/>
                <w:szCs w:val="30"/>
                <w:color w:val="auto"/>
                <w:vertAlign w:val="superscript"/>
              </w:rPr>
              <w:t>14</w:t>
            </w:r>
          </w:p>
        </w:tc>
      </w:tr>
      <w:tr>
        <w:trPr>
          <w:trHeight w:val="25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1076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List of Subsidiaries</w:t>
            </w:r>
            <w:r>
              <w:rPr>
                <w:rFonts w:ascii="Arial" w:cs="Arial" w:eastAsia="Arial" w:hAnsi="Arial"/>
                <w:sz w:val="29"/>
                <w:szCs w:val="29"/>
                <w:color w:val="auto"/>
                <w:vertAlign w:val="superscript"/>
              </w:rPr>
              <w:t>1</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10760" w:type="dxa"/>
            <w:vAlign w:val="bottom"/>
            <w:gridSpan w:val="2"/>
          </w:tcPr>
          <w:p>
            <w:pPr>
              <w:ind w:left="120"/>
              <w:spacing w:after="0"/>
              <w:rPr>
                <w:sz w:val="20"/>
                <w:szCs w:val="20"/>
                <w:color w:val="auto"/>
              </w:rPr>
            </w:pPr>
            <w:r>
              <w:rPr>
                <w:rFonts w:ascii="Arial" w:cs="Arial" w:eastAsia="Arial" w:hAnsi="Arial"/>
                <w:sz w:val="18"/>
                <w:szCs w:val="18"/>
                <w:color w:val="auto"/>
              </w:rPr>
              <w:t>Consent of KLJ &amp; Associates**</w:t>
            </w:r>
          </w:p>
        </w:tc>
      </w:tr>
    </w:tbl>
    <w:p>
      <w:pPr>
        <w:spacing w:after="0" w:line="113" w:lineRule="exact"/>
        <w:rPr>
          <w:sz w:val="20"/>
          <w:szCs w:val="20"/>
          <w:color w:val="auto"/>
        </w:rPr>
      </w:pPr>
    </w:p>
    <w:p>
      <w:pPr>
        <w:ind w:left="120" w:hanging="112"/>
        <w:spacing w:after="0"/>
        <w:tabs>
          <w:tab w:leader="none" w:pos="12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S-1, filed by the Company with the Securities and Exchange Commission on November 12, 2008.</w:t>
      </w:r>
    </w:p>
    <w:p>
      <w:pPr>
        <w:spacing w:after="0" w:line="42"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Incorporated by reference to the Form 8-K, filed by the Company with the Securities and Exchange Commission on July 16, 2010.</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Incorporated by reference to the Form 8-K, filed by the Company with the Securities and Exchange Commission on June 11, 2010.</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Incorporated by reference to the Form 10-K, filed by the Company with the Securities and Exchange Commission on March 31, 2010.</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Incorporated by reference to the Form 8-K, filed by the Company with the Securities and Exchange Commission on July 30, 2010.</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Incorporated by reference to the Form 8-K, filed by the Company with the Securities and Exchange Commission on August 15, 2013.</w:t>
      </w:r>
    </w:p>
    <w:p>
      <w:pPr>
        <w:ind w:right="1420"/>
        <w:spacing w:after="0" w:line="255" w:lineRule="auto"/>
        <w:rPr>
          <w:rFonts w:ascii="Arial" w:cs="Arial" w:eastAsia="Arial" w:hAnsi="Arial"/>
          <w:sz w:val="30"/>
          <w:szCs w:val="30"/>
          <w:color w:val="auto"/>
          <w:vertAlign w:val="superscript"/>
        </w:rPr>
      </w:pPr>
      <w:r>
        <w:rPr>
          <w:rFonts w:ascii="Arial" w:cs="Arial" w:eastAsia="Arial" w:hAnsi="Arial"/>
          <w:sz w:val="26"/>
          <w:szCs w:val="26"/>
          <w:color w:val="auto"/>
          <w:vertAlign w:val="superscript"/>
        </w:rPr>
        <w:t>7</w:t>
      </w:r>
      <w:r>
        <w:rPr>
          <w:rFonts w:ascii="Arial" w:cs="Arial" w:eastAsia="Arial" w:hAnsi="Arial"/>
          <w:sz w:val="16"/>
          <w:szCs w:val="16"/>
          <w:color w:val="auto"/>
        </w:rPr>
        <w:t xml:space="preserve"> Incorporated by reference to the Form 8-K, filed by the Company with the Securities and Exchange Commission on September 20, 2013. </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Incorporated by reference to the Form 8-K, filed by the Company with the Securities and Exchange Commission on March 18, 2014.</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9</w:t>
      </w:r>
      <w:r>
        <w:rPr>
          <w:rFonts w:ascii="Arial" w:cs="Arial" w:eastAsia="Arial" w:hAnsi="Arial"/>
          <w:sz w:val="18"/>
          <w:szCs w:val="18"/>
          <w:color w:val="auto"/>
        </w:rPr>
        <w:t xml:space="preserve"> Incorporated by reference to the Form S-1/A filed by the Company with the Securities and Exchange Commission on May 12, 2014.</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10</w:t>
      </w:r>
      <w:r>
        <w:rPr>
          <w:rFonts w:ascii="Arial" w:cs="Arial" w:eastAsia="Arial" w:hAnsi="Arial"/>
          <w:sz w:val="18"/>
          <w:szCs w:val="18"/>
          <w:color w:val="auto"/>
        </w:rPr>
        <w:t xml:space="preserve"> Incorporated by reference to the Form 8-K, filed by the Company with the Securities and Exchange Commission on May 14, 2014.</w:t>
      </w:r>
    </w:p>
    <w:p>
      <w:pPr>
        <w:ind w:right="1340"/>
        <w:spacing w:after="0" w:line="205" w:lineRule="auto"/>
        <w:rPr>
          <w:rFonts w:ascii="Arial" w:cs="Arial" w:eastAsia="Arial" w:hAnsi="Arial"/>
          <w:sz w:val="30"/>
          <w:szCs w:val="30"/>
          <w:color w:val="auto"/>
          <w:vertAlign w:val="superscript"/>
        </w:rPr>
      </w:pPr>
      <w:r>
        <w:rPr>
          <w:rFonts w:ascii="Arial" w:cs="Arial" w:eastAsia="Arial" w:hAnsi="Arial"/>
          <w:sz w:val="26"/>
          <w:szCs w:val="26"/>
          <w:color w:val="auto"/>
          <w:vertAlign w:val="superscript"/>
        </w:rPr>
        <w:t>11</w:t>
      </w:r>
      <w:r>
        <w:rPr>
          <w:rFonts w:ascii="Arial" w:cs="Arial" w:eastAsia="Arial" w:hAnsi="Arial"/>
          <w:sz w:val="16"/>
          <w:szCs w:val="16"/>
          <w:color w:val="auto"/>
        </w:rPr>
        <w:t xml:space="preserve"> Incorporated by reference to the Form 8-K, filed by the Company with the Securities and Exchange Commission on September 30, 2015. </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Incorporated by reference to the Form 8-K, filed by the Company with the Securities and Exchange Commission on January 8, 2016.</w:t>
      </w:r>
    </w:p>
    <w:p>
      <w:pPr>
        <w:spacing w:after="0" w:line="2" w:lineRule="exact"/>
        <w:rPr>
          <w:rFonts w:ascii="Arial" w:cs="Arial" w:eastAsia="Arial" w:hAnsi="Arial"/>
          <w:sz w:val="30"/>
          <w:szCs w:val="30"/>
          <w:color w:val="auto"/>
          <w:vertAlign w:val="superscript"/>
        </w:rPr>
      </w:pPr>
    </w:p>
    <w:p>
      <w:pPr>
        <w:ind w:right="1460"/>
        <w:spacing w:after="0" w:line="238" w:lineRule="auto"/>
        <w:rPr>
          <w:rFonts w:ascii="Arial" w:cs="Arial" w:eastAsia="Arial" w:hAnsi="Arial"/>
          <w:sz w:val="30"/>
          <w:szCs w:val="30"/>
          <w:color w:val="auto"/>
          <w:vertAlign w:val="superscript"/>
        </w:rPr>
      </w:pPr>
      <w:r>
        <w:rPr>
          <w:rFonts w:ascii="Arial" w:cs="Arial" w:eastAsia="Arial" w:hAnsi="Arial"/>
          <w:sz w:val="26"/>
          <w:szCs w:val="26"/>
          <w:color w:val="auto"/>
          <w:vertAlign w:val="superscript"/>
        </w:rPr>
        <w:t>13</w:t>
      </w:r>
      <w:r>
        <w:rPr>
          <w:rFonts w:ascii="Arial" w:cs="Arial" w:eastAsia="Arial" w:hAnsi="Arial"/>
          <w:sz w:val="16"/>
          <w:szCs w:val="16"/>
          <w:color w:val="auto"/>
        </w:rPr>
        <w:t xml:space="preserve"> Incorporated by reference to the Form 8-K, filed by the Company with the Securities and Exchange Commission on February 19, 2016. </w:t>
      </w:r>
      <w:r>
        <w:rPr>
          <w:rFonts w:ascii="Arial" w:cs="Arial" w:eastAsia="Arial" w:hAnsi="Arial"/>
          <w:sz w:val="26"/>
          <w:szCs w:val="26"/>
          <w:color w:val="auto"/>
          <w:vertAlign w:val="superscript"/>
        </w:rPr>
        <w:t>14</w:t>
      </w:r>
      <w:r>
        <w:rPr>
          <w:rFonts w:ascii="Arial" w:cs="Arial" w:eastAsia="Arial" w:hAnsi="Arial"/>
          <w:sz w:val="16"/>
          <w:szCs w:val="16"/>
          <w:color w:val="auto"/>
        </w:rPr>
        <w:t xml:space="preserve"> Incorporated by reference to the Form 10-Q, filed by the Company with the Securities and Exchange Commission on May 9, 2016.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78" w:name="page79"/>
    <w:bookmarkEnd w:id="7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undertakes:</w:t>
      </w:r>
    </w:p>
    <w:p>
      <w:pPr>
        <w:spacing w:after="0" w:line="225" w:lineRule="exact"/>
        <w:rPr>
          <w:sz w:val="20"/>
          <w:szCs w:val="20"/>
          <w:color w:val="auto"/>
        </w:rPr>
      </w:pPr>
    </w:p>
    <w:p>
      <w:pPr>
        <w:ind w:left="760" w:hanging="320"/>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100" w:hanging="210"/>
        <w:spacing w:after="0"/>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440" w:firstLine="450"/>
        <w:spacing w:after="0" w:line="293" w:lineRule="auto"/>
        <w:tabs>
          <w:tab w:leader="none" w:pos="1157"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440" w:firstLine="450"/>
        <w:spacing w:after="0" w:line="277" w:lineRule="auto"/>
        <w:tabs>
          <w:tab w:leader="none" w:pos="1221"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firstLine="449"/>
        <w:spacing w:after="0" w:line="26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20" w:firstLine="449"/>
        <w:spacing w:after="0" w:line="277" w:lineRule="auto"/>
        <w:tabs>
          <w:tab w:leader="none" w:pos="6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449"/>
        <w:spacing w:after="0" w:line="272" w:lineRule="auto"/>
        <w:tabs>
          <w:tab w:leader="none" w:pos="69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jc w:val="both"/>
        <w:ind w:firstLine="449"/>
        <w:spacing w:after="0" w:line="271" w:lineRule="auto"/>
        <w:tabs>
          <w:tab w:leader="none" w:pos="696"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that the payment by the Registrant of expenses incurred or paid by a director, officer or controlling person of the Registrant in the successful defense of any action, suit of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Rochester, State of Michigan on June 6, 2016.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69551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 and Director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6, 2016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69551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6,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Febbo</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William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6,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Harrell</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David Harrell</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Chairman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6,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Vos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Lynn Vos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6,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Gus D. Halas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6,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Pinney</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Jack Pinney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6, 2016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165735</wp:posOffset>
            </wp:positionV>
            <wp:extent cx="5351145" cy="7632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511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June 6,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 OptimizeRx Corp.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 have acted as counsel for OptimizeRx Corp., a Nevada corporation (the “Company”), in connection with the registration statement on Form S-1 (the “Registration Statement”) filed with the Securities and Exchange Commission (the “Commission”) on June 6, 2016, and any amendments thereto, pursuant to the Securities Act of 1933, as amended (the “Act”). The Registration Statement relates to the resale registration of: (a) 804,139 shares of common stock reserved for issuance and issuable upon the exercise of the warrants; and (b) 178,333 shares of the Company’s common stock, all of which are to be offered and sold by certain stockholders of the Company (the “Selling Stockholders”) as set forth in the Registration Statement.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rendering the opinion set forth below, I have reviewed: (a) the Registration Statement and the exhibits attached thereto; (b) the Company's Articles of Incorporation; (c) the Company's Bylaws; (d) certain records of the Company's corporate proceedings as reflected in its minute books; and (e) such statutes, records and other documents as we have deemed relevant. In my examination, I have assumed the genuineness of all signatures, the authenticity of all documents submitted to us as originals, and conformity with the originals of all documents submitted to us as copies thereof. In addition, I have made such other examinations of law and fact, as I have deemed relevant in order to form a basis for the opinion hereinafter expressed.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shares of common stock to be sold by the Selling Stockholders are legally and validly issued, fully paid and non-assessable.</w:t>
      </w:r>
    </w:p>
    <w:p>
      <w:pPr>
        <w:spacing w:after="0" w:line="2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shares of common stock underlying the warrants to be sold by the Selling Stockholders will be validly issued, fully paid and non-assessable and will be a binding obligation of the Company under the laws of the State of Nevada when issued by the Company if the exercise price is received by the Company.</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opinion is based on Nevada general corporate law, including the statutory provisions, all applicable provisions of the Nevada constitution and reported judicial decisions interpreting those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Scott Doney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HEREBY CONSENT to the use of my opinion in connection with the Registration Statement on Form S-1 Registration Statement and any amendments thereto filed with the Securities and Exchange Commission as counsel for the registrant, OptimizeRx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Scott Doney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1926590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165735</wp:posOffset>
            </wp:positionV>
            <wp:extent cx="2752725" cy="660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5272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independent registered public accountants, we hereby consent to the use of our audit report dated March 15, 2016, with respect to the consolidated financial statements of OptimizeRx Corporation in its registration statement Form S-1. We also consent to the reference of our firm under the caption “interest of named experts and counsel” in the registration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Edina, MN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June 6, 2016</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3"/>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lvl w:ilvl="1">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6"/>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lvl w:ilvl="1">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bullet"/>
      <w:start w:val="1"/>
    </w:lvl>
  </w:abstractNum>
  <w:abstractNum w:abstractNumId="30">
    <w:nsid w:val="737B8DDC"/>
    <w:multiLevelType w:val="hybridMultilevel"/>
    <w:lvl w:ilvl="0">
      <w:lvlJc w:val="left"/>
      <w:lvlText w:val="(%1)"/>
      <w:numFmt w:val="lowerLetter"/>
      <w:start w:val="1"/>
    </w:lvl>
    <w:lvl w:ilvl="1">
      <w:lvlJc w:val="left"/>
      <w:lvlText w:val="(%2)"/>
      <w:numFmt w:val="lowerRoman"/>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2019-12-08T18:34:27Z</dcterms:created>
  <dcterms:modified xsi:type="dcterms:W3CDTF">2019-12-08T18:34:27Z</dcterms:modified>
</cp:coreProperties>
</file>