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ind w:left="4860"/>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3840" w:right="2400" w:hanging="1424"/>
        <w:spacing w:after="0" w:line="482" w:lineRule="auto"/>
        <w:tabs>
          <w:tab w:leader="none" w:pos="261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September 30, 2018</w:t>
      </w:r>
    </w:p>
    <w:p>
      <w:pPr>
        <w:spacing w:after="0" w:line="33" w:lineRule="exact"/>
        <w:rPr>
          <w:sz w:val="24"/>
          <w:szCs w:val="24"/>
          <w:color w:val="auto"/>
        </w:rPr>
      </w:pPr>
    </w:p>
    <w:p>
      <w:pPr>
        <w:ind w:left="3620" w:right="2680" w:hanging="933"/>
        <w:spacing w:after="0" w:line="528" w:lineRule="auto"/>
        <w:tabs>
          <w:tab w:leader="none" w:pos="2885"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13 or 15(d) of the Securities Exchange Act of 1934 For the transition period from __________ to __________</w:t>
      </w:r>
    </w:p>
    <w:p>
      <w:pPr>
        <w:ind w:left="4320"/>
        <w:spacing w:after="0"/>
        <w:rPr>
          <w:rFonts w:ascii="MS PGothic" w:cs="MS PGothic" w:eastAsia="MS PGothic" w:hAnsi="MS PGothic"/>
          <w:sz w:val="17"/>
          <w:szCs w:val="17"/>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001-38543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80" w:type="dxa"/>
            <w:vAlign w:val="bottom"/>
          </w:tcPr>
          <w:p>
            <w:pPr>
              <w:ind w:left="2520"/>
              <w:spacing w:after="0"/>
              <w:rPr>
                <w:sz w:val="20"/>
                <w:szCs w:val="20"/>
                <w:color w:val="auto"/>
              </w:rPr>
            </w:pPr>
            <w:r>
              <w:rPr>
                <w:rFonts w:ascii="Arial" w:cs="Arial" w:eastAsia="Arial" w:hAnsi="Arial"/>
                <w:sz w:val="18"/>
                <w:szCs w:val="18"/>
                <w:b w:val="1"/>
                <w:bCs w:val="1"/>
                <w:color w:val="auto"/>
              </w:rPr>
              <w:t>Nevada</w:t>
            </w:r>
          </w:p>
        </w:tc>
        <w:tc>
          <w:tcPr>
            <w:tcW w:w="7340" w:type="dxa"/>
            <w:vAlign w:val="bottom"/>
            <w:gridSpan w:val="7"/>
          </w:tcPr>
          <w:p>
            <w:pPr>
              <w:jc w:val="center"/>
              <w:ind w:left="1650"/>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4080" w:type="dxa"/>
            <w:vAlign w:val="bottom"/>
            <w:tcBorders>
              <w:top w:val="single" w:sz="8" w:color="auto"/>
            </w:tcBorders>
          </w:tcPr>
          <w:p>
            <w:pPr>
              <w:ind w:left="1740"/>
              <w:spacing w:after="0" w:line="201" w:lineRule="exact"/>
              <w:rPr>
                <w:sz w:val="20"/>
                <w:szCs w:val="20"/>
                <w:color w:val="auto"/>
              </w:rPr>
            </w:pPr>
            <w:r>
              <w:rPr>
                <w:rFonts w:ascii="Arial" w:cs="Arial" w:eastAsia="Arial" w:hAnsi="Arial"/>
                <w:sz w:val="18"/>
                <w:szCs w:val="18"/>
                <w:color w:val="auto"/>
              </w:rPr>
              <w:t>(State or other jurisdiction of</w:t>
            </w:r>
          </w:p>
        </w:tc>
        <w:tc>
          <w:tcPr>
            <w:tcW w:w="8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900" w:type="dxa"/>
            <w:vAlign w:val="bottom"/>
            <w:tcBorders>
              <w:top w:val="single" w:sz="8" w:color="auto"/>
            </w:tcBorders>
          </w:tcPr>
          <w:p>
            <w:pPr>
              <w:jc w:val="center"/>
              <w:ind w:right="59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080" w:type="dxa"/>
            <w:vAlign w:val="bottom"/>
          </w:tcPr>
          <w:p>
            <w:pPr>
              <w:ind w:left="1720"/>
              <w:spacing w:after="0"/>
              <w:rPr>
                <w:sz w:val="20"/>
                <w:szCs w:val="20"/>
                <w:color w:val="auto"/>
              </w:rPr>
            </w:pPr>
            <w:r>
              <w:rPr>
                <w:rFonts w:ascii="Arial" w:cs="Arial" w:eastAsia="Arial" w:hAnsi="Arial"/>
                <w:sz w:val="18"/>
                <w:szCs w:val="18"/>
                <w:color w:val="auto"/>
                <w:w w:val="99"/>
              </w:rPr>
              <w:t>incorporation or organization)</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00" w:type="dxa"/>
            <w:vAlign w:val="bottom"/>
          </w:tcPr>
          <w:p>
            <w:pPr>
              <w:jc w:val="center"/>
              <w:ind w:right="5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080" w:type="dxa"/>
            <w:vAlign w:val="bottom"/>
          </w:tcPr>
          <w:p>
            <w:pPr>
              <w:spacing w:after="0"/>
              <w:rPr>
                <w:sz w:val="24"/>
                <w:szCs w:val="24"/>
                <w:color w:val="auto"/>
              </w:rPr>
            </w:pPr>
          </w:p>
        </w:tc>
        <w:tc>
          <w:tcPr>
            <w:tcW w:w="7340" w:type="dxa"/>
            <w:vAlign w:val="bottom"/>
            <w:gridSpan w:val="7"/>
          </w:tcPr>
          <w:p>
            <w:pPr>
              <w:jc w:val="center"/>
              <w:ind w:right="3990"/>
              <w:spacing w:after="0"/>
              <w:rPr>
                <w:sz w:val="20"/>
                <w:szCs w:val="20"/>
                <w:color w:val="auto"/>
              </w:rPr>
            </w:pPr>
            <w:r>
              <w:rPr>
                <w:rFonts w:ascii="Arial" w:cs="Arial" w:eastAsia="Arial" w:hAnsi="Arial"/>
                <w:sz w:val="18"/>
                <w:szCs w:val="18"/>
                <w:b w:val="1"/>
                <w:bCs w:val="1"/>
                <w:color w:val="auto"/>
                <w:w w:val="91"/>
              </w:rPr>
              <w:t>400 Water Street, Suite 200</w:t>
            </w:r>
          </w:p>
        </w:tc>
      </w:tr>
      <w:tr>
        <w:trPr>
          <w:trHeight w:val="194"/>
        </w:trPr>
        <w:tc>
          <w:tcPr>
            <w:tcW w:w="4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520" w:type="dxa"/>
            <w:vAlign w:val="bottom"/>
            <w:gridSpan w:val="6"/>
          </w:tcPr>
          <w:p>
            <w:pPr>
              <w:jc w:val="center"/>
              <w:ind w:right="4810"/>
              <w:spacing w:after="0" w:line="194" w:lineRule="exact"/>
              <w:rPr>
                <w:sz w:val="20"/>
                <w:szCs w:val="20"/>
                <w:color w:val="auto"/>
              </w:rPr>
            </w:pPr>
            <w:r>
              <w:rPr>
                <w:rFonts w:ascii="Arial" w:cs="Arial" w:eastAsia="Arial" w:hAnsi="Arial"/>
                <w:sz w:val="18"/>
                <w:szCs w:val="18"/>
                <w:b w:val="1"/>
                <w:bCs w:val="1"/>
                <w:color w:val="auto"/>
                <w:w w:val="90"/>
              </w:rPr>
              <w:t>Rochester, MI, 48307</w:t>
            </w:r>
          </w:p>
        </w:tc>
      </w:tr>
      <w:tr>
        <w:trPr>
          <w:trHeight w:val="20"/>
        </w:trPr>
        <w:tc>
          <w:tcPr>
            <w:tcW w:w="4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37"/>
        </w:trPr>
        <w:tc>
          <w:tcPr>
            <w:tcW w:w="4080" w:type="dxa"/>
            <w:vAlign w:val="bottom"/>
          </w:tcPr>
          <w:p>
            <w:pPr>
              <w:spacing w:after="0"/>
              <w:rPr>
                <w:sz w:val="20"/>
                <w:szCs w:val="20"/>
                <w:color w:val="auto"/>
              </w:rPr>
            </w:pPr>
          </w:p>
        </w:tc>
        <w:tc>
          <w:tcPr>
            <w:tcW w:w="7340" w:type="dxa"/>
            <w:vAlign w:val="bottom"/>
            <w:gridSpan w:val="7"/>
          </w:tcPr>
          <w:p>
            <w:pPr>
              <w:jc w:val="center"/>
              <w:ind w:right="3990"/>
              <w:spacing w:after="0"/>
              <w:rPr>
                <w:sz w:val="20"/>
                <w:szCs w:val="20"/>
                <w:color w:val="auto"/>
              </w:rPr>
            </w:pPr>
            <w:r>
              <w:rPr>
                <w:rFonts w:ascii="Arial" w:cs="Arial" w:eastAsia="Arial" w:hAnsi="Arial"/>
                <w:sz w:val="18"/>
                <w:szCs w:val="18"/>
                <w:color w:val="auto"/>
                <w:w w:val="92"/>
              </w:rPr>
              <w:t>(Address of principal executive offices)</w:t>
            </w:r>
          </w:p>
        </w:tc>
      </w:tr>
      <w:tr>
        <w:trPr>
          <w:trHeight w:val="392"/>
        </w:trPr>
        <w:tc>
          <w:tcPr>
            <w:tcW w:w="408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248-651-6568</w:t>
            </w: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37"/>
        </w:trPr>
        <w:tc>
          <w:tcPr>
            <w:tcW w:w="4080" w:type="dxa"/>
            <w:vAlign w:val="bottom"/>
          </w:tcPr>
          <w:p>
            <w:pPr>
              <w:spacing w:after="0"/>
              <w:rPr>
                <w:sz w:val="20"/>
                <w:szCs w:val="20"/>
                <w:color w:val="auto"/>
              </w:rPr>
            </w:pPr>
          </w:p>
        </w:tc>
        <w:tc>
          <w:tcPr>
            <w:tcW w:w="7340" w:type="dxa"/>
            <w:vAlign w:val="bottom"/>
            <w:gridSpan w:val="7"/>
          </w:tcPr>
          <w:p>
            <w:pPr>
              <w:jc w:val="center"/>
              <w:ind w:right="3970"/>
              <w:spacing w:after="0"/>
              <w:rPr>
                <w:sz w:val="20"/>
                <w:szCs w:val="20"/>
                <w:color w:val="auto"/>
              </w:rPr>
            </w:pPr>
            <w:r>
              <w:rPr>
                <w:rFonts w:ascii="Arial" w:cs="Arial" w:eastAsia="Arial" w:hAnsi="Arial"/>
                <w:sz w:val="18"/>
                <w:szCs w:val="18"/>
                <w:color w:val="auto"/>
                <w:w w:val="90"/>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1094105</wp:posOffset>
            </wp:positionH>
            <wp:positionV relativeFrom="paragraph">
              <wp:posOffset>308610</wp:posOffset>
            </wp:positionV>
            <wp:extent cx="50768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76825" cy="171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w:t>
      </w:r>
    </w:p>
    <w:p>
      <w:pPr>
        <w:sectPr>
          <w:pgSz w:w="11900" w:h="16838" w:orient="portrait"/>
          <w:cols w:equalWidth="0" w:num="1">
            <w:col w:w="11420"/>
          </w:cols>
          <w:pgMar w:left="240" w:top="517" w:right="239" w:bottom="1440" w:gutter="0" w:footer="0" w:header="0"/>
        </w:sectPr>
      </w:pPr>
    </w:p>
    <w:p>
      <w:pPr>
        <w:spacing w:after="0" w:line="138" w:lineRule="exact"/>
        <w:rPr>
          <w:sz w:val="24"/>
          <w:szCs w:val="24"/>
          <w:color w:val="auto"/>
        </w:rPr>
      </w:pPr>
    </w:p>
    <w:p>
      <w:pPr>
        <w:ind w:left="6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w:t>
      </w:r>
    </w:p>
    <w:p>
      <w:pPr>
        <w:spacing w:after="0" w:line="81" w:lineRule="exact"/>
        <w:rPr>
          <w:sz w:val="24"/>
          <w:szCs w:val="24"/>
          <w:color w:val="auto"/>
        </w:rPr>
      </w:pPr>
    </w:p>
    <w:p>
      <w:pPr>
        <w:ind w:left="6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32"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200" w:lineRule="exact"/>
        <w:rPr>
          <w:sz w:val="24"/>
          <w:szCs w:val="24"/>
          <w:color w:val="auto"/>
        </w:rPr>
      </w:pPr>
    </w:p>
    <w:p>
      <w:pPr>
        <w:sectPr>
          <w:pgSz w:w="11900" w:h="16838" w:orient="portrait"/>
          <w:cols w:equalWidth="0" w:num="2">
            <w:col w:w="6820" w:space="720"/>
            <w:col w:w="3880"/>
          </w:cols>
          <w:pgMar w:left="240" w:top="517" w:right="239" w:bottom="1440" w:gutter="0" w:footer="0" w:header="0"/>
          <w:type w:val="continuous"/>
        </w:sectPr>
      </w:pPr>
    </w:p>
    <w:p>
      <w:pPr>
        <w:spacing w:after="0" w:line="3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12,013,682 common shares as of October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9380" w:type="dxa"/>
            <w:vAlign w:val="bottom"/>
          </w:tcPr>
          <w:p>
            <w:pPr>
              <w:jc w:val="center"/>
              <w:ind w:left="170"/>
              <w:spacing w:after="0"/>
              <w:rPr>
                <w:sz w:val="20"/>
                <w:szCs w:val="20"/>
                <w:color w:val="auto"/>
              </w:rPr>
            </w:pPr>
            <w:r>
              <w:rPr>
                <w:rFonts w:ascii="Arial" w:cs="Arial" w:eastAsia="Arial" w:hAnsi="Arial"/>
                <w:sz w:val="18"/>
                <w:szCs w:val="18"/>
                <w:b w:val="1"/>
                <w:bCs w:val="1"/>
                <w:color w:val="auto"/>
                <w:w w:val="98"/>
              </w:rPr>
              <w:t>TABLE OF CONTENT</w:t>
            </w:r>
            <w:r>
              <w:rPr>
                <w:rFonts w:ascii="Arial" w:cs="Arial" w:eastAsia="Arial" w:hAnsi="Arial"/>
                <w:sz w:val="18"/>
                <w:szCs w:val="18"/>
                <w:color w:val="auto"/>
                <w:w w:val="98"/>
              </w:rPr>
              <w:t>S</w:t>
            </w:r>
          </w:p>
        </w:tc>
        <w:tc>
          <w:tcPr>
            <w:tcW w:w="1140" w:type="dxa"/>
            <w:vAlign w:val="bottom"/>
          </w:tcPr>
          <w:p>
            <w:pPr>
              <w:spacing w:after="0"/>
              <w:rPr>
                <w:sz w:val="20"/>
                <w:szCs w:val="20"/>
                <w:color w:val="auto"/>
              </w:rPr>
            </w:pPr>
          </w:p>
        </w:tc>
      </w:tr>
      <w:tr>
        <w:trPr>
          <w:trHeight w:val="453"/>
        </w:trPr>
        <w:tc>
          <w:tcPr>
            <w:tcW w:w="900" w:type="dxa"/>
            <w:vAlign w:val="bottom"/>
          </w:tcPr>
          <w:p>
            <w:pPr>
              <w:spacing w:after="0"/>
              <w:rPr>
                <w:sz w:val="24"/>
                <w:szCs w:val="24"/>
                <w:color w:val="auto"/>
              </w:rPr>
            </w:pPr>
          </w:p>
        </w:tc>
        <w:tc>
          <w:tcPr>
            <w:tcW w:w="938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0"/>
              </w:rPr>
              <w:t>Page</w:t>
            </w:r>
          </w:p>
        </w:tc>
      </w:tr>
      <w:tr>
        <w:trPr>
          <w:trHeight w:val="419"/>
        </w:trPr>
        <w:tc>
          <w:tcPr>
            <w:tcW w:w="900" w:type="dxa"/>
            <w:vAlign w:val="bottom"/>
          </w:tcPr>
          <w:p>
            <w:pPr>
              <w:spacing w:after="0"/>
              <w:rPr>
                <w:sz w:val="24"/>
                <w:szCs w:val="24"/>
                <w:color w:val="auto"/>
              </w:rPr>
            </w:pPr>
          </w:p>
        </w:tc>
        <w:tc>
          <w:tcPr>
            <w:tcW w:w="9380" w:type="dxa"/>
            <w:vAlign w:val="bottom"/>
          </w:tcPr>
          <w:p>
            <w:pPr>
              <w:jc w:val="center"/>
              <w:ind w:left="170"/>
              <w:spacing w:after="0"/>
              <w:rPr>
                <w:sz w:val="20"/>
                <w:szCs w:val="20"/>
                <w:color w:val="auto"/>
              </w:rPr>
            </w:pPr>
            <w:r>
              <w:rPr>
                <w:rFonts w:ascii="Arial" w:cs="Arial" w:eastAsia="Arial" w:hAnsi="Arial"/>
                <w:sz w:val="18"/>
                <w:szCs w:val="18"/>
                <w:b w:val="1"/>
                <w:bCs w:val="1"/>
                <w:color w:val="auto"/>
              </w:rPr>
              <w:t>PART I – FINANCIAL INFORMATION</w:t>
            </w:r>
          </w:p>
        </w:tc>
        <w:tc>
          <w:tcPr>
            <w:tcW w:w="1140" w:type="dxa"/>
            <w:vAlign w:val="bottom"/>
          </w:tcPr>
          <w:p>
            <w:pPr>
              <w:spacing w:after="0"/>
              <w:rPr>
                <w:sz w:val="24"/>
                <w:szCs w:val="24"/>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380" w:type="dxa"/>
            <w:vAlign w:val="bottom"/>
          </w:tcPr>
          <w:p>
            <w:pPr>
              <w:ind w:left="260"/>
              <w:spacing w:after="0"/>
              <w:rPr>
                <w:sz w:val="20"/>
                <w:szCs w:val="20"/>
                <w:color w:val="auto"/>
              </w:rPr>
            </w:pPr>
            <w:r>
              <w:rPr>
                <w:rFonts w:ascii="Arial" w:cs="Arial" w:eastAsia="Arial" w:hAnsi="Arial"/>
                <w:sz w:val="18"/>
                <w:szCs w:val="18"/>
                <w:color w:val="auto"/>
              </w:rPr>
              <w:t>Financial Statements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380" w:type="dxa"/>
            <w:vAlign w:val="bottom"/>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2</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380" w:type="dxa"/>
            <w:vAlign w:val="bottom"/>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380" w:type="dxa"/>
            <w:vAlign w:val="bottom"/>
          </w:tcPr>
          <w:p>
            <w:pPr>
              <w:ind w:left="260"/>
              <w:spacing w:after="0"/>
              <w:rPr>
                <w:sz w:val="20"/>
                <w:szCs w:val="20"/>
                <w:color w:val="auto"/>
              </w:rPr>
            </w:pPr>
            <w:r>
              <w:rPr>
                <w:rFonts w:ascii="Arial" w:cs="Arial" w:eastAsia="Arial" w:hAnsi="Arial"/>
                <w:sz w:val="18"/>
                <w:szCs w:val="18"/>
                <w:color w:val="auto"/>
              </w:rPr>
              <w:t>Controls and Procedures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432"/>
        </w:trPr>
        <w:tc>
          <w:tcPr>
            <w:tcW w:w="900" w:type="dxa"/>
            <w:vAlign w:val="bottom"/>
          </w:tcPr>
          <w:p>
            <w:pPr>
              <w:spacing w:after="0"/>
              <w:rPr>
                <w:sz w:val="24"/>
                <w:szCs w:val="24"/>
                <w:color w:val="auto"/>
              </w:rPr>
            </w:pPr>
          </w:p>
        </w:tc>
        <w:tc>
          <w:tcPr>
            <w:tcW w:w="9380" w:type="dxa"/>
            <w:vAlign w:val="bottom"/>
          </w:tcPr>
          <w:p>
            <w:pPr>
              <w:jc w:val="center"/>
              <w:ind w:left="150"/>
              <w:spacing w:after="0"/>
              <w:rPr>
                <w:sz w:val="20"/>
                <w:szCs w:val="20"/>
                <w:color w:val="auto"/>
              </w:rPr>
            </w:pPr>
            <w:r>
              <w:rPr>
                <w:rFonts w:ascii="Arial" w:cs="Arial" w:eastAsia="Arial" w:hAnsi="Arial"/>
                <w:sz w:val="18"/>
                <w:szCs w:val="18"/>
                <w:b w:val="1"/>
                <w:bCs w:val="1"/>
                <w:color w:val="auto"/>
              </w:rPr>
              <w:t>PART II – OTHER INFORMATION</w:t>
            </w:r>
          </w:p>
        </w:tc>
        <w:tc>
          <w:tcPr>
            <w:tcW w:w="1140" w:type="dxa"/>
            <w:vAlign w:val="bottom"/>
          </w:tcPr>
          <w:p>
            <w:pPr>
              <w:spacing w:after="0"/>
              <w:rPr>
                <w:sz w:val="24"/>
                <w:szCs w:val="24"/>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380" w:type="dxa"/>
            <w:vAlign w:val="bottom"/>
          </w:tcPr>
          <w:p>
            <w:pPr>
              <w:ind w:left="260"/>
              <w:spacing w:after="0"/>
              <w:rPr>
                <w:sz w:val="20"/>
                <w:szCs w:val="20"/>
                <w:color w:val="auto"/>
              </w:rPr>
            </w:pPr>
            <w:r>
              <w:rPr>
                <w:rFonts w:ascii="Arial" w:cs="Arial" w:eastAsia="Arial" w:hAnsi="Arial"/>
                <w:sz w:val="18"/>
                <w:szCs w:val="18"/>
                <w:color w:val="auto"/>
              </w:rPr>
              <w:t>Legal Proceedings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380" w:type="dxa"/>
            <w:vAlign w:val="bottom"/>
          </w:tcPr>
          <w:p>
            <w:pPr>
              <w:ind w:left="260"/>
              <w:spacing w:after="0"/>
              <w:rPr>
                <w:sz w:val="20"/>
                <w:szCs w:val="20"/>
                <w:color w:val="auto"/>
              </w:rPr>
            </w:pPr>
            <w:r>
              <w:rPr>
                <w:rFonts w:ascii="Arial" w:cs="Arial" w:eastAsia="Arial" w:hAnsi="Arial"/>
                <w:sz w:val="18"/>
                <w:szCs w:val="18"/>
                <w:color w:val="auto"/>
              </w:rPr>
              <w:t>Risk Factors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380" w:type="dxa"/>
            <w:vAlign w:val="bottom"/>
          </w:tcPr>
          <w:p>
            <w:pPr>
              <w:ind w:left="260"/>
              <w:spacing w:after="0"/>
              <w:rPr>
                <w:sz w:val="20"/>
                <w:szCs w:val="20"/>
                <w:color w:val="auto"/>
              </w:rPr>
            </w:pPr>
            <w:r>
              <w:rPr>
                <w:rFonts w:ascii="Arial" w:cs="Arial" w:eastAsia="Arial" w:hAnsi="Arial"/>
                <w:sz w:val="18"/>
                <w:szCs w:val="18"/>
                <w:color w:val="auto"/>
              </w:rPr>
              <w:t>Unregistered Sales of Equity Securities and Use of Proceeds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380" w:type="dxa"/>
            <w:vAlign w:val="bottom"/>
          </w:tcPr>
          <w:p>
            <w:pPr>
              <w:ind w:left="260"/>
              <w:spacing w:after="0"/>
              <w:rPr>
                <w:sz w:val="20"/>
                <w:szCs w:val="20"/>
                <w:color w:val="auto"/>
              </w:rPr>
            </w:pPr>
            <w:r>
              <w:rPr>
                <w:rFonts w:ascii="Arial" w:cs="Arial" w:eastAsia="Arial" w:hAnsi="Arial"/>
                <w:sz w:val="18"/>
                <w:szCs w:val="18"/>
                <w:color w:val="auto"/>
              </w:rPr>
              <w:t>Defaults Upon Senior Securities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380" w:type="dxa"/>
            <w:vAlign w:val="bottom"/>
          </w:tcPr>
          <w:p>
            <w:pPr>
              <w:ind w:left="260"/>
              <w:spacing w:after="0"/>
              <w:rPr>
                <w:sz w:val="20"/>
                <w:szCs w:val="20"/>
                <w:color w:val="auto"/>
              </w:rPr>
            </w:pPr>
            <w:r>
              <w:rPr>
                <w:rFonts w:ascii="Arial" w:cs="Arial" w:eastAsia="Arial" w:hAnsi="Arial"/>
                <w:sz w:val="18"/>
                <w:szCs w:val="18"/>
                <w:color w:val="auto"/>
              </w:rPr>
              <w:t>Mine Safety Disclosure</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9380" w:type="dxa"/>
            <w:vAlign w:val="bottom"/>
          </w:tcPr>
          <w:p>
            <w:pPr>
              <w:ind w:left="260"/>
              <w:spacing w:after="0"/>
              <w:rPr>
                <w:sz w:val="20"/>
                <w:szCs w:val="20"/>
                <w:color w:val="auto"/>
              </w:rPr>
            </w:pPr>
            <w:r>
              <w:rPr>
                <w:rFonts w:ascii="Arial" w:cs="Arial" w:eastAsia="Arial" w:hAnsi="Arial"/>
                <w:sz w:val="18"/>
                <w:szCs w:val="18"/>
                <w:color w:val="auto"/>
              </w:rPr>
              <w:t>Other Information</w:t>
            </w:r>
          </w:p>
        </w:tc>
        <w:tc>
          <w:tcPr>
            <w:tcW w:w="114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9380" w:type="dxa"/>
            <w:vAlign w:val="bottom"/>
          </w:tcPr>
          <w:p>
            <w:pPr>
              <w:ind w:left="260"/>
              <w:spacing w:after="0"/>
              <w:rPr>
                <w:sz w:val="20"/>
                <w:szCs w:val="20"/>
                <w:color w:val="auto"/>
              </w:rPr>
            </w:pPr>
            <w:r>
              <w:rPr>
                <w:rFonts w:ascii="Arial" w:cs="Arial" w:eastAsia="Arial" w:hAnsi="Arial"/>
                <w:sz w:val="18"/>
                <w:szCs w:val="18"/>
                <w:color w:val="auto"/>
              </w:rPr>
              <w:t>Exhibits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7</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included in this Form 10-Q are as follows:</w:t>
      </w:r>
    </w:p>
    <w:p>
      <w:pPr>
        <w:spacing w:after="0" w:line="225" w:lineRule="exact"/>
        <w:rPr>
          <w:sz w:val="20"/>
          <w:szCs w:val="20"/>
          <w:color w:val="auto"/>
        </w:rPr>
      </w:pPr>
    </w:p>
    <w:p>
      <w:pPr>
        <w:ind w:right="1280"/>
        <w:spacing w:after="0" w:line="259" w:lineRule="auto"/>
        <w:rPr>
          <w:sz w:val="20"/>
          <w:szCs w:val="20"/>
          <w:color w:val="auto"/>
        </w:rPr>
      </w:pPr>
      <w:r>
        <w:rPr>
          <w:rFonts w:ascii="Arial" w:cs="Arial" w:eastAsia="Arial" w:hAnsi="Arial"/>
          <w:sz w:val="18"/>
          <w:szCs w:val="18"/>
          <w:color w:val="auto"/>
        </w:rPr>
        <w:t>F-1 Condensed Consolidated Balance Sheets as of September 30, 2018 (unaudited) and December 31, 2017; F-2 Condensed Consolidated Statements of Operations for the three and nine months ended September 30, 2018 and 2017 (unaudited); F-3 Condensed Consolidated Statements of Cash Flow for the nine months ended September 30, 2018 and 2017 (unaudited); F-4 Notes to Condensed Consolidated Financial Statements.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of America for interim financial information and the SEC instructions to Form 10-Q. In the opinion of management, all adjustments considered necessary for a fair presentation have been included. Operating results for the interim period ended September 30, 2018 are not necessarily indicative of the results that can be expected for the full year.</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w w:val="89"/>
              </w:rPr>
              <w:t>September 30,</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70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w w:val="98"/>
              </w:rPr>
              <w:t>(unaudited)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13,523,002</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5,122,573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3,791,964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2,257,276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Accounts receivable – related party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1,373,054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1,173,614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70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201,320</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255,428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700" w:type="dxa"/>
            <w:vAlign w:val="bottom"/>
          </w:tcPr>
          <w:p>
            <w:pPr>
              <w:spacing w:after="0" w:line="203" w:lineRule="exact"/>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18,889,340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8,808,891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00" w:type="dxa"/>
            <w:vAlign w:val="bottom"/>
          </w:tcPr>
          <w:p>
            <w:pPr>
              <w:spacing w:after="0" w:line="203" w:lineRule="exact"/>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149,936</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700" w:type="dxa"/>
            <w:vAlign w:val="bottom"/>
          </w:tcPr>
          <w:p>
            <w:pPr>
              <w:spacing w:after="0" w:line="201" w:lineRule="exact"/>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Patent rights, 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587,848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638,766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Web development and other intangible costs, 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128,381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143,730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700" w:type="dxa"/>
            <w:vAlign w:val="bottom"/>
          </w:tcPr>
          <w:p>
            <w:pPr>
              <w:ind w:left="180"/>
              <w:spacing w:after="0"/>
              <w:rPr>
                <w:sz w:val="20"/>
                <w:szCs w:val="20"/>
                <w:color w:val="auto"/>
              </w:rPr>
            </w:pPr>
            <w:r>
              <w:rPr>
                <w:rFonts w:ascii="Arial" w:cs="Arial" w:eastAsia="Arial" w:hAnsi="Arial"/>
                <w:sz w:val="18"/>
                <w:szCs w:val="18"/>
                <w:color w:val="auto"/>
              </w:rPr>
              <w:t>Security deposit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5,049</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700" w:type="dxa"/>
            <w:vAlign w:val="bottom"/>
          </w:tcPr>
          <w:p>
            <w:pPr>
              <w:spacing w:after="0" w:line="203" w:lineRule="exact"/>
              <w:rPr>
                <w:sz w:val="20"/>
                <w:szCs w:val="20"/>
                <w:color w:val="auto"/>
              </w:rPr>
            </w:pPr>
            <w:r>
              <w:rPr>
                <w:rFonts w:ascii="Arial" w:cs="Arial" w:eastAsia="Arial" w:hAnsi="Arial"/>
                <w:sz w:val="18"/>
                <w:szCs w:val="18"/>
                <w:color w:val="auto"/>
              </w:rPr>
              <w:t>Total Other Assets</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721,278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787,545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700" w:type="dxa"/>
            <w:vAlign w:val="bottom"/>
          </w:tcPr>
          <w:p>
            <w:pPr>
              <w:spacing w:after="0" w:line="203" w:lineRule="exact"/>
              <w:rPr>
                <w:sz w:val="20"/>
                <w:szCs w:val="20"/>
                <w:color w:val="auto"/>
              </w:rPr>
            </w:pPr>
            <w:r>
              <w:rPr>
                <w:rFonts w:ascii="Arial" w:cs="Arial" w:eastAsia="Arial" w:hAnsi="Arial"/>
                <w:sz w:val="18"/>
                <w:szCs w:val="18"/>
                <w:color w:val="auto"/>
              </w:rPr>
              <w:t>TOTAL ASSETS</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19,760,554</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9,763,741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700" w:type="dxa"/>
            <w:vAlign w:val="bottom"/>
            <w:vMerge w:val="restart"/>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8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165,458</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457,289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814,530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953,947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763,084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1,177,136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Revenue share payable – related party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447,670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70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813,316</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507,160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700" w:type="dxa"/>
            <w:vAlign w:val="bottom"/>
          </w:tcPr>
          <w:p>
            <w:pPr>
              <w:ind w:left="180"/>
              <w:spacing w:after="0" w:line="203" w:lineRule="exact"/>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2,556,388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3,543,202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700" w:type="dxa"/>
            <w:vAlign w:val="bottom"/>
          </w:tcPr>
          <w:p>
            <w:pPr>
              <w:spacing w:after="0" w:line="201" w:lineRule="exact"/>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w w:val="90"/>
              </w:rPr>
              <w:t>Preferred stock, $0.001 par value, 10,000,000 shares authorized, no issued and outstanding at September 30, 2018 or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360"/>
              <w:spacing w:after="0"/>
              <w:rPr>
                <w:sz w:val="20"/>
                <w:szCs w:val="20"/>
                <w:color w:val="auto"/>
              </w:rPr>
            </w:pPr>
            <w:r>
              <w:rPr>
                <w:rFonts w:ascii="Arial" w:cs="Arial" w:eastAsia="Arial" w:hAnsi="Arial"/>
                <w:sz w:val="18"/>
                <w:szCs w:val="18"/>
                <w:color w:val="auto"/>
              </w:rPr>
              <w:t>December 31, 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w w:val="95"/>
              </w:rPr>
              <w:t>Common stock, $0.001 par value, 166,666,667 shares authorized, 11,970,976 and 9,772,694 shares issued and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360"/>
              <w:spacing w:after="0"/>
              <w:rPr>
                <w:sz w:val="20"/>
                <w:szCs w:val="20"/>
                <w:color w:val="auto"/>
              </w:rPr>
            </w:pPr>
            <w:r>
              <w:rPr>
                <w:rFonts w:ascii="Arial" w:cs="Arial" w:eastAsia="Arial" w:hAnsi="Arial"/>
                <w:sz w:val="18"/>
                <w:szCs w:val="18"/>
                <w:color w:val="auto"/>
              </w:rPr>
              <w:t>outstanding at Sept 30, 2018 and December 31, 2017, respectively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11,971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Stock warrants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1,286,424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47,361,086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35,287,464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7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(30,168,891)</w:t>
            </w:r>
          </w:p>
        </w:tc>
        <w:tc>
          <w:tcPr>
            <w:tcW w:w="1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7"/>
              </w:rPr>
              <w:t>(30,363,122)</w:t>
            </w:r>
          </w:p>
        </w:tc>
        <w:tc>
          <w:tcPr>
            <w:tcW w:w="0" w:type="dxa"/>
            <w:vAlign w:val="bottom"/>
          </w:tcPr>
          <w:p>
            <w:pPr>
              <w:spacing w:after="0"/>
              <w:rPr>
                <w:sz w:val="1"/>
                <w:szCs w:val="1"/>
                <w:color w:val="auto"/>
              </w:rPr>
            </w:pPr>
          </w:p>
        </w:tc>
      </w:tr>
      <w:tr>
        <w:trPr>
          <w:trHeight w:val="223"/>
        </w:trPr>
        <w:tc>
          <w:tcPr>
            <w:tcW w:w="8700" w:type="dxa"/>
            <w:vAlign w:val="bottom"/>
          </w:tcPr>
          <w:p>
            <w:pPr>
              <w:spacing w:after="0" w:line="203" w:lineRule="exact"/>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17,204,166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6,220,539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700" w:type="dxa"/>
            <w:vAlign w:val="bottom"/>
          </w:tcPr>
          <w:p>
            <w:pPr>
              <w:spacing w:after="0" w:line="203" w:lineRule="exact"/>
              <w:rPr>
                <w:sz w:val="20"/>
                <w:szCs w:val="20"/>
                <w:color w:val="auto"/>
              </w:rPr>
            </w:pPr>
            <w:r>
              <w:rPr>
                <w:rFonts w:ascii="Arial" w:cs="Arial" w:eastAsia="Arial" w:hAnsi="Arial"/>
                <w:sz w:val="18"/>
                <w:szCs w:val="18"/>
                <w:color w:val="auto"/>
              </w:rPr>
              <w:t>TOTAL LIABILITIES AND STOCKHOLDERS’ EQUITY</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19,760,554</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9,763,741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gridSpan w:val="6"/>
          </w:tcPr>
          <w:p>
            <w:pPr>
              <w:jc w:val="right"/>
              <w:ind w:right="360"/>
              <w:spacing w:after="0"/>
              <w:rPr>
                <w:sz w:val="20"/>
                <w:szCs w:val="20"/>
                <w:color w:val="auto"/>
              </w:rPr>
            </w:pPr>
            <w:r>
              <w:rPr>
                <w:rFonts w:ascii="Arial" w:cs="Arial" w:eastAsia="Arial" w:hAnsi="Arial"/>
                <w:sz w:val="18"/>
                <w:szCs w:val="18"/>
                <w:color w:val="auto"/>
                <w:w w:val="92"/>
              </w:rPr>
              <w:t>For the Three Months Ended</w:t>
            </w:r>
          </w:p>
        </w:tc>
        <w:tc>
          <w:tcPr>
            <w:tcW w:w="180" w:type="dxa"/>
            <w:vAlign w:val="bottom"/>
          </w:tcPr>
          <w:p>
            <w:pPr>
              <w:spacing w:after="0"/>
              <w:rPr>
                <w:sz w:val="19"/>
                <w:szCs w:val="19"/>
                <w:color w:val="auto"/>
              </w:rPr>
            </w:pPr>
          </w:p>
        </w:tc>
        <w:tc>
          <w:tcPr>
            <w:tcW w:w="2380" w:type="dxa"/>
            <w:vAlign w:val="bottom"/>
            <w:gridSpan w:val="7"/>
          </w:tcPr>
          <w:p>
            <w:pPr>
              <w:jc w:val="right"/>
              <w:ind w:right="260"/>
              <w:spacing w:after="0"/>
              <w:rPr>
                <w:sz w:val="20"/>
                <w:szCs w:val="20"/>
                <w:color w:val="auto"/>
              </w:rPr>
            </w:pPr>
            <w:r>
              <w:rPr>
                <w:rFonts w:ascii="Arial" w:cs="Arial" w:eastAsia="Arial" w:hAnsi="Arial"/>
                <w:sz w:val="18"/>
                <w:szCs w:val="18"/>
                <w:color w:val="auto"/>
                <w:w w:val="93"/>
              </w:rPr>
              <w:t>For the Nine Months Ended</w:t>
            </w: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7"/>
          </w:tcPr>
          <w:p>
            <w:pPr>
              <w:jc w:val="right"/>
              <w:ind w:right="78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2017</w:t>
            </w: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20" w:type="dxa"/>
            <w:vAlign w:val="bottom"/>
          </w:tcPr>
          <w:p>
            <w:pPr>
              <w:spacing w:after="0" w:line="201" w:lineRule="exact"/>
              <w:rPr>
                <w:sz w:val="20"/>
                <w:szCs w:val="20"/>
                <w:color w:val="auto"/>
              </w:rPr>
            </w:pPr>
            <w:r>
              <w:rPr>
                <w:rFonts w:ascii="Arial" w:cs="Arial" w:eastAsia="Arial" w:hAnsi="Arial"/>
                <w:sz w:val="18"/>
                <w:szCs w:val="18"/>
                <w:color w:val="auto"/>
              </w:rPr>
              <w:t>NET REVENUE</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Revenue</w:t>
            </w:r>
          </w:p>
        </w:tc>
        <w:tc>
          <w:tcPr>
            <w:tcW w:w="7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3,990,486</w:t>
            </w:r>
          </w:p>
        </w:tc>
        <w:tc>
          <w:tcPr>
            <w:tcW w:w="5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2,076,736</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9,951,743</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5,729,275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520" w:type="dxa"/>
            <w:vAlign w:val="bottom"/>
          </w:tcPr>
          <w:p>
            <w:pPr>
              <w:spacing w:after="0"/>
              <w:rPr>
                <w:sz w:val="20"/>
                <w:szCs w:val="20"/>
                <w:color w:val="auto"/>
              </w:rPr>
            </w:pPr>
            <w:r>
              <w:rPr>
                <w:rFonts w:ascii="Arial" w:cs="Arial" w:eastAsia="Arial" w:hAnsi="Arial"/>
                <w:sz w:val="18"/>
                <w:szCs w:val="18"/>
                <w:color w:val="auto"/>
              </w:rPr>
              <w:t>Revenue – Related Party</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1,424,898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1,025,871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4,675,351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2,391,227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520" w:type="dxa"/>
            <w:vAlign w:val="bottom"/>
          </w:tcPr>
          <w:p>
            <w:pPr>
              <w:spacing w:after="0" w:line="201" w:lineRule="exact"/>
              <w:rPr>
                <w:sz w:val="20"/>
                <w:szCs w:val="20"/>
                <w:color w:val="auto"/>
              </w:rPr>
            </w:pPr>
            <w:r>
              <w:rPr>
                <w:rFonts w:ascii="Arial" w:cs="Arial" w:eastAsia="Arial" w:hAnsi="Arial"/>
                <w:sz w:val="18"/>
                <w:szCs w:val="18"/>
                <w:color w:val="auto"/>
              </w:rPr>
              <w:t>TOTAL NET REVENUE</w:t>
            </w:r>
          </w:p>
        </w:tc>
        <w:tc>
          <w:tcPr>
            <w:tcW w:w="5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5,415,384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2"/>
              </w:rPr>
              <w:t>3,102,607</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14,627,094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8,120,502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520" w:type="dxa"/>
            <w:vAlign w:val="bottom"/>
          </w:tcPr>
          <w:p>
            <w:pPr>
              <w:spacing w:after="0"/>
              <w:rPr>
                <w:sz w:val="20"/>
                <w:szCs w:val="20"/>
                <w:color w:val="auto"/>
              </w:rPr>
            </w:pPr>
            <w:r>
              <w:rPr>
                <w:rFonts w:ascii="Arial" w:cs="Arial" w:eastAsia="Arial" w:hAnsi="Arial"/>
                <w:sz w:val="18"/>
                <w:szCs w:val="18"/>
                <w:color w:val="auto"/>
              </w:rPr>
              <w:t>REVENUE SHARE EXPENSE</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2,268,968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1,703,676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6,513,810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4,690,943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520" w:type="dxa"/>
            <w:vAlign w:val="bottom"/>
          </w:tcPr>
          <w:p>
            <w:pPr>
              <w:ind w:left="180"/>
              <w:spacing w:after="0" w:line="201" w:lineRule="exact"/>
              <w:rPr>
                <w:sz w:val="20"/>
                <w:szCs w:val="20"/>
                <w:color w:val="auto"/>
              </w:rPr>
            </w:pPr>
            <w:r>
              <w:rPr>
                <w:rFonts w:ascii="Arial" w:cs="Arial" w:eastAsia="Arial" w:hAnsi="Arial"/>
                <w:sz w:val="18"/>
                <w:szCs w:val="18"/>
                <w:color w:val="auto"/>
              </w:rPr>
              <w:t>GROSS MARGIN</w:t>
            </w:r>
          </w:p>
        </w:tc>
        <w:tc>
          <w:tcPr>
            <w:tcW w:w="5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3,146,416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2"/>
              </w:rPr>
              <w:t>1,398,931</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8,113,284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3,429,559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520" w:type="dxa"/>
            <w:vAlign w:val="bottom"/>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2,923,238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2,028,589</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7,807,705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5,320,220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180"/>
              <w:spacing w:after="0" w:line="203" w:lineRule="exact"/>
              <w:rPr>
                <w:sz w:val="20"/>
                <w:szCs w:val="20"/>
                <w:color w:val="auto"/>
              </w:rPr>
            </w:pPr>
            <w:r>
              <w:rPr>
                <w:rFonts w:ascii="Arial" w:cs="Arial" w:eastAsia="Arial" w:hAnsi="Arial"/>
                <w:sz w:val="18"/>
                <w:szCs w:val="18"/>
                <w:color w:val="auto"/>
              </w:rPr>
              <w:t>INCOME (LOSS) FROM OPERATIONS</w:t>
            </w:r>
          </w:p>
        </w:tc>
        <w:tc>
          <w:tcPr>
            <w:tcW w:w="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223,178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(629,658</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305,579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(1,890,661</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OTHER INCOME (EXPENSE)</w:t>
            </w:r>
          </w:p>
        </w:tc>
        <w:tc>
          <w:tcPr>
            <w:tcW w:w="5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21,750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6,872</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30,679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23,691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5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vMerge w:val="restart"/>
          </w:tcPr>
          <w:p>
            <w:pPr>
              <w:spacing w:after="0"/>
              <w:rPr>
                <w:sz w:val="20"/>
                <w:szCs w:val="20"/>
                <w:color w:val="auto"/>
              </w:rPr>
            </w:pPr>
            <w:r>
              <w:rPr>
                <w:rFonts w:ascii="Arial" w:cs="Arial" w:eastAsia="Arial" w:hAnsi="Arial"/>
                <w:sz w:val="18"/>
                <w:szCs w:val="18"/>
                <w:color w:val="auto"/>
              </w:rPr>
              <w:t>TOTAL OTHER INCOME (EXPENSE)</w:t>
            </w: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55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21,750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6,872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30,679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23,691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52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244,928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(622,786)</w:t>
            </w: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336,258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(1,866,970)</w:t>
            </w:r>
          </w:p>
        </w:tc>
        <w:tc>
          <w:tcPr>
            <w:tcW w:w="0" w:type="dxa"/>
            <w:vAlign w:val="bottom"/>
          </w:tcPr>
          <w:p>
            <w:pPr>
              <w:spacing w:after="0"/>
              <w:rPr>
                <w:sz w:val="1"/>
                <w:szCs w:val="1"/>
                <w:color w:val="auto"/>
              </w:rPr>
            </w:pPr>
          </w:p>
        </w:tc>
      </w:tr>
      <w:tr>
        <w:trPr>
          <w:trHeight w:val="446"/>
        </w:trPr>
        <w:tc>
          <w:tcPr>
            <w:tcW w:w="55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52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50"/>
        </w:trPr>
        <w:tc>
          <w:tcPr>
            <w:tcW w:w="5520" w:type="dxa"/>
            <w:vAlign w:val="bottom"/>
            <w:vMerge w:val="continue"/>
          </w:tcPr>
          <w:p>
            <w:pPr>
              <w:spacing w:after="0"/>
              <w:rPr>
                <w:sz w:val="21"/>
                <w:szCs w:val="21"/>
                <w:color w:val="auto"/>
              </w:rPr>
            </w:pPr>
          </w:p>
        </w:tc>
        <w:tc>
          <w:tcPr>
            <w:tcW w:w="7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244,928</w:t>
            </w:r>
          </w:p>
        </w:tc>
        <w:tc>
          <w:tcPr>
            <w:tcW w:w="5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(622,786</w:t>
            </w:r>
          </w:p>
        </w:tc>
        <w:tc>
          <w:tcPr>
            <w:tcW w:w="2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336,258</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(1,866,970</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52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OUTSTANDING</w:t>
            </w: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55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520" w:type="dxa"/>
            <w:vAlign w:val="bottom"/>
          </w:tcPr>
          <w:p>
            <w:pPr>
              <w:ind w:left="180"/>
              <w:spacing w:after="0"/>
              <w:rPr>
                <w:sz w:val="20"/>
                <w:szCs w:val="20"/>
                <w:color w:val="auto"/>
              </w:rPr>
            </w:pPr>
            <w:r>
              <w:rPr>
                <w:rFonts w:ascii="Arial" w:cs="Arial" w:eastAsia="Arial" w:hAnsi="Arial"/>
                <w:sz w:val="18"/>
                <w:szCs w:val="18"/>
                <w:color w:val="auto"/>
              </w:rPr>
              <w:t>BASIC</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11,755,500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9,752,122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10,840,584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9,839,325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52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56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5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12,921,768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9,752,122</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11,766,754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9,839,325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520" w:type="dxa"/>
            <w:vAlign w:val="bottom"/>
            <w:vMerge w:val="restart"/>
          </w:tcPr>
          <w:p>
            <w:pPr>
              <w:spacing w:after="0"/>
              <w:rPr>
                <w:sz w:val="20"/>
                <w:szCs w:val="20"/>
                <w:color w:val="auto"/>
              </w:rPr>
            </w:pPr>
            <w:r>
              <w:rPr>
                <w:rFonts w:ascii="Arial" w:cs="Arial" w:eastAsia="Arial" w:hAnsi="Arial"/>
                <w:sz w:val="18"/>
                <w:szCs w:val="18"/>
                <w:color w:val="auto"/>
              </w:rPr>
              <w:t>NET INCOME (LOSS) PER SHARE</w:t>
            </w: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55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520" w:type="dxa"/>
            <w:vAlign w:val="bottom"/>
          </w:tcPr>
          <w:p>
            <w:pPr>
              <w:ind w:left="180"/>
              <w:spacing w:after="0"/>
              <w:rPr>
                <w:sz w:val="20"/>
                <w:szCs w:val="20"/>
                <w:color w:val="auto"/>
              </w:rPr>
            </w:pPr>
            <w:r>
              <w:rPr>
                <w:rFonts w:ascii="Arial" w:cs="Arial" w:eastAsia="Arial" w:hAnsi="Arial"/>
                <w:sz w:val="18"/>
                <w:szCs w:val="18"/>
                <w:color w:val="auto"/>
              </w:rPr>
              <w:t>BASIC</w:t>
            </w:r>
          </w:p>
        </w:tc>
        <w:tc>
          <w:tcPr>
            <w:tcW w:w="7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5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line="271" w:lineRule="exact"/>
              <w:rPr>
                <w:sz w:val="20"/>
                <w:szCs w:val="20"/>
                <w:color w:val="auto"/>
              </w:rPr>
            </w:pPr>
            <w:r>
              <w:rPr>
                <w:rFonts w:ascii="Arial" w:cs="Arial" w:eastAsia="Arial" w:hAnsi="Arial"/>
                <w:sz w:val="16"/>
                <w:szCs w:val="16"/>
                <w:color w:val="auto"/>
              </w:rPr>
              <w:t>(0.06</w:t>
            </w:r>
            <w:r>
              <w:rPr>
                <w:rFonts w:ascii="Arial" w:cs="Arial" w:eastAsia="Arial" w:hAnsi="Arial"/>
                <w:sz w:val="31"/>
                <w:szCs w:val="31"/>
                <w:color w:val="auto"/>
                <w:vertAlign w:val="superscript"/>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0.03</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spacing w:after="0" w:line="271" w:lineRule="exact"/>
              <w:rPr>
                <w:sz w:val="20"/>
                <w:szCs w:val="20"/>
                <w:color w:val="auto"/>
              </w:rPr>
            </w:pPr>
            <w:r>
              <w:rPr>
                <w:rFonts w:ascii="Arial" w:cs="Arial" w:eastAsia="Arial" w:hAnsi="Arial"/>
                <w:sz w:val="16"/>
                <w:szCs w:val="16"/>
                <w:color w:val="auto"/>
              </w:rPr>
              <w:t>(0.19</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1"/>
        </w:trPr>
        <w:tc>
          <w:tcPr>
            <w:tcW w:w="552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56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tcBorders>
            <w:gridSpan w:val="2"/>
          </w:tcPr>
          <w:p>
            <w:pPr>
              <w:spacing w:after="0" w:line="20" w:lineRule="exact"/>
              <w:rPr>
                <w:sz w:val="1"/>
                <w:szCs w:val="1"/>
                <w:color w:val="auto"/>
              </w:rPr>
            </w:pPr>
          </w:p>
        </w:tc>
        <w:tc>
          <w:tcPr>
            <w:tcW w:w="940" w:type="dxa"/>
            <w:vAlign w:val="bottom"/>
            <w:tcBorders>
              <w:top w:val="single" w:sz="8" w:color="auto"/>
            </w:tcBorders>
            <w:gridSpan w:val="2"/>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23"/>
        </w:trPr>
        <w:tc>
          <w:tcPr>
            <w:tcW w:w="55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00" w:type="dxa"/>
            <w:vAlign w:val="bottom"/>
            <w:vMerge w:val="continue"/>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20" w:type="dxa"/>
            <w:vAlign w:val="bottom"/>
            <w:tcBorders>
              <w:bottom w:val="single" w:sz="8" w:color="auto"/>
            </w:tcBorders>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ectPr>
          <w:pgSz w:w="11900" w:h="16838" w:orient="portrait"/>
          <w:cols w:equalWidth="0" w:num="1">
            <w:col w:w="11380"/>
          </w:cols>
          <w:pgMar w:left="240" w:top="904"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 (loss) for the period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Adjustments to reconcile net income(loss) to net cash used in operating activities: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and options issued for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Changes in: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expenses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Revenue share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expenses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revenue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OPERATING ACTIVITIES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property and equipment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Web development and other intangible costs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proceeds from issuance of common stock for cash</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Repurchase of common stock and stock payable</w:t>
      </w:r>
    </w:p>
    <w:p>
      <w:pPr>
        <w:spacing w:after="0" w:line="22" w:lineRule="exact"/>
        <w:rPr>
          <w:sz w:val="20"/>
          <w:szCs w:val="20"/>
          <w:color w:val="auto"/>
        </w:rPr>
      </w:pPr>
    </w:p>
    <w:p>
      <w:pPr>
        <w:ind w:right="3013"/>
        <w:spacing w:after="0" w:line="298" w:lineRule="auto"/>
        <w:rPr>
          <w:sz w:val="20"/>
          <w:szCs w:val="20"/>
          <w:color w:val="auto"/>
        </w:rPr>
      </w:pPr>
      <w:r>
        <w:rPr>
          <w:rFonts w:ascii="Arial" w:cs="Arial" w:eastAsia="Arial" w:hAnsi="Arial"/>
          <w:sz w:val="17"/>
          <w:szCs w:val="17"/>
          <w:color w:val="auto"/>
        </w:rPr>
        <w:t>NET CASH PROVIDED BY (USED IN) FINANCING ACTIVITIES NET CHANGE IN CASH AND CASH EQUIVALENTS</w:t>
      </w:r>
    </w:p>
    <w:p>
      <w:pPr>
        <w:spacing w:after="0" w:line="2" w:lineRule="exact"/>
        <w:rPr>
          <w:sz w:val="20"/>
          <w:szCs w:val="20"/>
          <w:color w:val="auto"/>
        </w:rPr>
      </w:pPr>
    </w:p>
    <w:p>
      <w:pPr>
        <w:ind w:right="3253"/>
        <w:spacing w:after="0" w:line="323" w:lineRule="auto"/>
        <w:rPr>
          <w:sz w:val="20"/>
          <w:szCs w:val="20"/>
          <w:color w:val="auto"/>
        </w:rPr>
      </w:pPr>
      <w:r>
        <w:rPr>
          <w:rFonts w:ascii="Arial" w:cs="Arial" w:eastAsia="Arial" w:hAnsi="Arial"/>
          <w:sz w:val="17"/>
          <w:szCs w:val="17"/>
          <w:color w:val="auto"/>
        </w:rPr>
        <w:t>CASH AND CASH EQUIVALENTS - BEGINNING OF PERIOD CASH AND CASH EQUIVALENTS - END OF PERIOD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paid for interest</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paid for income taxes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Non-cash issuance of shares to WPP</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center"/>
        <w:ind w:right="113"/>
        <w:spacing w:after="0"/>
        <w:rPr>
          <w:sz w:val="20"/>
          <w:szCs w:val="20"/>
          <w:color w:val="auto"/>
        </w:rPr>
      </w:pPr>
      <w:r>
        <w:rPr>
          <w:rFonts w:ascii="Arial" w:cs="Arial" w:eastAsia="Arial" w:hAnsi="Arial"/>
          <w:sz w:val="18"/>
          <w:szCs w:val="18"/>
          <w:color w:val="auto"/>
        </w:rPr>
        <w:t>For the Nine Months Ended</w:t>
      </w:r>
    </w:p>
    <w:p>
      <w:pPr>
        <w:spacing w:after="0" w:line="23" w:lineRule="exact"/>
        <w:rPr>
          <w:sz w:val="20"/>
          <w:szCs w:val="20"/>
          <w:color w:val="auto"/>
        </w:rPr>
      </w:pPr>
    </w:p>
    <w:p>
      <w:pPr>
        <w:jc w:val="center"/>
        <w:ind w:right="53"/>
        <w:spacing w:after="0"/>
        <w:rPr>
          <w:sz w:val="20"/>
          <w:szCs w:val="20"/>
          <w:color w:val="auto"/>
        </w:rPr>
      </w:pPr>
      <w:r>
        <w:rPr>
          <w:rFonts w:ascii="Arial" w:cs="Arial" w:eastAsia="Arial" w:hAnsi="Arial"/>
          <w:sz w:val="18"/>
          <w:szCs w:val="18"/>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5862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5" w:lineRule="exact"/>
        <w:rPr>
          <w:sz w:val="20"/>
          <w:szCs w:val="20"/>
          <w:color w:val="auto"/>
        </w:rPr>
      </w:pPr>
    </w:p>
    <w:p>
      <w:pPr>
        <w:ind w:left="387"/>
        <w:spacing w:after="0"/>
        <w:tabs>
          <w:tab w:leader="none" w:pos="1726" w:val="left"/>
        </w:tabs>
        <w:rPr>
          <w:sz w:val="20"/>
          <w:szCs w:val="20"/>
          <w:color w:val="auto"/>
        </w:rPr>
      </w:pPr>
      <w:r>
        <w:rPr>
          <w:rFonts w:ascii="Arial" w:cs="Arial" w:eastAsia="Arial" w:hAnsi="Arial"/>
          <w:sz w:val="18"/>
          <w:szCs w:val="18"/>
          <w:color w:val="auto"/>
        </w:rPr>
        <w:t>2018</w:t>
      </w:r>
      <w:r>
        <w:rPr>
          <w:sz w:val="20"/>
          <w:szCs w:val="20"/>
          <w:color w:val="auto"/>
        </w:rPr>
        <w:tab/>
      </w:r>
      <w:r>
        <w:rPr>
          <w:rFonts w:ascii="Arial" w:cs="Arial" w:eastAsia="Arial" w:hAnsi="Arial"/>
          <w:sz w:val="18"/>
          <w:szCs w:val="18"/>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5862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32" w:lineRule="exact"/>
        <w:rPr>
          <w:sz w:val="20"/>
          <w:szCs w:val="20"/>
          <w:color w:val="auto"/>
        </w:rPr>
      </w:pPr>
    </w:p>
    <w:p>
      <w:pPr>
        <w:ind w:left="567" w:hanging="567"/>
        <w:spacing w:after="0"/>
        <w:tabs>
          <w:tab w:leader="none" w:pos="567" w:val="left"/>
        </w:tabs>
        <w:numPr>
          <w:ilvl w:val="0"/>
          <w:numId w:val="3"/>
        </w:numPr>
        <w:rPr>
          <w:rFonts w:ascii="Arial" w:cs="Arial" w:eastAsia="Arial" w:hAnsi="Arial"/>
          <w:sz w:val="18"/>
          <w:szCs w:val="18"/>
          <w:color w:val="auto"/>
        </w:rPr>
      </w:pPr>
      <w:r>
        <w:rPr>
          <w:rFonts w:ascii="Arial" w:cs="Arial" w:eastAsia="Arial" w:hAnsi="Arial"/>
          <w:sz w:val="18"/>
          <w:szCs w:val="18"/>
          <w:color w:val="auto"/>
        </w:rPr>
        <w:t>336,258   $   (1,866,970)</w:t>
      </w:r>
    </w:p>
    <w:p>
      <w:pPr>
        <w:spacing w:after="0" w:line="225" w:lineRule="exact"/>
        <w:rPr>
          <w:sz w:val="20"/>
          <w:szCs w:val="20"/>
          <w:color w:val="auto"/>
        </w:rPr>
      </w:pPr>
    </w:p>
    <w:p>
      <w:pPr>
        <w:ind w:left="567"/>
        <w:spacing w:after="0"/>
        <w:tabs>
          <w:tab w:leader="none" w:pos="1886" w:val="left"/>
        </w:tabs>
        <w:rPr>
          <w:sz w:val="20"/>
          <w:szCs w:val="20"/>
          <w:color w:val="auto"/>
        </w:rPr>
      </w:pPr>
      <w:r>
        <w:rPr>
          <w:rFonts w:ascii="Arial" w:cs="Arial" w:eastAsia="Arial" w:hAnsi="Arial"/>
          <w:sz w:val="18"/>
          <w:szCs w:val="18"/>
          <w:color w:val="auto"/>
        </w:rPr>
        <w:t>163,418</w:t>
      </w:r>
      <w:r>
        <w:rPr>
          <w:sz w:val="20"/>
          <w:szCs w:val="20"/>
          <w:color w:val="auto"/>
        </w:rPr>
        <w:tab/>
      </w:r>
      <w:r>
        <w:rPr>
          <w:rFonts w:ascii="Arial" w:cs="Arial" w:eastAsia="Arial" w:hAnsi="Arial"/>
          <w:sz w:val="18"/>
          <w:szCs w:val="18"/>
          <w:color w:val="auto"/>
        </w:rPr>
        <w:t>212,918</w:t>
      </w:r>
    </w:p>
    <w:p>
      <w:pPr>
        <w:spacing w:after="0" w:line="23" w:lineRule="exact"/>
        <w:rPr>
          <w:sz w:val="20"/>
          <w:szCs w:val="20"/>
          <w:color w:val="auto"/>
        </w:rPr>
      </w:pPr>
    </w:p>
    <w:p>
      <w:pPr>
        <w:ind w:left="427"/>
        <w:spacing w:after="0"/>
        <w:tabs>
          <w:tab w:leader="none" w:pos="1886" w:val="left"/>
        </w:tabs>
        <w:rPr>
          <w:sz w:val="20"/>
          <w:szCs w:val="20"/>
          <w:color w:val="auto"/>
        </w:rPr>
      </w:pPr>
      <w:r>
        <w:rPr>
          <w:rFonts w:ascii="Arial" w:cs="Arial" w:eastAsia="Arial" w:hAnsi="Arial"/>
          <w:sz w:val="18"/>
          <w:szCs w:val="18"/>
          <w:color w:val="auto"/>
        </w:rPr>
        <w:t>1,721,979</w:t>
      </w:r>
      <w:r>
        <w:rPr>
          <w:sz w:val="20"/>
          <w:szCs w:val="20"/>
          <w:color w:val="auto"/>
        </w:rPr>
        <w:tab/>
      </w:r>
      <w:r>
        <w:rPr>
          <w:rFonts w:ascii="Arial" w:cs="Arial" w:eastAsia="Arial" w:hAnsi="Arial"/>
          <w:sz w:val="18"/>
          <w:szCs w:val="18"/>
          <w:color w:val="auto"/>
        </w:rPr>
        <w:t>497,033</w:t>
      </w:r>
    </w:p>
    <w:p>
      <w:pPr>
        <w:spacing w:after="0" w:line="211" w:lineRule="exact"/>
        <w:rPr>
          <w:sz w:val="20"/>
          <w:szCs w:val="20"/>
          <w:color w:val="auto"/>
        </w:rPr>
      </w:pPr>
    </w:p>
    <w:p>
      <w:pPr>
        <w:ind w:left="367"/>
        <w:spacing w:after="0"/>
        <w:tabs>
          <w:tab w:leader="none" w:pos="1886" w:val="left"/>
        </w:tabs>
        <w:rPr>
          <w:sz w:val="20"/>
          <w:szCs w:val="20"/>
          <w:color w:val="auto"/>
        </w:rPr>
      </w:pPr>
      <w:r>
        <w:rPr>
          <w:rFonts w:ascii="Arial" w:cs="Arial" w:eastAsia="Arial" w:hAnsi="Arial"/>
          <w:sz w:val="18"/>
          <w:szCs w:val="18"/>
          <w:color w:val="auto"/>
        </w:rPr>
        <w:t>(1,734,128)</w:t>
      </w:r>
      <w:r>
        <w:rPr>
          <w:sz w:val="20"/>
          <w:szCs w:val="20"/>
          <w:color w:val="auto"/>
        </w:rPr>
        <w:tab/>
      </w:r>
      <w:r>
        <w:rPr>
          <w:rFonts w:ascii="Arial" w:cs="Arial" w:eastAsia="Arial" w:hAnsi="Arial"/>
          <w:sz w:val="18"/>
          <w:szCs w:val="18"/>
          <w:color w:val="auto"/>
        </w:rPr>
        <w:t>355,644</w:t>
      </w:r>
    </w:p>
    <w:p>
      <w:pPr>
        <w:spacing w:after="0" w:line="23" w:lineRule="exact"/>
        <w:rPr>
          <w:sz w:val="20"/>
          <w:szCs w:val="20"/>
          <w:color w:val="auto"/>
        </w:rPr>
      </w:pPr>
    </w:p>
    <w:p>
      <w:pPr>
        <w:jc w:val="both"/>
        <w:ind w:left="647"/>
        <w:spacing w:after="0"/>
        <w:tabs>
          <w:tab w:leader="none" w:pos="1826" w:val="left"/>
        </w:tabs>
        <w:rPr>
          <w:sz w:val="20"/>
          <w:szCs w:val="20"/>
          <w:color w:val="auto"/>
        </w:rPr>
      </w:pPr>
      <w:r>
        <w:rPr>
          <w:rFonts w:ascii="Arial" w:cs="Arial" w:eastAsia="Arial" w:hAnsi="Arial"/>
          <w:sz w:val="18"/>
          <w:szCs w:val="18"/>
          <w:color w:val="auto"/>
        </w:rPr>
        <w:t>54,108</w:t>
      </w:r>
      <w:r>
        <w:rPr>
          <w:sz w:val="20"/>
          <w:szCs w:val="20"/>
          <w:color w:val="auto"/>
        </w:rPr>
        <w:tab/>
      </w:r>
      <w:r>
        <w:rPr>
          <w:rFonts w:ascii="Arial" w:cs="Arial" w:eastAsia="Arial" w:hAnsi="Arial"/>
          <w:sz w:val="18"/>
          <w:szCs w:val="18"/>
          <w:color w:val="auto"/>
        </w:rPr>
        <w:t>(454,486)</w:t>
      </w:r>
    </w:p>
    <w:p>
      <w:pPr>
        <w:spacing w:after="0" w:line="9" w:lineRule="exact"/>
        <w:rPr>
          <w:sz w:val="20"/>
          <w:szCs w:val="20"/>
          <w:color w:val="auto"/>
        </w:rPr>
      </w:pPr>
    </w:p>
    <w:p>
      <w:pPr>
        <w:ind w:left="507"/>
        <w:spacing w:after="0"/>
        <w:tabs>
          <w:tab w:leader="none" w:pos="1986" w:val="left"/>
        </w:tabs>
        <w:rPr>
          <w:sz w:val="20"/>
          <w:szCs w:val="20"/>
          <w:color w:val="auto"/>
        </w:rPr>
      </w:pPr>
      <w:r>
        <w:rPr>
          <w:rFonts w:ascii="Arial" w:cs="Arial" w:eastAsia="Arial" w:hAnsi="Arial"/>
          <w:sz w:val="18"/>
          <w:szCs w:val="18"/>
          <w:color w:val="auto"/>
        </w:rPr>
        <w:t>(291,831)</w:t>
      </w:r>
      <w:r>
        <w:rPr>
          <w:sz w:val="20"/>
          <w:szCs w:val="20"/>
          <w:color w:val="auto"/>
        </w:rPr>
        <w:tab/>
      </w:r>
      <w:r>
        <w:rPr>
          <w:rFonts w:ascii="Arial" w:cs="Arial" w:eastAsia="Arial" w:hAnsi="Arial"/>
          <w:sz w:val="18"/>
          <w:szCs w:val="18"/>
          <w:color w:val="auto"/>
        </w:rPr>
        <w:t>26,544</w:t>
      </w:r>
    </w:p>
    <w:p>
      <w:pPr>
        <w:spacing w:after="0" w:line="9" w:lineRule="exact"/>
        <w:rPr>
          <w:sz w:val="20"/>
          <w:szCs w:val="20"/>
          <w:color w:val="auto"/>
        </w:rPr>
      </w:pPr>
    </w:p>
    <w:p>
      <w:pPr>
        <w:jc w:val="both"/>
        <w:ind w:left="507"/>
        <w:spacing w:after="0"/>
        <w:tabs>
          <w:tab w:leader="none" w:pos="1826" w:val="left"/>
        </w:tabs>
        <w:rPr>
          <w:sz w:val="20"/>
          <w:szCs w:val="20"/>
          <w:color w:val="auto"/>
        </w:rPr>
      </w:pPr>
      <w:r>
        <w:rPr>
          <w:rFonts w:ascii="Arial" w:cs="Arial" w:eastAsia="Arial" w:hAnsi="Arial"/>
          <w:sz w:val="18"/>
          <w:szCs w:val="18"/>
          <w:color w:val="auto"/>
        </w:rPr>
        <w:t>(414,722)</w:t>
      </w:r>
      <w:r>
        <w:rPr>
          <w:sz w:val="20"/>
          <w:szCs w:val="20"/>
          <w:color w:val="auto"/>
        </w:rPr>
        <w:tab/>
      </w:r>
      <w:r>
        <w:rPr>
          <w:rFonts w:ascii="Arial" w:cs="Arial" w:eastAsia="Arial" w:hAnsi="Arial"/>
          <w:sz w:val="18"/>
          <w:szCs w:val="18"/>
          <w:color w:val="auto"/>
        </w:rPr>
        <w:t>(744,526)</w:t>
      </w:r>
    </w:p>
    <w:p>
      <w:pPr>
        <w:spacing w:after="0" w:line="9" w:lineRule="exact"/>
        <w:rPr>
          <w:sz w:val="20"/>
          <w:szCs w:val="20"/>
          <w:color w:val="auto"/>
        </w:rPr>
      </w:pPr>
    </w:p>
    <w:p>
      <w:pPr>
        <w:ind w:left="507"/>
        <w:spacing w:after="0"/>
        <w:tabs>
          <w:tab w:leader="none" w:pos="1886" w:val="left"/>
        </w:tabs>
        <w:rPr>
          <w:sz w:val="20"/>
          <w:szCs w:val="20"/>
          <w:color w:val="auto"/>
        </w:rPr>
      </w:pPr>
      <w:r>
        <w:rPr>
          <w:rFonts w:ascii="Arial" w:cs="Arial" w:eastAsia="Arial" w:hAnsi="Arial"/>
          <w:sz w:val="18"/>
          <w:szCs w:val="18"/>
          <w:color w:val="auto"/>
        </w:rPr>
        <w:t>(139,417)</w:t>
      </w:r>
      <w:r>
        <w:rPr>
          <w:sz w:val="20"/>
          <w:szCs w:val="20"/>
          <w:color w:val="auto"/>
        </w:rPr>
        <w:tab/>
      </w:r>
      <w:r>
        <w:rPr>
          <w:rFonts w:ascii="Arial" w:cs="Arial" w:eastAsia="Arial" w:hAnsi="Arial"/>
          <w:sz w:val="18"/>
          <w:szCs w:val="18"/>
          <w:color w:val="auto"/>
        </w:rPr>
        <w:t>146,291</w:t>
      </w:r>
    </w:p>
    <w:p>
      <w:pPr>
        <w:spacing w:after="0" w:line="9" w:lineRule="exact"/>
        <w:rPr>
          <w:sz w:val="20"/>
          <w:szCs w:val="20"/>
          <w:color w:val="auto"/>
        </w:rPr>
      </w:pPr>
    </w:p>
    <w:p>
      <w:pPr>
        <w:ind w:left="567"/>
        <w:spacing w:after="0"/>
        <w:tabs>
          <w:tab w:leader="none" w:pos="1906" w:val="left"/>
        </w:tabs>
        <w:rPr>
          <w:sz w:val="20"/>
          <w:szCs w:val="20"/>
          <w:color w:val="auto"/>
        </w:rPr>
      </w:pPr>
      <w:r>
        <w:rPr>
          <w:rFonts w:ascii="Arial" w:cs="Arial" w:eastAsia="Arial" w:hAnsi="Arial"/>
          <w:sz w:val="17"/>
          <w:szCs w:val="17"/>
          <w:color w:val="auto"/>
        </w:rPr>
        <w:t>164,129</w:t>
      </w:r>
      <w:r>
        <w:rPr>
          <w:sz w:val="20"/>
          <w:szCs w:val="20"/>
          <w:color w:val="auto"/>
        </w:rPr>
        <w:tab/>
      </w:r>
      <w:r>
        <w:rPr>
          <w:rFonts w:ascii="Arial" w:cs="Arial" w:eastAsia="Arial" w:hAnsi="Arial"/>
          <w:sz w:val="17"/>
          <w:szCs w:val="17"/>
          <w:color w:val="auto"/>
        </w:rPr>
        <w:t>342,511</w:t>
      </w:r>
    </w:p>
    <w:p>
      <w:pPr>
        <w:spacing w:after="0" w:line="34" w:lineRule="exact"/>
        <w:rPr>
          <w:sz w:val="20"/>
          <w:szCs w:val="20"/>
          <w:color w:val="auto"/>
        </w:rPr>
      </w:pPr>
    </w:p>
    <w:p>
      <w:pPr>
        <w:jc w:val="right"/>
        <w:spacing w:after="0"/>
        <w:tabs>
          <w:tab w:leader="none" w:pos="820" w:val="left"/>
        </w:tabs>
        <w:rPr>
          <w:sz w:val="20"/>
          <w:szCs w:val="20"/>
          <w:color w:val="auto"/>
        </w:rPr>
      </w:pPr>
      <w:r>
        <w:rPr>
          <w:rFonts w:ascii="Arial" w:cs="Arial" w:eastAsia="Arial" w:hAnsi="Arial"/>
          <w:sz w:val="18"/>
          <w:szCs w:val="18"/>
          <w:color w:val="auto"/>
        </w:rPr>
        <w:t>(140,206)</w:t>
      </w:r>
      <w:r>
        <w:rPr>
          <w:sz w:val="20"/>
          <w:szCs w:val="20"/>
          <w:color w:val="auto"/>
        </w:rPr>
        <w:tab/>
      </w:r>
      <w:r>
        <w:rPr>
          <w:rFonts w:ascii="Arial" w:cs="Arial" w:eastAsia="Arial" w:hAnsi="Arial"/>
          <w:sz w:val="16"/>
          <w:szCs w:val="16"/>
          <w:color w:val="auto"/>
        </w:rPr>
        <w:t>(1,485,041)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15862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8623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-130810</wp:posOffset>
            </wp:positionV>
            <wp:extent cx="15862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both"/>
        <w:ind w:left="587"/>
        <w:spacing w:after="0"/>
        <w:tabs>
          <w:tab w:leader="none" w:pos="1926" w:val="left"/>
        </w:tabs>
        <w:rPr>
          <w:sz w:val="20"/>
          <w:szCs w:val="20"/>
          <w:color w:val="auto"/>
        </w:rPr>
      </w:pPr>
      <w:r>
        <w:rPr>
          <w:rFonts w:ascii="Arial" w:cs="Arial" w:eastAsia="Arial" w:hAnsi="Arial"/>
          <w:sz w:val="18"/>
          <w:szCs w:val="18"/>
          <w:color w:val="auto"/>
        </w:rPr>
        <w:t>(23,131)</w:t>
      </w:r>
      <w:r>
        <w:rPr>
          <w:sz w:val="20"/>
          <w:szCs w:val="20"/>
          <w:color w:val="auto"/>
        </w:rPr>
        <w:tab/>
      </w:r>
      <w:r>
        <w:rPr>
          <w:rFonts w:ascii="Arial" w:cs="Arial" w:eastAsia="Arial" w:hAnsi="Arial"/>
          <w:sz w:val="18"/>
          <w:szCs w:val="18"/>
          <w:color w:val="auto"/>
        </w:rPr>
        <w:t>(29,310)</w:t>
      </w:r>
    </w:p>
    <w:p>
      <w:pPr>
        <w:spacing w:after="0" w:line="23" w:lineRule="exact"/>
        <w:rPr>
          <w:sz w:val="20"/>
          <w:szCs w:val="20"/>
          <w:color w:val="auto"/>
        </w:rPr>
      </w:pPr>
    </w:p>
    <w:p>
      <w:pPr>
        <w:jc w:val="right"/>
        <w:spacing w:after="0"/>
        <w:tabs>
          <w:tab w:leader="none" w:pos="680" w:val="left"/>
        </w:tabs>
        <w:rPr>
          <w:sz w:val="20"/>
          <w:szCs w:val="20"/>
          <w:color w:val="auto"/>
        </w:rPr>
      </w:pPr>
      <w:r>
        <w:rPr>
          <w:rFonts w:ascii="Arial" w:cs="Arial" w:eastAsia="Arial" w:hAnsi="Arial"/>
          <w:sz w:val="18"/>
          <w:szCs w:val="18"/>
          <w:color w:val="auto"/>
        </w:rPr>
        <w:t>(56,651)</w:t>
      </w:r>
      <w:r>
        <w:rPr>
          <w:sz w:val="20"/>
          <w:szCs w:val="20"/>
          <w:color w:val="auto"/>
        </w:rPr>
        <w:tab/>
      </w:r>
      <w:r>
        <w:rPr>
          <w:rFonts w:ascii="Arial" w:cs="Arial" w:eastAsia="Arial" w:hAnsi="Arial"/>
          <w:sz w:val="16"/>
          <w:szCs w:val="16"/>
          <w:color w:val="auto"/>
        </w:rPr>
        <w:t>(117,168)</w:t>
      </w:r>
    </w:p>
    <w:p>
      <w:pPr>
        <w:spacing w:after="0" w:line="23" w:lineRule="exact"/>
        <w:rPr>
          <w:sz w:val="20"/>
          <w:szCs w:val="20"/>
          <w:color w:val="auto"/>
        </w:rPr>
      </w:pPr>
    </w:p>
    <w:p>
      <w:pPr>
        <w:jc w:val="right"/>
        <w:spacing w:after="0"/>
        <w:tabs>
          <w:tab w:leader="none" w:pos="700" w:val="left"/>
        </w:tabs>
        <w:rPr>
          <w:sz w:val="20"/>
          <w:szCs w:val="20"/>
          <w:color w:val="auto"/>
        </w:rPr>
      </w:pPr>
      <w:r>
        <w:rPr>
          <w:rFonts w:ascii="Arial" w:cs="Arial" w:eastAsia="Arial" w:hAnsi="Arial"/>
          <w:sz w:val="18"/>
          <w:szCs w:val="18"/>
          <w:color w:val="auto"/>
        </w:rPr>
        <w:t>(79,782)</w:t>
      </w:r>
      <w:r>
        <w:rPr>
          <w:sz w:val="20"/>
          <w:szCs w:val="20"/>
          <w:color w:val="auto"/>
        </w:rPr>
        <w:tab/>
      </w:r>
      <w:r>
        <w:rPr>
          <w:rFonts w:ascii="Arial" w:cs="Arial" w:eastAsia="Arial" w:hAnsi="Arial"/>
          <w:sz w:val="16"/>
          <w:szCs w:val="16"/>
          <w:color w:val="auto"/>
        </w:rPr>
        <w:t>(146,478)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15862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8623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-130810</wp:posOffset>
            </wp:positionV>
            <wp:extent cx="15862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27"/>
        <w:spacing w:after="0"/>
        <w:tabs>
          <w:tab w:leader="none" w:pos="2426" w:val="left"/>
        </w:tabs>
        <w:rPr>
          <w:sz w:val="20"/>
          <w:szCs w:val="20"/>
          <w:color w:val="auto"/>
        </w:rPr>
      </w:pPr>
      <w:r>
        <w:rPr>
          <w:rFonts w:ascii="Arial" w:cs="Arial" w:eastAsia="Arial" w:hAnsi="Arial"/>
          <w:sz w:val="18"/>
          <w:szCs w:val="18"/>
          <w:color w:val="auto"/>
        </w:rPr>
        <w:t>8,620,417</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1847" w:hanging="759"/>
        <w:spacing w:after="0"/>
        <w:tabs>
          <w:tab w:leader="none" w:pos="1847" w:val="left"/>
        </w:tabs>
        <w:numPr>
          <w:ilvl w:val="0"/>
          <w:numId w:val="4"/>
        </w:numPr>
        <w:rPr>
          <w:rFonts w:ascii="Arial" w:cs="Arial" w:eastAsia="Arial" w:hAnsi="Arial"/>
          <w:sz w:val="16"/>
          <w:szCs w:val="16"/>
          <w:color w:val="auto"/>
        </w:rPr>
      </w:pPr>
      <w:r>
        <w:rPr>
          <w:rFonts w:ascii="Arial" w:cs="Arial" w:eastAsia="Arial" w:hAnsi="Arial"/>
          <w:sz w:val="16"/>
          <w:szCs w:val="16"/>
          <w:color w:val="auto"/>
        </w:rPr>
        <w:t>(390,000)</w:t>
      </w:r>
    </w:p>
    <w:p>
      <w:pPr>
        <w:spacing w:after="0" w:line="45" w:lineRule="exact"/>
        <w:rPr>
          <w:rFonts w:ascii="Arial" w:cs="Arial" w:eastAsia="Arial" w:hAnsi="Arial"/>
          <w:sz w:val="16"/>
          <w:szCs w:val="16"/>
          <w:color w:val="auto"/>
        </w:rPr>
      </w:pPr>
    </w:p>
    <w:p>
      <w:pPr>
        <w:ind w:left="427"/>
        <w:spacing w:after="0"/>
        <w:rPr>
          <w:rFonts w:ascii="Arial" w:cs="Arial" w:eastAsia="Arial" w:hAnsi="Arial"/>
          <w:sz w:val="16"/>
          <w:szCs w:val="16"/>
          <w:color w:val="auto"/>
        </w:rPr>
      </w:pPr>
      <w:r>
        <w:rPr>
          <w:rFonts w:ascii="Arial" w:cs="Arial" w:eastAsia="Arial" w:hAnsi="Arial"/>
          <w:sz w:val="18"/>
          <w:szCs w:val="18"/>
          <w:color w:val="auto"/>
        </w:rPr>
        <w:t>8,620,417</w:t>
      </w:r>
      <w:r>
        <w:rPr>
          <w:rFonts w:ascii="Arial" w:cs="Arial" w:eastAsia="Arial" w:hAnsi="Arial"/>
          <w:sz w:val="16"/>
          <w:szCs w:val="16"/>
          <w:color w:val="auto"/>
        </w:rPr>
        <w:t>(390,000)</w:t>
      </w:r>
    </w:p>
    <w:p>
      <w:pPr>
        <w:spacing w:after="0" w:line="48" w:lineRule="exact"/>
        <w:rPr>
          <w:rFonts w:ascii="Arial" w:cs="Arial" w:eastAsia="Arial" w:hAnsi="Arial"/>
          <w:sz w:val="16"/>
          <w:szCs w:val="16"/>
          <w:color w:val="auto"/>
        </w:rPr>
      </w:pPr>
    </w:p>
    <w:p>
      <w:pPr>
        <w:ind w:left="427"/>
        <w:spacing w:after="0"/>
        <w:rPr>
          <w:rFonts w:ascii="Arial" w:cs="Arial" w:eastAsia="Arial" w:hAnsi="Arial"/>
          <w:sz w:val="16"/>
          <w:szCs w:val="16"/>
          <w:color w:val="auto"/>
        </w:rPr>
      </w:pPr>
      <w:r>
        <w:rPr>
          <w:rFonts w:ascii="Arial" w:cs="Arial" w:eastAsia="Arial" w:hAnsi="Arial"/>
          <w:sz w:val="18"/>
          <w:szCs w:val="18"/>
          <w:color w:val="auto"/>
        </w:rPr>
        <w:t>8,400,429</w:t>
      </w:r>
      <w:r>
        <w:rPr>
          <w:rFonts w:ascii="Arial" w:cs="Arial" w:eastAsia="Arial" w:hAnsi="Arial"/>
          <w:sz w:val="16"/>
          <w:szCs w:val="16"/>
          <w:color w:val="auto"/>
        </w:rPr>
        <w:t>(2,021,519)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158623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8623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-293370</wp:posOffset>
            </wp:positionV>
            <wp:extent cx="158623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3" w:lineRule="exact"/>
        <w:rPr>
          <w:sz w:val="20"/>
          <w:szCs w:val="20"/>
          <w:color w:val="auto"/>
        </w:rPr>
      </w:pPr>
    </w:p>
    <w:p>
      <w:pPr>
        <w:ind w:left="427"/>
        <w:spacing w:after="0"/>
        <w:tabs>
          <w:tab w:leader="none" w:pos="1766" w:val="left"/>
        </w:tabs>
        <w:rPr>
          <w:sz w:val="20"/>
          <w:szCs w:val="20"/>
          <w:color w:val="auto"/>
        </w:rPr>
      </w:pPr>
      <w:r>
        <w:rPr>
          <w:rFonts w:ascii="Arial" w:cs="Arial" w:eastAsia="Arial" w:hAnsi="Arial"/>
          <w:sz w:val="17"/>
          <w:szCs w:val="17"/>
          <w:color w:val="auto"/>
        </w:rPr>
        <w:t>5,122,573</w:t>
      </w:r>
      <w:r>
        <w:rPr>
          <w:sz w:val="20"/>
          <w:szCs w:val="20"/>
          <w:color w:val="auto"/>
        </w:rPr>
        <w:tab/>
      </w:r>
      <w:r>
        <w:rPr>
          <w:rFonts w:ascii="Arial" w:cs="Arial" w:eastAsia="Arial" w:hAnsi="Arial"/>
          <w:sz w:val="17"/>
          <w:szCs w:val="17"/>
          <w:color w:val="auto"/>
        </w:rPr>
        <w:t>7,034,647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158623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54" w:lineRule="exact"/>
        <w:rPr>
          <w:sz w:val="20"/>
          <w:szCs w:val="20"/>
          <w:color w:val="auto"/>
        </w:rPr>
      </w:pPr>
    </w:p>
    <w:p>
      <w:pPr>
        <w:ind w:left="7"/>
        <w:spacing w:after="0"/>
        <w:tabs>
          <w:tab w:leader="none" w:pos="326" w:val="left"/>
          <w:tab w:leader="none" w:pos="1346" w:val="left"/>
          <w:tab w:leader="none" w:pos="1766"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13,523,002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5,013,128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866140</wp:posOffset>
            </wp:positionH>
            <wp:positionV relativeFrom="paragraph">
              <wp:posOffset>14605</wp:posOffset>
            </wp:positionV>
            <wp:extent cx="7200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9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40640</wp:posOffset>
            </wp:positionV>
            <wp:extent cx="158623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237"/>
        </w:trPr>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5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tcBorders>
            <w:gridSpan w:val="2"/>
          </w:tcPr>
          <w:p>
            <w:pPr>
              <w:spacing w:after="0" w:line="20" w:lineRule="exact"/>
              <w:rPr>
                <w:sz w:val="1"/>
                <w:szCs w:val="1"/>
                <w:color w:val="auto"/>
              </w:rPr>
            </w:pPr>
          </w:p>
        </w:tc>
        <w:tc>
          <w:tcPr>
            <w:tcW w:w="580" w:type="dxa"/>
            <w:vAlign w:val="bottom"/>
            <w:tcBorders>
              <w:top w:val="single" w:sz="8" w:color="auto"/>
            </w:tcBorders>
            <w:gridSpan w:val="2"/>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r>
      <w:tr>
        <w:trPr>
          <w:trHeight w:val="21"/>
        </w:trPr>
        <w:tc>
          <w:tcPr>
            <w:tcW w:w="3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447,000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93" w:space="720"/>
            <w:col w:w="2567"/>
          </w:cols>
          <w:pgMar w:left="240" w:top="904" w:right="27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 AND BASIS OF PRESENTATION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 leading digital health messaging platform via electronic health records (EHRs), providing a direct channel for pharmaceutical companies to communicate with healthcare providers. Our cloud-based solution supports patient adherence to medications by providing real-time access to financial assistance, prior authorization, education and critical clinical information. Our network is comprised of leading EHR platforms and provides more than half of the ambulatory healthcare providers access to these benefits within their workflow at the point of care.</w:t>
      </w:r>
    </w:p>
    <w:p>
      <w:pPr>
        <w:spacing w:after="0" w:line="18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consolidated financial statements for the three and nine months ended September 30, 2018 and 2017, have been prepared by us without audit pursuant to the rules and regulations of the Securities and Exchange Commission (“SEC”). In the opinion of management, all adjustments necessary to present fairly our financial position, results of operations, and cash flows as of September 30, 2018 and 2017, and for the periods then ended, have been made. Those adjustments consist of normal and recurring adjustments. The consolidated balance sheet as of December 31, 2017, has been derived from the audited consolidated balance sheet as of that date. Certain items in the 2017 financial statements have been reclassified to conform with the 2018 presentation.</w:t>
      </w:r>
    </w:p>
    <w:p>
      <w:pPr>
        <w:spacing w:after="0" w:line="158"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Certain information and note disclosures normally included in our annual financial statements prepared in accordance with generally accepted accounting principles have been condensed or omitted. These consolidated financial statements should be read in conjunction with a reading of the financial statements and notes thereto included in our Annual Report on Form 10-K for the fiscal year ended December 31, 2017, as filed with the SEC.</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results of operations for the three and nine months ended September 30, 2018, are not necessarily indicative of the results to be expected for the full year. Certain reclassifications have been made in our consolidated financial statements for the prior periods to conform to the presentation of our consolidated financial statements for the current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2 – NEW FINANCIAL ACCOUNTING STANDARDS</w:t>
      </w:r>
    </w:p>
    <w:p>
      <w:pPr>
        <w:spacing w:after="0" w:line="22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 xml:space="preserve">On January 1, 2018, we adopted the new accounting standard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and all of the related amendments (“new revenue standard”). We recorded the change, which was immaterial, related to adopting the new revenue standard using the modified retrospective method. Under this method, we recognized the cumulative effect of initially applying the new revenue standard as an adjustment to the opening balance of retained earnings. This results in no restatement of prior periods, which continue to be reported under the accounting standards in effect for those periods. We expect the impact of the adoption of the new revenue standard to continue to be immaterial on an ongoing basis.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applied the new revenue standard to all contracts as of the date of initial application. The overwhelming majority of our revenue continues to be recognized when transactions occur, such as the delivery of a message. We previously recognized revenue related to set-ups when a program launched, and all related activities had been accomplished. Under the new revenue standard, we are recognizing revenue related to these set ups over the term of the initial contract. Since set up fees are generally small relative to the size of the overall contract and because most contracts are for a year or less, the impact of this change is immaterial.</w:t>
      </w:r>
    </w:p>
    <w:p>
      <w:pPr>
        <w:spacing w:after="0" w:line="188"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The impact of recording this change as of January 1, 2018 resulted in an increase in deferred revenue of $142,027 at that date and a corresponding decrease in retained earnings as well. The impact of adopting the new revenue standard in 2018 resulted in lower revenues in the nine months ended September 30, 2018. Had the new revenue standard not taken effect, our revenues for the period would have been higher by $151,514 and deferred revenues lower by $151,514.</w:t>
      </w:r>
    </w:p>
    <w:p>
      <w:pPr>
        <w:ind w:right="40"/>
        <w:spacing w:after="0" w:line="302" w:lineRule="auto"/>
        <w:rPr>
          <w:sz w:val="20"/>
          <w:szCs w:val="20"/>
          <w:color w:val="auto"/>
        </w:rPr>
      </w:pPr>
      <w:r>
        <w:rPr>
          <w:rFonts w:ascii="Arial" w:cs="Arial" w:eastAsia="Arial" w:hAnsi="Arial"/>
          <w:sz w:val="16"/>
          <w:szCs w:val="16"/>
          <w:color w:val="auto"/>
        </w:rPr>
        <w:t>Almost all of these revenues are expected to be recognized by December 31, 2018, so the primary effect of the new revenue standard is to shift revenues between quarters by immaterial amounts. The impact of adopting the new revenue standard in 2018 also resulted in lower revenues in the three months ended September 30, 2018. Had the new revenue standard not taken effect, our revenues for the period would have been higher by $7,252.</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3 – STOCKHOLDERS’ EQUITY</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Effective May 14, 2018, in connection with our listing on the Nasdaq Capital Market, we implemented a reverse split of our common stock by exchanging each three shares of our common stock for one share. Our financial statements and all equity transactions have been retroactively adjusted to account for the reverse stock split. We elected to round fractional shares up to the nearest whole number rather than redeem them for cash, and as a result we issued 908 additional shares as a result of this rounding.</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Director Compensation Plan calls for issuance of 2,084 shares of common stock per quarter to each independent director. In 2018, we issued 6,252 shares valued at $28,875, 8,336 shares valued at $89,945, and 11,489 shares valued at $206,802 for the quarters ended March 31, June 30 and September 30, respectively. In 2017, we issued 6,252 shares in each of the quarters ended March 31, June 30 and September 30 valued at $15,375, $19,312, and $23,250, respectively.</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the quarter ended March 31, 2018, we issued 100,000 shares of common stock to a subsidiary of WPP, one of the world’s largest media companies, and a shareholder, in full payment of all amounts due under a co-marketing agreement that covered certain WPP agencies, whereby we shared a portion of our revenue with those agencies related to new programs through those agencies. The shares were valued at $447,000, the market value of the stock on the date of issuance. The amount due was recorded as a liability in revenue share payable at December 31, 2017.</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quarter ended June 30, 2018, in a private transaction, we issued 1,666,669 shares of our common stock for gross proceeds of $9,000,000. In connection with this transaction, we incurred equity issuance costs of $835,526 related to payments to advisors and legal fees associated with the transaction, resulting in net proceeds to the Company of $8,164,474.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also issued 143,405 shares of common stock and received proceeds of $455,942 in connection with the exercise of options in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September 30, 2018, we issued 10,000 shares of stock, valued at $148,050, for investor relations services.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quarter ended September 30, 2018, we issued 251,046 shares of common stock in connection with the cashless exercise of a warrant to purchase 348,194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4 – SHARE BASED PAYMENTS – OPTIONS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use the fair value method to account for stock-based compensation. We recorded $1,248,307 and $439,095 in compensation expense in the nine months ended September 30, 2018 and 2017, respectively, related to options issued under our stock-based incentive compensation plan. This includes expense related to options issued in prior years for which the requisite service period for those options includes the current year, options granted in the current year and options repriced in the current year. The assumptions used in this model were similar to the assumptions set forth in our Annual Report on Form 10-K for the fiscal year ended December 31, 2017 related to grants in 2017. As also discussed in the 10-K, we increased the shares of common stock authorized under our stock option plan during 2018 to 1,833,333 million shares. There is $879,250 of remaining expense related to unvested options to be recognized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NOTE 5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involved in any legal proceedings.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6 – RELATED PARTY TRANSACTIONS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WPP, a large international media conglomerate, owns approximately 18% of our common shares. As described in more detail in Note 3, Stockholders’ Equity, we issued 100,000 shares of our common stock to a subsidiary of WPP related to the finalization and termination of a co-marketing agreement.</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customers are primarily pharmaceutical companies; however, sometimes their messaging programs are billed through media agencies. Revenues earned on messaging programs billed through media agencies owned by WPP are reflected as related party revenues on the income statement and amounts due from those same agencies are reflected as related party accounts receivable on the balance sheet since WPP, through a subsidiary company, owns a minority portion of our common shares, even though the party receiving the ultimate services is not a related party.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7 – NET INCOME (LOSS)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sets forth the computation of basic and diluted net income per share.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64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8"/>
                <w:szCs w:val="18"/>
                <w:color w:val="auto"/>
              </w:rPr>
            </w:pPr>
          </w:p>
        </w:tc>
        <w:tc>
          <w:tcPr>
            <w:tcW w:w="2340" w:type="dxa"/>
            <w:vAlign w:val="bottom"/>
            <w:gridSpan w:val="8"/>
          </w:tcPr>
          <w:p>
            <w:pPr>
              <w:jc w:val="right"/>
              <w:ind w:right="58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5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color w:val="auto"/>
              </w:rPr>
              <w:t>Sept 30</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color w:val="auto"/>
              </w:rPr>
              <w:t>Sept 30</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Numerator</w:t>
            </w:r>
          </w:p>
        </w:tc>
        <w:tc>
          <w:tcPr>
            <w:tcW w:w="420" w:type="dxa"/>
            <w:vAlign w:val="bottom"/>
            <w:gridSpan w:val="2"/>
            <w:vMerge w:val="restart"/>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244,928</w:t>
            </w:r>
          </w:p>
        </w:tc>
        <w:tc>
          <w:tcPr>
            <w:tcW w:w="380" w:type="dxa"/>
            <w:vAlign w:val="bottom"/>
            <w:gridSpan w:val="2"/>
            <w:vMerge w:val="restart"/>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(622,786)</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336,258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w w:val="97"/>
              </w:rPr>
              <w:t>(1,866,970)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420" w:type="dxa"/>
            <w:vAlign w:val="bottom"/>
            <w:gridSpan w:val="2"/>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88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2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8"/>
        </w:trPr>
        <w:tc>
          <w:tcPr>
            <w:tcW w:w="58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w w:val="92"/>
              </w:rPr>
              <w:t>Weighted average shares  outstanding used in computing net income (loss) per</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180"/>
              <w:spacing w:after="0"/>
              <w:rPr>
                <w:sz w:val="20"/>
                <w:szCs w:val="20"/>
                <w:color w:val="auto"/>
              </w:rPr>
            </w:pPr>
            <w:r>
              <w:rPr>
                <w:rFonts w:ascii="Arial" w:cs="Arial" w:eastAsia="Arial" w:hAnsi="Arial"/>
                <w:sz w:val="18"/>
                <w:szCs w:val="18"/>
                <w:color w:val="auto"/>
              </w:rPr>
              <w:t>share</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11,755,500</w:t>
            </w:r>
          </w:p>
        </w:tc>
        <w:tc>
          <w:tcPr>
            <w:tcW w:w="120" w:type="dxa"/>
            <w:vAlign w:val="bottom"/>
            <w:vMerge w:val="restart"/>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9,752,122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9"/>
              </w:rPr>
              <w:t>10,840,584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9,839,325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880" w:type="dxa"/>
            <w:vAlign w:val="bottom"/>
            <w:vMerge w:val="restart"/>
          </w:tcPr>
          <w:p>
            <w:pPr>
              <w:ind w:left="180"/>
              <w:spacing w:after="0"/>
              <w:rPr>
                <w:sz w:val="20"/>
                <w:szCs w:val="20"/>
                <w:color w:val="auto"/>
              </w:rPr>
            </w:pPr>
            <w:r>
              <w:rPr>
                <w:rFonts w:ascii="Arial" w:cs="Arial" w:eastAsia="Arial" w:hAnsi="Arial"/>
                <w:sz w:val="18"/>
                <w:szCs w:val="18"/>
                <w:color w:val="auto"/>
              </w:rPr>
              <w:t>Effect of dilutive stock options, warrants, and stock grants</w:t>
            </w:r>
          </w:p>
        </w:tc>
        <w:tc>
          <w:tcPr>
            <w:tcW w:w="2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40" w:type="dxa"/>
            <w:vAlign w:val="bottom"/>
            <w:tcBorders>
              <w:top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8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1,166,268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936,170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12,921,768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9,752,122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11,766,754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9,839,325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880" w:type="dxa"/>
            <w:vAlign w:val="bottom"/>
            <w:vMerge w:val="restart"/>
          </w:tcPr>
          <w:p>
            <w:pPr>
              <w:spacing w:after="0"/>
              <w:rPr>
                <w:sz w:val="20"/>
                <w:szCs w:val="20"/>
                <w:color w:val="auto"/>
              </w:rPr>
            </w:pPr>
            <w:r>
              <w:rPr>
                <w:rFonts w:ascii="Arial" w:cs="Arial" w:eastAsia="Arial" w:hAnsi="Arial"/>
                <w:sz w:val="18"/>
                <w:szCs w:val="18"/>
                <w:color w:val="auto"/>
              </w:rPr>
              <w:t>Net Income (Loss) per share</w:t>
            </w:r>
          </w:p>
        </w:tc>
        <w:tc>
          <w:tcPr>
            <w:tcW w:w="2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2"/>
        </w:trPr>
        <w:tc>
          <w:tcPr>
            <w:tcW w:w="5880" w:type="dxa"/>
            <w:vAlign w:val="bottom"/>
            <w:vMerge w:val="continue"/>
          </w:tcPr>
          <w:p>
            <w:pPr>
              <w:spacing w:after="0"/>
              <w:rPr>
                <w:sz w:val="24"/>
                <w:szCs w:val="24"/>
                <w:color w:val="auto"/>
              </w:rPr>
            </w:pPr>
          </w:p>
        </w:tc>
        <w:tc>
          <w:tcPr>
            <w:tcW w:w="420" w:type="dxa"/>
            <w:vAlign w:val="bottom"/>
            <w:gridSpan w:val="2"/>
            <w:vMerge w:val="restart"/>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0.02</w:t>
            </w:r>
          </w:p>
        </w:tc>
        <w:tc>
          <w:tcPr>
            <w:tcW w:w="380" w:type="dxa"/>
            <w:vAlign w:val="bottom"/>
            <w:gridSpan w:val="2"/>
            <w:vMerge w:val="restart"/>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(0.06</w:t>
            </w:r>
            <w:r>
              <w:rPr>
                <w:rFonts w:ascii="Arial" w:cs="Arial" w:eastAsia="Arial" w:hAnsi="Arial"/>
                <w:sz w:val="36"/>
                <w:szCs w:val="36"/>
                <w:color w:val="auto"/>
                <w:vertAlign w:val="subscript"/>
              </w:rPr>
              <w:t>)</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0.03</w:t>
            </w:r>
          </w:p>
        </w:tc>
        <w:tc>
          <w:tcPr>
            <w:tcW w:w="380" w:type="dxa"/>
            <w:vAlign w:val="bottom"/>
            <w:gridSpan w:val="3"/>
            <w:vMerge w:val="restart"/>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3"/>
            <w:vMerge w:val="restart"/>
          </w:tcPr>
          <w:p>
            <w:pPr>
              <w:jc w:val="right"/>
              <w:spacing w:after="0"/>
              <w:rPr>
                <w:sz w:val="20"/>
                <w:szCs w:val="20"/>
                <w:color w:val="auto"/>
              </w:rPr>
            </w:pPr>
            <w:r>
              <w:rPr>
                <w:rFonts w:ascii="Arial" w:cs="Arial" w:eastAsia="Arial" w:hAnsi="Arial"/>
                <w:sz w:val="18"/>
                <w:szCs w:val="18"/>
                <w:color w:val="auto"/>
              </w:rPr>
              <w:t>(0.19</w:t>
            </w:r>
            <w:r>
              <w:rPr>
                <w:rFonts w:ascii="Arial" w:cs="Arial" w:eastAsia="Arial" w:hAnsi="Arial"/>
                <w:sz w:val="36"/>
                <w:szCs w:val="36"/>
                <w:color w:val="auto"/>
                <w:vertAlign w:val="subscript"/>
              </w:rPr>
              <w:t>)</w:t>
            </w:r>
          </w:p>
        </w:tc>
        <w:tc>
          <w:tcPr>
            <w:tcW w:w="0" w:type="dxa"/>
            <w:vAlign w:val="bottom"/>
          </w:tcPr>
          <w:p>
            <w:pPr>
              <w:spacing w:after="0"/>
              <w:rPr>
                <w:sz w:val="1"/>
                <w:szCs w:val="1"/>
                <w:color w:val="auto"/>
              </w:rPr>
            </w:pPr>
          </w:p>
        </w:tc>
      </w:tr>
      <w:tr>
        <w:trPr>
          <w:trHeight w:val="223"/>
        </w:trPr>
        <w:tc>
          <w:tcPr>
            <w:tcW w:w="5880" w:type="dxa"/>
            <w:vAlign w:val="bottom"/>
          </w:tcPr>
          <w:p>
            <w:pPr>
              <w:ind w:left="180"/>
              <w:spacing w:after="0"/>
              <w:rPr>
                <w:sz w:val="20"/>
                <w:szCs w:val="20"/>
                <w:color w:val="auto"/>
              </w:rPr>
            </w:pPr>
            <w:r>
              <w:rPr>
                <w:rFonts w:ascii="Arial" w:cs="Arial" w:eastAsia="Arial" w:hAnsi="Arial"/>
                <w:sz w:val="18"/>
                <w:szCs w:val="18"/>
                <w:color w:val="auto"/>
              </w:rPr>
              <w:t>Basic</w:t>
            </w:r>
          </w:p>
        </w:tc>
        <w:tc>
          <w:tcPr>
            <w:tcW w:w="420" w:type="dxa"/>
            <w:vAlign w:val="bottom"/>
            <w:gridSpan w:val="2"/>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380" w:type="dxa"/>
            <w:vAlign w:val="bottom"/>
            <w:gridSpan w:val="3"/>
            <w:vMerge w:val="continue"/>
          </w:tcPr>
          <w:p>
            <w:pPr>
              <w:spacing w:after="0"/>
              <w:rPr>
                <w:sz w:val="19"/>
                <w:szCs w:val="19"/>
                <w:color w:val="auto"/>
              </w:rPr>
            </w:pPr>
          </w:p>
        </w:tc>
        <w:tc>
          <w:tcPr>
            <w:tcW w:w="9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top w:val="single" w:sz="8" w:color="auto"/>
            </w:tcBorders>
            <w:gridSpan w:val="2"/>
          </w:tcPr>
          <w:p>
            <w:pPr>
              <w:spacing w:after="0"/>
              <w:rPr>
                <w:sz w:val="2"/>
                <w:szCs w:val="2"/>
                <w:color w:val="auto"/>
              </w:rPr>
            </w:pPr>
          </w:p>
        </w:tc>
        <w:tc>
          <w:tcPr>
            <w:tcW w:w="940" w:type="dxa"/>
            <w:vAlign w:val="bottom"/>
            <w:tcBorders>
              <w:top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8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200" w:type="dxa"/>
            <w:vAlign w:val="bottom"/>
            <w:tcBorders>
              <w:top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34"/>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9" w:name="page10"/>
    <w:bookmarkEnd w:id="9"/>
    <w:p>
      <w:pPr>
        <w:jc w:val="center"/>
        <w:ind w:right="-1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SEPTEMBER 30,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8 – SUBSEQUENT EVENTS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October 2018, we issued 7,248 shares of common stock and received proceeds of $25,651 in connection with the exercise of options. In addition, in October 2018, we issued 5,000 shares of our common stock in connection with investor relations services.</w:t>
      </w:r>
    </w:p>
    <w:p>
      <w:pPr>
        <w:spacing w:after="0" w:line="170"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In October 2018, we completed the acquisition of CareSpeak Communications, a leader in interactive health messaging for improved medication adherence and care coordination to expand our reach to communicate directly to patients, resulting in greater medication adherence, persistence and affordability. This strategic acquisition allows us to continue diversifying our revenue streams and scaling our current solution.</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purchase price was $6.0 million plus estimated working capital received of $91,411. A portion of the purchase price, $500,000, was payable in shares of our common stock and 30,638 shares were issued in connection with this acquisition. Additional cash payments of up to $3.0 million may be come due as part of an earnout if we achieve $2.0 million of revenues related to the “CareSpeak” product in 2019, and $3.0 million in 2020.</w:t>
      </w:r>
    </w:p>
    <w:p>
      <w:pPr>
        <w:spacing w:after="0" w:line="37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904"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effect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Highlights through October, 2018</w:t>
      </w:r>
    </w:p>
    <w:p>
      <w:pPr>
        <w:spacing w:after="0" w:line="225" w:lineRule="exact"/>
        <w:rPr>
          <w:sz w:val="20"/>
          <w:szCs w:val="20"/>
          <w:color w:val="auto"/>
        </w:rPr>
      </w:pPr>
    </w:p>
    <w:p>
      <w:pPr>
        <w:ind w:left="920" w:right="120" w:hanging="453"/>
        <w:spacing w:after="0" w:line="258"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revenues for the first nine months of 2018 were approximately $14.6 million, an 80% increase over the same period in 2017, attributable to our messaging platform growth from new and returning clients and expanded reach to health care providers.</w:t>
      </w:r>
    </w:p>
    <w:p>
      <w:pPr>
        <w:spacing w:after="0" w:line="1" w:lineRule="exact"/>
        <w:rPr>
          <w:rFonts w:ascii="Arial" w:cs="Arial" w:eastAsia="Arial" w:hAnsi="Arial"/>
          <w:sz w:val="18"/>
          <w:szCs w:val="18"/>
          <w:color w:val="auto"/>
        </w:rPr>
      </w:pPr>
    </w:p>
    <w:p>
      <w:pPr>
        <w:ind w:left="920" w:hanging="453"/>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revenues for the third quarter of 2018 were approximately $5.4 million, up 75% over the same quarter in 2017.</w:t>
      </w:r>
    </w:p>
    <w:p>
      <w:pPr>
        <w:spacing w:after="0" w:line="9" w:lineRule="exact"/>
        <w:rPr>
          <w:rFonts w:ascii="Arial" w:cs="Arial" w:eastAsia="Arial" w:hAnsi="Arial"/>
          <w:sz w:val="18"/>
          <w:szCs w:val="18"/>
          <w:color w:val="auto"/>
        </w:rPr>
      </w:pPr>
    </w:p>
    <w:p>
      <w:pPr>
        <w:ind w:left="920" w:right="440" w:hanging="453"/>
        <w:spacing w:after="0" w:line="250"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October, we acquired CareSpeak Communications, a leader in interactive health messaging for improved medication adherence and care coordination.</w:t>
      </w:r>
    </w:p>
    <w:p>
      <w:pPr>
        <w:ind w:left="920" w:hanging="453"/>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completed a 1 for 3 reverse stock split in May 2018 and up-listed our stock to the Nasdaq Capital Market in June 2018.</w:t>
      </w:r>
    </w:p>
    <w:p>
      <w:pPr>
        <w:spacing w:after="0" w:line="9" w:lineRule="exact"/>
        <w:rPr>
          <w:rFonts w:ascii="Arial" w:cs="Arial" w:eastAsia="Arial" w:hAnsi="Arial"/>
          <w:sz w:val="18"/>
          <w:szCs w:val="18"/>
          <w:color w:val="auto"/>
        </w:rPr>
      </w:pPr>
    </w:p>
    <w:p>
      <w:pPr>
        <w:ind w:left="920" w:hanging="453"/>
        <w:spacing w:after="0" w:line="250"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raised $9.0 million in common equity from established funds that bolstered our balance sheet and provided investment capital to further grow our business.</w:t>
      </w:r>
    </w:p>
    <w:p>
      <w:pPr>
        <w:ind w:left="920" w:right="240" w:hanging="453"/>
        <w:spacing w:after="0" w:line="250"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expanded our board of directors, adding two new independent directors, Patrick Spangler and Bryan Archambault, as well as established a formal audit committee.</w:t>
      </w:r>
    </w:p>
    <w:p>
      <w:pPr>
        <w:ind w:left="920" w:right="360" w:hanging="453"/>
        <w:spacing w:after="0" w:line="261"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continued to focus on adding additional brands for existing clients, providing new solutions, expanding the utilization of our network for existing brands, and obtaining new pharmaceutical manufacturer clients and advertising agencies.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success in acquiring, integrating and expanding into new EHR/eRx platforms continues to grow. For the remainder of 2018, we expect to expand our reach to physicians, pharmacies and patients, and also increase the utilization of our existing partners as they improve their work flow and reach. With the growth of both our pharmaceutical products and our distribution network, we expect that our financial, brand, and clinical messaging will continue to increase and show strong growth throughout the year.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Results of Operations for the Three and Nine Months Ended September 30, 2018 and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total revenue for the three months ended September 30, 2018 was approximately $5.4 million, an increase of 75% over the approximately $3.1 million from the same period in 2017. Our total revenue for the nine months ended September 30, 2018 was approximately $14.6 million, an increase of 80% over the approximately $8.1 million from the same period in 2017. These increased revenues resulted primarily from increases in our messaging products, as well as expanded distribution channels. Additionally, the launch of new pharmaceutical brands, which total over 100 in our messaging platforms, also contributed to the increase.</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do not breakout revenue by service at this stage, but as we achieve greater scale we plan to determine the best way to present the growth by service. As described in greater detail in Note 2 to the financial statements, we adopted the new revenue standard during the quarter ended March 31, 2018. The effect of that, which was immaterial, was to decrease our revenue by approximately $7,000 during the quarter and by approximately $151,000 for the nine-month period. The vast majority of that revenue, however, will be recognized throughout the remainder of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cost of revenues, comprised primarily of revenue share expense, increased in the three and nine months ended September 30, 2018 over the same periods in 2017 as a result of the revenue increases. However, as a percentage of revenues, cost of revenues decreased in 2018 over 2017 as reflected in the table below. This decrease in our cost of revenue percentages is primarily the result of the launch of our brand messaging in 2017 and the expansion of those products in 2018. Our brand messaging revenues have a significant fixed cost component to them. Revenue increases in brand messaging have a significant impact on improving our margins. During the launch period in 2017, we had only nominal margins on these products, but by 2018 we had achieved greater scale on these products, resulting in significant margin improvements.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16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Nine Months Ended</w:t>
            </w:r>
          </w:p>
        </w:tc>
      </w:tr>
      <w:tr>
        <w:trPr>
          <w:trHeight w:val="237"/>
        </w:trPr>
        <w:tc>
          <w:tcPr>
            <w:tcW w:w="59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color w:val="auto"/>
                <w:w w:val="86"/>
              </w:rPr>
              <w:t>Sept 30</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color w:val="auto"/>
                <w:w w:val="86"/>
              </w:rPr>
              <w:t>Sept 30</w:t>
            </w: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37"/>
        </w:trPr>
        <w:tc>
          <w:tcPr>
            <w:tcW w:w="594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r>
      <w:tr>
        <w:trPr>
          <w:trHeight w:val="418"/>
        </w:trPr>
        <w:tc>
          <w:tcPr>
            <w:tcW w:w="6720" w:type="dxa"/>
            <w:vAlign w:val="bottom"/>
            <w:gridSpan w:val="2"/>
          </w:tcPr>
          <w:p>
            <w:pPr>
              <w:spacing w:after="0"/>
              <w:rPr>
                <w:sz w:val="20"/>
                <w:szCs w:val="20"/>
                <w:color w:val="auto"/>
              </w:rPr>
            </w:pPr>
            <w:r>
              <w:rPr>
                <w:rFonts w:ascii="Arial" w:cs="Arial" w:eastAsia="Arial" w:hAnsi="Arial"/>
                <w:sz w:val="18"/>
                <w:szCs w:val="18"/>
                <w:color w:val="auto"/>
              </w:rPr>
              <w:t>Cost of Revenues %</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41.9%</w:t>
            </w:r>
          </w:p>
        </w:tc>
        <w:tc>
          <w:tcPr>
            <w:tcW w:w="78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54.9%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44.5%</w:t>
            </w:r>
          </w:p>
        </w:tc>
        <w:tc>
          <w:tcPr>
            <w:tcW w:w="2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57.8%</w:t>
            </w:r>
          </w:p>
        </w:tc>
      </w:tr>
      <w:tr>
        <w:trPr>
          <w:trHeight w:val="230"/>
        </w:trPr>
        <w:tc>
          <w:tcPr>
            <w:tcW w:w="6720" w:type="dxa"/>
            <w:vAlign w:val="bottom"/>
            <w:gridSpan w:val="2"/>
          </w:tcPr>
          <w:p>
            <w:pPr>
              <w:spacing w:after="0"/>
              <w:rPr>
                <w:sz w:val="20"/>
                <w:szCs w:val="20"/>
                <w:color w:val="auto"/>
              </w:rPr>
            </w:pPr>
            <w:r>
              <w:rPr>
                <w:rFonts w:ascii="Arial" w:cs="Arial" w:eastAsia="Arial" w:hAnsi="Arial"/>
                <w:sz w:val="18"/>
                <w:szCs w:val="18"/>
                <w:color w:val="auto"/>
              </w:rPr>
              <w:t>Gross Margin %</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58.1%</w:t>
            </w:r>
          </w:p>
        </w:tc>
        <w:tc>
          <w:tcPr>
            <w:tcW w:w="78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45.1%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55.5%</w:t>
            </w: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42.2%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gross margins improved from 2017 to 2018 in both the three and nine-month periods ended September 30, as reflected in the table above and for the reasons reflected in the discussion of cost of revenues. We have been focused on improving our margins and were targeting a gross margin of at least 55% by the fourth quarter of 2018. We achieved that goal ahead of schedule in both the recently completed second and third quarters and are now focused on maintaining, or improving, those margins. Our overall margin is impacted by product mix, so there may be variations in margin from quarter to quarter, depending on the product mix, introduction of new products, and other factors.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Operating expenses increased from approximately $2.0 million for the three months ended September 30, 2017 to approximately $2.9 million for the same period in 2018. Operating expenses increased from approximately $5.3 million for the nine months ended September 30, 2017 to approximately $7.8 million for the same period in 2018. The detail by major category is reflected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26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260" w:type="dxa"/>
            <w:vAlign w:val="bottom"/>
            <w:gridSpan w:val="4"/>
          </w:tcPr>
          <w:p>
            <w:pPr>
              <w:jc w:val="right"/>
              <w:ind w:right="43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Sept 30,</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color w:val="auto"/>
              </w:rPr>
              <w:t>Sept 30,</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418"/>
        </w:trPr>
        <w:tc>
          <w:tcPr>
            <w:tcW w:w="4160" w:type="dxa"/>
            <w:vAlign w:val="bottom"/>
          </w:tcPr>
          <w:p>
            <w:pPr>
              <w:spacing w:after="0"/>
              <w:rPr>
                <w:sz w:val="20"/>
                <w:szCs w:val="20"/>
                <w:color w:val="auto"/>
              </w:rPr>
            </w:pPr>
            <w:r>
              <w:rPr>
                <w:rFonts w:ascii="Arial" w:cs="Arial" w:eastAsia="Arial" w:hAnsi="Arial"/>
                <w:sz w:val="18"/>
                <w:szCs w:val="18"/>
                <w:color w:val="auto"/>
              </w:rPr>
              <w:t>Salaries, Wages, &amp; Benefits</w:t>
            </w: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1,381,237</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1,237,773</w:t>
            </w:r>
          </w:p>
        </w:tc>
        <w:tc>
          <w:tcPr>
            <w:tcW w:w="2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3,898,222</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2,853,446</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708,163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205,158</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1,721,985</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497,033</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Professional Fees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97,387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35,661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276,786</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219,323</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Board Compensation</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45,875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23,125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104,500</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60,625</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Investor Relations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32,816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26,887</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85,681</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79,031</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Consultants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66,830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76,745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106,639</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285,466</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106,920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45,406</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225,648</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189,646</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54,473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70,973</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163,418</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212,918</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Development and Maintenance</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114,604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103,172</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439,916</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286,435</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Integration Incentives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70,626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61,500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151,878</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223,842</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137,889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75,068</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364,861</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210,989</w:t>
            </w:r>
          </w:p>
        </w:tc>
        <w:tc>
          <w:tcPr>
            <w:tcW w:w="0" w:type="dxa"/>
            <w:vAlign w:val="bottom"/>
          </w:tcPr>
          <w:p>
            <w:pPr>
              <w:spacing w:after="0"/>
              <w:rPr>
                <w:sz w:val="1"/>
                <w:szCs w:val="1"/>
                <w:color w:val="auto"/>
              </w:rPr>
            </w:pPr>
          </w:p>
        </w:tc>
      </w:tr>
      <w:tr>
        <w:trPr>
          <w:trHeight w:val="244"/>
        </w:trPr>
        <w:tc>
          <w:tcPr>
            <w:tcW w:w="4160" w:type="dxa"/>
            <w:vAlign w:val="bottom"/>
          </w:tcPr>
          <w:p>
            <w:pPr>
              <w:spacing w:after="0"/>
              <w:rPr>
                <w:sz w:val="20"/>
                <w:szCs w:val="20"/>
                <w:color w:val="auto"/>
              </w:rPr>
            </w:pPr>
            <w:r>
              <w:rPr>
                <w:rFonts w:ascii="Arial" w:cs="Arial" w:eastAsia="Arial" w:hAnsi="Arial"/>
                <w:sz w:val="18"/>
                <w:szCs w:val="18"/>
                <w:color w:val="auto"/>
              </w:rPr>
              <w:t>Travel and Entertainment</w:t>
            </w:r>
          </w:p>
        </w:tc>
        <w:tc>
          <w:tcPr>
            <w:tcW w:w="1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106,418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67,121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268,171</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201,466</w:t>
            </w:r>
          </w:p>
        </w:tc>
        <w:tc>
          <w:tcPr>
            <w:tcW w:w="0" w:type="dxa"/>
            <w:vAlign w:val="bottom"/>
          </w:tcPr>
          <w:p>
            <w:pPr>
              <w:spacing w:after="0"/>
              <w:rPr>
                <w:sz w:val="1"/>
                <w:szCs w:val="1"/>
                <w:color w:val="auto"/>
              </w:rPr>
            </w:pPr>
          </w:p>
        </w:tc>
      </w:tr>
      <w:tr>
        <w:trPr>
          <w:trHeight w:val="27"/>
        </w:trPr>
        <w:tc>
          <w:tcPr>
            <w:tcW w:w="4160" w:type="dxa"/>
            <w:vAlign w:val="bottom"/>
            <w:vMerge w:val="restart"/>
          </w:tcPr>
          <w:p>
            <w:pPr>
              <w:spacing w:after="0"/>
              <w:rPr>
                <w:sz w:val="20"/>
                <w:szCs w:val="20"/>
                <w:color w:val="auto"/>
              </w:rPr>
            </w:pPr>
            <w:r>
              <w:rPr>
                <w:rFonts w:ascii="Arial" w:cs="Arial" w:eastAsia="Arial" w:hAnsi="Arial"/>
                <w:sz w:val="18"/>
                <w:szCs w:val="18"/>
                <w:color w:val="auto"/>
              </w:rPr>
              <w:t>Total Operating Expense</w:t>
            </w:r>
          </w:p>
        </w:tc>
        <w:tc>
          <w:tcPr>
            <w:tcW w:w="19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4160" w:type="dxa"/>
            <w:vAlign w:val="bottom"/>
            <w:vMerge w:val="continue"/>
          </w:tcPr>
          <w:p>
            <w:pPr>
              <w:spacing w:after="0"/>
              <w:rPr>
                <w:sz w:val="24"/>
                <w:szCs w:val="24"/>
                <w:color w:val="auto"/>
              </w:rPr>
            </w:pP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2,923,238</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2,028,589</w:t>
            </w:r>
          </w:p>
        </w:tc>
        <w:tc>
          <w:tcPr>
            <w:tcW w:w="2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7,807,705</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5,320,220</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largest increases in operating expenses are related to salaries, wages, and benefits and other human resource related costs. Since the beginning of the first quarter of 2017, we have appointed a new president, a new VP of engineering and three new vice presidents of sales, as well as hired a new account manager and related technical and administrative support. These new team members also resulted in increases in benefits, payroll taxes, travel, and stock compensation. We also implemented new incentive compensation plans for our sales force that increased their incentive compensation. In addition, virtually all of our incentive compensation is tied to revenue and the strong revenue growth in 2018 resulted in increased incentive compensation. The increased stock-based compensation results from the acceleration of vesting of previously granted options as well as the grant of options during the period related to achievement of performance-based goals. The expense related to stock compensation is also correlated to our stock price and the increase in our stock price results in an increase in stock compensation expense. We expect stock-based compensation to remain at similar levels on a quarterly basis for the balance of the year.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gridSpan w:val="4"/>
          </w:tcPr>
          <w:p>
            <w:pPr>
              <w:spacing w:after="0"/>
              <w:rPr>
                <w:sz w:val="20"/>
                <w:szCs w:val="20"/>
                <w:color w:val="auto"/>
              </w:rPr>
            </w:pPr>
            <w:r>
              <w:rPr>
                <w:rFonts w:ascii="Arial" w:cs="Arial" w:eastAsia="Arial" w:hAnsi="Arial"/>
                <w:sz w:val="18"/>
                <w:szCs w:val="18"/>
                <w:color w:val="auto"/>
                <w:w w:val="93"/>
              </w:rPr>
              <w:t>As reflected in the table below, our operating expenses decreased as a percentage of overall revenue.</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8"/>
        </w:trPr>
        <w:tc>
          <w:tcPr>
            <w:tcW w:w="5920" w:type="dxa"/>
            <w:vAlign w:val="bottom"/>
          </w:tcPr>
          <w:p>
            <w:pPr>
              <w:spacing w:after="0"/>
              <w:rPr>
                <w:sz w:val="24"/>
                <w:szCs w:val="24"/>
                <w:color w:val="auto"/>
              </w:rPr>
            </w:pPr>
          </w:p>
        </w:tc>
        <w:tc>
          <w:tcPr>
            <w:tcW w:w="2800" w:type="dxa"/>
            <w:vAlign w:val="bottom"/>
            <w:gridSpan w:val="5"/>
          </w:tcPr>
          <w:p>
            <w:pPr>
              <w:jc w:val="center"/>
              <w:ind w:right="280"/>
              <w:spacing w:after="0"/>
              <w:rPr>
                <w:sz w:val="20"/>
                <w:szCs w:val="20"/>
                <w:color w:val="auto"/>
              </w:rPr>
            </w:pPr>
            <w:r>
              <w:rPr>
                <w:rFonts w:ascii="Arial" w:cs="Arial" w:eastAsia="Arial" w:hAnsi="Arial"/>
                <w:sz w:val="18"/>
                <w:szCs w:val="18"/>
                <w:color w:val="auto"/>
                <w:w w:val="90"/>
              </w:rPr>
              <w:t>Three Months Ended</w:t>
            </w:r>
          </w:p>
        </w:tc>
        <w:tc>
          <w:tcPr>
            <w:tcW w:w="268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Nine Months Ended</w:t>
            </w:r>
          </w:p>
        </w:tc>
      </w:tr>
      <w:tr>
        <w:trPr>
          <w:trHeight w:val="237"/>
        </w:trPr>
        <w:tc>
          <w:tcPr>
            <w:tcW w:w="5920" w:type="dxa"/>
            <w:vAlign w:val="bottom"/>
          </w:tcPr>
          <w:p>
            <w:pPr>
              <w:spacing w:after="0"/>
              <w:rPr>
                <w:sz w:val="20"/>
                <w:szCs w:val="20"/>
                <w:color w:val="auto"/>
              </w:rPr>
            </w:pPr>
          </w:p>
        </w:tc>
        <w:tc>
          <w:tcPr>
            <w:tcW w:w="168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color w:val="auto"/>
                <w:w w:val="86"/>
              </w:rPr>
              <w:t>Sept 30</w:t>
            </w:r>
          </w:p>
        </w:tc>
        <w:tc>
          <w:tcPr>
            <w:tcW w:w="8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color w:val="auto"/>
                <w:w w:val="86"/>
              </w:rPr>
              <w:t>Sept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37"/>
        </w:trPr>
        <w:tc>
          <w:tcPr>
            <w:tcW w:w="592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Operating expense as a percentage of revenue</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54.0%</w:t>
            </w:r>
          </w:p>
        </w:tc>
        <w:tc>
          <w:tcPr>
            <w:tcW w:w="2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65.4%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53.4%</w:t>
            </w:r>
          </w:p>
        </w:tc>
        <w:tc>
          <w:tcPr>
            <w:tcW w:w="3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65.5%</w:t>
            </w:r>
          </w:p>
        </w:tc>
      </w:tr>
    </w:tbl>
    <w:p>
      <w:pPr>
        <w:spacing w:after="0" w:line="18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expect our overall operating expenses to continue to increase slightly on a quarter to quarter basis as we further implement our business plan and expand our operations to grow the business in a very dynamic and active marketplace; however, we expect operating expense as a percentage of revenue to continue to decrease.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We had net income of approximately $245,000 for the three months ended September 30, 2018 as compared to a loss of approximately $622,000 during the same period in 2017. Our net income for the nine months ended September 30, 2018 was approximately $336,000, as compared to a loss of approximately $1.9 million during the same period in 2017. The reasons for specific components are discussed above, however our increased revenues have resulted in us achieving profitability. We expect to continue to be profitable on a quarterly basis, although in any particular quarter, expenses related to growth initiatives could result in a loss for a particular quarter. In particular, costs related to our acquisition of CareSpeak Communications may result in a loss for the fourth quarter of 2018.</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September 30, 2018, we had total current assets of approximately $18.9 million, compared with current liabilities of approximately $2.6 million, resulting in working capital of approximately $16.3 million and a current ratio of approximately 7.4 to 1, improved from the working capital of approximately $5.3 million and current ratio of 2.5 to 1 at December 31, 2017.</w:t>
      </w:r>
    </w:p>
    <w:p>
      <w:pPr>
        <w:spacing w:after="0" w:line="181"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color w:val="auto"/>
        </w:rPr>
        <w:t>Our operating activities used approximately $140,000 in cash during the nine months ended September 30, 2018, compared with cash used of approximately $1.5 million in the same period in 2017. The cash used in the 2017 period was the result of our net loss, partially offset by working capital management. The cash used in the 2018 period was primarily the result of our significant increase in revenues, resulting in a significantly larger amount of accounts receivable. We also had a change in payment terms for one of our key partners, which resulted in a reduction of our revenue share payable, as well as payment of certain year end liabilities that occurred in 2018.We had positive cash flow from operations in the third quarter of 2018 of approximately $1.1 million and we expect to have positive cash flow from operations for the balance of the year.</w:t>
      </w:r>
    </w:p>
    <w:p>
      <w:pPr>
        <w:spacing w:after="0" w:line="17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Investing activities used approximately $80,000 in cash for the nine months ended September 30, 2018, compared with approximately $150,000 used in the same period in 2017. These investments related to purchases of equipment as well as investments related to the expansion of our network capabilities.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had cash provided from financing activities of approximately $8.6 million during the nine months ended September 30, 2018, compared with cash used of $390,000 in the same period in 2017. In 2018, we issued 1.667 million shares of our common stock for gross proceeds of $9.0 million and approximate net proceeds of $8.2 million. We also issued approximately 143,000 shares and received proceeds of approximately $455,000 from the exercise of stock options. In addition, as discussed in Note 3, we issued 100,000 shares valued at $447,000 in a non-cash transaction in payment of revenue share due under a co-marketing agreement and the accompanying termination of the agreement. We used cash in financing activities in the same period in 2017 for the repurchase of shares held by our previous CEO.</w:t>
      </w:r>
    </w:p>
    <w:p>
      <w:pPr>
        <w:spacing w:after="0" w:line="19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With the additional capital that we raised this year, we do not anticipate the need to raise additional capital in the short or long term for operating purposes or to fund our growth plans. We are focused on growing our revenue, channel and partner networks. However, as a company in a market that is active with merger and acquisition activities, we may have opportunities, such as for acquisitions or strategic partner relationships, which may require additional capital. We will assess these opportunities as they arise with the view of maximizing shareholder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there were no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 Our accounting policies are discussed in the footnotes to our financial statements included in our annual report on Form 10-K for the year ended December 31, 2017; however, we consider our critical accounting policies to be those related to the amount of revenue to be billed, the timing of revenue recognition, calculation of revenue share expense, stock-based compensation, capitalization and related amortization of intangible assets, and impairment of assets.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As described in greater detail in Note 2, we adopted the new accounting standard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all of the related amendments, which had an immaterial impact on our financial statements.</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February 2016, the FASB issued ASU No. 2016-02, Leases (Topic 842) (“ASU 2016-02”), which modifies lease accounting for lessees to increase transparency and comparability by recording lease assets and liabilities for operating leases and disclosing key information about leasing arrangements. The Company will adopt ASU 2016-02 in its first quarter of 2019. While the Company is currently evaluating the timing and impact of adopting ASU 2016-02, currently the Company anticipates no material impact to its Consolidated Statements of Operations. However, the ultimate impact of adopting ASU 2016-02 will depend on the Company’s lease portfolio as of the adoption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Securities Exchange Act of 1934 (the “Exchange Act”), as of the end of the period covered by this report (the “Evaluation Date”). Based upon this evaluation, our Chief Executive Officer and Chief Financial Officer concluded as of the Evaluation Date that our disclosure controls and procedures were effective such that the material information required to be included in our SEC reports is recorded, processed, summarized, and reported within the time periods specified in SEC rules and forms relating to the our company, including, our consolidated subsidiary, and was made known to them by others within those entities, particularly during the period when this report was being prepared.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nine months ended September 30, 2018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our company have been detected.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not a party to any material pending legal proceeding. We are not aware of any pending legal proceeding to which any of our officers, directors, or any beneficial holders of 5% or more of our voting securities are adverse to us or have a material interest adverse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included in the Company’s Annual Report on Form 10-K for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issued 6,252 shares, 8,336 shares, and 11,489 shares of common stock in March, June, and September 2018, respectively, to our independent directors in connection with our Director Compensation Plan.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August and September 2018, we issued a total of 10,000 shares of our common stock to our investor relations firm in connection with services provided.</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In July, August, and September 2018, we issued a total of 251,406 shares of our common stock in connection with the cashless exercise of warrants.</w:t>
      </w:r>
    </w:p>
    <w:p>
      <w:pPr>
        <w:spacing w:after="0" w:line="23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 May 2018, we issued an aggregate of 1,666,669 shares of our common stock, par value $0.001 per share, for $5.40 per share, or gross proceeds of $9,000,000. The net proceeds of the offering of approximately $8.2 million will be used for working capital purposes.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1"/>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0260" w:type="dxa"/>
            <w:vAlign w:val="bottom"/>
            <w:gridSpan w:val="6"/>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176"/>
        </w:trPr>
        <w:tc>
          <w:tcPr>
            <w:tcW w:w="20" w:type="dxa"/>
            <w:vAlign w:val="bottom"/>
          </w:tcPr>
          <w:p>
            <w:pPr>
              <w:spacing w:after="0"/>
              <w:rPr>
                <w:sz w:val="15"/>
                <w:szCs w:val="15"/>
                <w:color w:val="auto"/>
              </w:rPr>
            </w:pPr>
          </w:p>
        </w:tc>
        <w:tc>
          <w:tcPr>
            <w:tcW w:w="102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5"/>
                <w:szCs w:val="15"/>
                <w:color w:val="auto"/>
              </w:rPr>
            </w:pPr>
          </w:p>
        </w:tc>
        <w:tc>
          <w:tcPr>
            <w:tcW w:w="10260" w:type="dxa"/>
            <w:vAlign w:val="bottom"/>
            <w:tcBorders>
              <w:top w:val="single" w:sz="8" w:color="auto"/>
            </w:tcBorders>
            <w:gridSpan w:val="6"/>
          </w:tcPr>
          <w:p>
            <w:pPr>
              <w:spacing w:after="0" w:line="17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Certification of Chief Executive Officer pursuant to 18 U.S.C. Section 1350, as adopted pursuant to Section 302 of the Sarbanes-Oxley Act of</w:t>
              </w:r>
            </w:hyperlink>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8">
              <w:r>
                <w:rPr>
                  <w:rFonts w:ascii="Arial" w:cs="Arial" w:eastAsia="Arial" w:hAnsi="Arial"/>
                  <w:sz w:val="18"/>
                  <w:szCs w:val="18"/>
                  <w:color w:val="0000EE"/>
                  <w:w w:val="84"/>
                </w:rPr>
                <w:t>2002</w:t>
              </w:r>
            </w:hyperlink>
          </w:p>
        </w:tc>
        <w:tc>
          <w:tcPr>
            <w:tcW w:w="2160" w:type="dxa"/>
            <w:vAlign w:val="bottom"/>
            <w:tcBorders>
              <w:top w:val="single" w:sz="8" w:color="0000EE"/>
            </w:tcBorders>
          </w:tcPr>
          <w:p>
            <w:pPr>
              <w:spacing w:after="0"/>
              <w:rPr>
                <w:sz w:val="17"/>
                <w:szCs w:val="17"/>
                <w:color w:val="auto"/>
              </w:rPr>
            </w:pPr>
          </w:p>
        </w:tc>
        <w:tc>
          <w:tcPr>
            <w:tcW w:w="7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7"/>
                <w:szCs w:val="17"/>
                <w:color w:val="auto"/>
              </w:rPr>
            </w:pPr>
          </w:p>
        </w:tc>
        <w:tc>
          <w:tcPr>
            <w:tcW w:w="10260" w:type="dxa"/>
            <w:vAlign w:val="bottom"/>
            <w:gridSpan w:val="6"/>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Certification of Chief Financial Officer pursuant to 18 U.S.C. Section 1350, as adopted pursuant to Section 302 of the Sarbanes-Oxley Act of</w:t>
              </w:r>
            </w:hyperlink>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9">
              <w:r>
                <w:rPr>
                  <w:rFonts w:ascii="Arial" w:cs="Arial" w:eastAsia="Arial" w:hAnsi="Arial"/>
                  <w:sz w:val="18"/>
                  <w:szCs w:val="18"/>
                  <w:color w:val="0000EE"/>
                  <w:w w:val="84"/>
                </w:rPr>
                <w:t>2002</w:t>
              </w:r>
            </w:hyperlink>
          </w:p>
        </w:tc>
        <w:tc>
          <w:tcPr>
            <w:tcW w:w="2160" w:type="dxa"/>
            <w:vAlign w:val="bottom"/>
            <w:tcBorders>
              <w:top w:val="single" w:sz="8" w:color="0000EE"/>
            </w:tcBorders>
          </w:tcPr>
          <w:p>
            <w:pPr>
              <w:spacing w:after="0"/>
              <w:rPr>
                <w:sz w:val="17"/>
                <w:szCs w:val="17"/>
                <w:color w:val="auto"/>
              </w:rPr>
            </w:pPr>
          </w:p>
        </w:tc>
        <w:tc>
          <w:tcPr>
            <w:tcW w:w="7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7"/>
                <w:szCs w:val="17"/>
                <w:color w:val="auto"/>
              </w:rPr>
            </w:pPr>
          </w:p>
        </w:tc>
        <w:tc>
          <w:tcPr>
            <w:tcW w:w="101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Certification of Chief Executive Officer and Chief Financial Officer pursuant to 18 U.S.C. Section 1350, as adopted pursuant to Section 906</w:t>
              </w:r>
            </w:hyperlink>
          </w:p>
        </w:tc>
        <w:tc>
          <w:tcPr>
            <w:tcW w:w="16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of the Sarbanes-Oxley Act of 2002</w:t>
              </w:r>
            </w:hyperlink>
          </w:p>
        </w:tc>
        <w:tc>
          <w:tcPr>
            <w:tcW w:w="7740" w:type="dxa"/>
            <w:vAlign w:val="bottom"/>
            <w:gridSpan w:val="4"/>
          </w:tcPr>
          <w:p>
            <w:pPr>
              <w:spacing w:after="0"/>
              <w:rPr>
                <w:sz w:val="17"/>
                <w:szCs w:val="17"/>
                <w:color w:val="auto"/>
              </w:rPr>
            </w:pPr>
          </w:p>
        </w:tc>
      </w:tr>
      <w:tr>
        <w:trPr>
          <w:trHeight w:val="222"/>
        </w:trPr>
        <w:tc>
          <w:tcPr>
            <w:tcW w:w="1040" w:type="dxa"/>
            <w:vAlign w:val="bottom"/>
            <w:gridSpan w:val="2"/>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0260" w:type="dxa"/>
            <w:vAlign w:val="bottom"/>
            <w:gridSpan w:val="6"/>
          </w:tcPr>
          <w:p>
            <w:pPr>
              <w:spacing w:after="0"/>
              <w:rPr>
                <w:sz w:val="20"/>
                <w:szCs w:val="20"/>
                <w:color w:val="auto"/>
              </w:rPr>
            </w:pPr>
            <w:r>
              <w:rPr>
                <w:rFonts w:ascii="Arial" w:cs="Arial" w:eastAsia="Arial" w:hAnsi="Arial"/>
                <w:sz w:val="18"/>
                <w:szCs w:val="18"/>
                <w:color w:val="auto"/>
                <w:w w:val="97"/>
              </w:rPr>
              <w:t>The following materials from the Company’s Quarterly Report on Form 10-Q for the quarter ended September 30, 2018 formatted in</w:t>
            </w: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6"/>
          </w:tcPr>
          <w:p>
            <w:pPr>
              <w:spacing w:after="0"/>
              <w:rPr>
                <w:sz w:val="20"/>
                <w:szCs w:val="20"/>
                <w:color w:val="auto"/>
              </w:rPr>
            </w:pPr>
            <w:r>
              <w:rPr>
                <w:rFonts w:ascii="Arial" w:cs="Arial" w:eastAsia="Arial" w:hAnsi="Arial"/>
                <w:sz w:val="18"/>
                <w:szCs w:val="18"/>
                <w:color w:val="auto"/>
              </w:rPr>
              <w:t>Extensible Business Reporting Language (XBRL).</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Provided herewith</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4900" w:type="dxa"/>
            <w:vAlign w:val="bottom"/>
            <w:gridSpan w:val="2"/>
          </w:tcPr>
          <w:p>
            <w:pPr>
              <w:ind w:left="220"/>
              <w:spacing w:after="0"/>
              <w:rPr>
                <w:sz w:val="20"/>
                <w:szCs w:val="20"/>
                <w:color w:val="auto"/>
              </w:rPr>
            </w:pPr>
            <w:r>
              <w:rPr>
                <w:rFonts w:ascii="Arial" w:cs="Arial" w:eastAsia="Arial" w:hAnsi="Arial"/>
                <w:sz w:val="18"/>
                <w:szCs w:val="18"/>
                <w:b w:val="1"/>
                <w:bCs w:val="1"/>
                <w:color w:val="auto"/>
              </w:rPr>
              <w:t>OptimizeRx Corporation</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November 5, 2018</w:t>
            </w:r>
          </w:p>
        </w:tc>
      </w:tr>
      <w:tr>
        <w:trPr>
          <w:trHeight w:val="439"/>
        </w:trPr>
        <w:tc>
          <w:tcPr>
            <w:tcW w:w="60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r>
      <w:tr>
        <w:trPr>
          <w:trHeight w:val="198"/>
        </w:trPr>
        <w:tc>
          <w:tcPr>
            <w:tcW w:w="600" w:type="dxa"/>
            <w:vAlign w:val="bottom"/>
          </w:tcPr>
          <w:p>
            <w:pPr>
              <w:spacing w:after="0"/>
              <w:rPr>
                <w:sz w:val="17"/>
                <w:szCs w:val="17"/>
                <w:color w:val="auto"/>
              </w:rPr>
            </w:pPr>
          </w:p>
        </w:tc>
        <w:tc>
          <w:tcPr>
            <w:tcW w:w="780" w:type="dxa"/>
            <w:vAlign w:val="bottom"/>
          </w:tcPr>
          <w:p>
            <w:pPr>
              <w:ind w:left="220"/>
              <w:spacing w:after="0" w:line="198" w:lineRule="exact"/>
              <w:rPr>
                <w:sz w:val="20"/>
                <w:szCs w:val="20"/>
                <w:color w:val="auto"/>
              </w:rPr>
            </w:pPr>
            <w:r>
              <w:rPr>
                <w:rFonts w:ascii="Arial" w:cs="Arial" w:eastAsia="Arial" w:hAnsi="Arial"/>
                <w:sz w:val="18"/>
                <w:szCs w:val="18"/>
                <w:color w:val="auto"/>
              </w:rPr>
              <w:t>Title:</w:t>
            </w:r>
          </w:p>
        </w:tc>
        <w:tc>
          <w:tcPr>
            <w:tcW w:w="4120" w:type="dxa"/>
            <w:vAlign w:val="bottom"/>
          </w:tcPr>
          <w:p>
            <w:pPr>
              <w:spacing w:after="0" w:line="198" w:lineRule="exact"/>
              <w:rPr>
                <w:sz w:val="20"/>
                <w:szCs w:val="20"/>
                <w:color w:val="auto"/>
              </w:rPr>
            </w:pPr>
            <w:r>
              <w:rPr>
                <w:rFonts w:ascii="Arial" w:cs="Arial" w:eastAsia="Arial" w:hAnsi="Arial"/>
                <w:sz w:val="18"/>
                <w:szCs w:val="18"/>
                <w:color w:val="auto"/>
              </w:rPr>
              <w:t>William J. Febbo</w:t>
            </w:r>
          </w:p>
        </w:tc>
      </w:tr>
      <w:tr>
        <w:trPr>
          <w:trHeight w:val="216"/>
        </w:trPr>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Chief Executive Officer,</w:t>
            </w:r>
          </w:p>
        </w:tc>
      </w:tr>
      <w:tr>
        <w:trPr>
          <w:trHeight w:val="234"/>
        </w:trPr>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Principal Executive Officer, and Director</w:t>
            </w:r>
          </w:p>
        </w:tc>
      </w:tr>
      <w:tr>
        <w:trPr>
          <w:trHeight w:val="432"/>
        </w:trPr>
        <w:tc>
          <w:tcPr>
            <w:tcW w:w="600" w:type="dxa"/>
            <w:vAlign w:val="bottom"/>
          </w:tcPr>
          <w:p>
            <w:pPr>
              <w:spacing w:after="0"/>
              <w:rPr>
                <w:sz w:val="24"/>
                <w:szCs w:val="24"/>
                <w:color w:val="auto"/>
              </w:rPr>
            </w:pPr>
          </w:p>
        </w:tc>
        <w:tc>
          <w:tcPr>
            <w:tcW w:w="4900" w:type="dxa"/>
            <w:vAlign w:val="bottom"/>
            <w:gridSpan w:val="2"/>
          </w:tcPr>
          <w:p>
            <w:pPr>
              <w:ind w:left="220"/>
              <w:spacing w:after="0"/>
              <w:rPr>
                <w:sz w:val="20"/>
                <w:szCs w:val="20"/>
                <w:color w:val="auto"/>
              </w:rPr>
            </w:pPr>
            <w:r>
              <w:rPr>
                <w:rFonts w:ascii="Arial" w:cs="Arial" w:eastAsia="Arial" w:hAnsi="Arial"/>
                <w:sz w:val="18"/>
                <w:szCs w:val="18"/>
                <w:b w:val="1"/>
                <w:bCs w:val="1"/>
                <w:color w:val="auto"/>
              </w:rPr>
              <w:t>OptimizeRx Corporation</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November 5, 2018</w:t>
            </w:r>
          </w:p>
        </w:tc>
      </w:tr>
      <w:tr>
        <w:trPr>
          <w:trHeight w:val="439"/>
        </w:trPr>
        <w:tc>
          <w:tcPr>
            <w:tcW w:w="60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P. Baker</w:t>
            </w:r>
          </w:p>
        </w:tc>
      </w:tr>
      <w:tr>
        <w:trPr>
          <w:trHeight w:val="198"/>
        </w:trPr>
        <w:tc>
          <w:tcPr>
            <w:tcW w:w="600" w:type="dxa"/>
            <w:vAlign w:val="bottom"/>
          </w:tcPr>
          <w:p>
            <w:pPr>
              <w:spacing w:after="0"/>
              <w:rPr>
                <w:sz w:val="17"/>
                <w:szCs w:val="17"/>
                <w:color w:val="auto"/>
              </w:rPr>
            </w:pPr>
          </w:p>
        </w:tc>
        <w:tc>
          <w:tcPr>
            <w:tcW w:w="780" w:type="dxa"/>
            <w:vAlign w:val="bottom"/>
          </w:tcPr>
          <w:p>
            <w:pPr>
              <w:ind w:left="220"/>
              <w:spacing w:after="0" w:line="198" w:lineRule="exact"/>
              <w:rPr>
                <w:sz w:val="20"/>
                <w:szCs w:val="20"/>
                <w:color w:val="auto"/>
              </w:rPr>
            </w:pPr>
            <w:r>
              <w:rPr>
                <w:rFonts w:ascii="Arial" w:cs="Arial" w:eastAsia="Arial" w:hAnsi="Arial"/>
                <w:sz w:val="18"/>
                <w:szCs w:val="18"/>
                <w:color w:val="auto"/>
              </w:rPr>
              <w:t>Title:</w:t>
            </w:r>
          </w:p>
        </w:tc>
        <w:tc>
          <w:tcPr>
            <w:tcW w:w="4120" w:type="dxa"/>
            <w:vAlign w:val="bottom"/>
          </w:tcPr>
          <w:p>
            <w:pPr>
              <w:spacing w:after="0" w:line="198" w:lineRule="exact"/>
              <w:rPr>
                <w:sz w:val="20"/>
                <w:szCs w:val="20"/>
                <w:color w:val="auto"/>
              </w:rPr>
            </w:pPr>
            <w:r>
              <w:rPr>
                <w:rFonts w:ascii="Arial" w:cs="Arial" w:eastAsia="Arial" w:hAnsi="Arial"/>
                <w:sz w:val="18"/>
                <w:szCs w:val="18"/>
                <w:color w:val="auto"/>
              </w:rPr>
              <w:t>Douglas P. Baker</w:t>
            </w:r>
          </w:p>
        </w:tc>
      </w:tr>
      <w:tr>
        <w:trPr>
          <w:trHeight w:val="216"/>
        </w:trPr>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Chief Financial Officer,</w:t>
            </w:r>
          </w:p>
        </w:tc>
      </w:tr>
      <w:tr>
        <w:trPr>
          <w:trHeight w:val="216"/>
        </w:trPr>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Principal Financial Officer and</w:t>
            </w:r>
          </w:p>
        </w:tc>
      </w:tr>
      <w:tr>
        <w:trPr>
          <w:trHeight w:val="234"/>
        </w:trPr>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Principal Accounting Officer</w:t>
            </w:r>
          </w:p>
        </w:tc>
      </w:tr>
    </w:tbl>
    <w:p>
      <w:pPr>
        <w:spacing w:after="0" w:line="200" w:lineRule="exact"/>
        <w:rPr>
          <w:sz w:val="20"/>
          <w:szCs w:val="20"/>
          <w:color w:val="auto"/>
        </w:rPr>
      </w:pP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904" w:right="45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Febbo, certify that;</w:t>
      </w:r>
    </w:p>
    <w:p>
      <w:pPr>
        <w:spacing w:after="0" w:line="22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2018 of OptimizeRx Corp (the “registrant”);</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William J. Febbo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P. Baker, certify that;</w:t>
      </w:r>
    </w:p>
    <w:p>
      <w:pPr>
        <w:spacing w:after="0" w:line="22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2018 of OptimizeRx Corp (the “registrant”);</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Douglas P.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Douglas P.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2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connection with the quarterly Report of OptimizeRx Corp (the “Company”) on Form 10-Q for the quarter ended September 30, 2018 filed with the Securities and Exchange Commission (the “Report”), I, Will Febbo, Chief Executive Officer and I, Douglas Baker,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00" w:right="300" w:hanging="492"/>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r>
      <w:tr>
        <w:trPr>
          <w:trHeight w:val="202"/>
        </w:trPr>
        <w:tc>
          <w:tcPr>
            <w:tcW w:w="62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Willian J Febbo</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Principal Executive Officer, and Director</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spacing w:after="0"/>
              <w:rPr>
                <w:sz w:val="20"/>
                <w:szCs w:val="20"/>
                <w:color w:val="auto"/>
              </w:rPr>
            </w:pPr>
            <w:r>
              <w:rPr>
                <w:rFonts w:ascii="Arial" w:cs="Arial" w:eastAsia="Arial" w:hAnsi="Arial"/>
                <w:sz w:val="18"/>
                <w:szCs w:val="18"/>
                <w:color w:val="auto"/>
              </w:rPr>
              <w:t>November 5, 2018</w:t>
            </w:r>
          </w:p>
        </w:tc>
      </w:tr>
      <w:tr>
        <w:trPr>
          <w:trHeight w:val="439"/>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P. Baker</w:t>
            </w:r>
          </w:p>
        </w:tc>
      </w:tr>
      <w:tr>
        <w:trPr>
          <w:trHeight w:val="202"/>
        </w:trPr>
        <w:tc>
          <w:tcPr>
            <w:tcW w:w="62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Douglas P. Baker</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spacing w:after="0"/>
              <w:rPr>
                <w:sz w:val="20"/>
                <w:szCs w:val="20"/>
                <w:color w:val="auto"/>
              </w:rPr>
            </w:pPr>
            <w:r>
              <w:rPr>
                <w:rFonts w:ascii="Arial" w:cs="Arial" w:eastAsia="Arial" w:hAnsi="Arial"/>
                <w:sz w:val="18"/>
                <w:szCs w:val="18"/>
                <w:color w:val="auto"/>
              </w:rPr>
              <w:t>November 5, 2018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2019-12-28T18:33:00Z</dcterms:created>
  <dcterms:modified xsi:type="dcterms:W3CDTF">2019-12-28T18:33:00Z</dcterms:modified>
</cp:coreProperties>
</file>