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6993255" cy="5353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536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Stelmakh Edward</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C/O OPTIMIZERX CORPORATION</w:t>
            </w: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260 CHARLES STREET, SUITE 302</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WALTHAM</w:t>
            </w:r>
          </w:p>
        </w:tc>
        <w:tc>
          <w:tcPr>
            <w:tcW w:w="1000" w:type="dxa"/>
            <w:vAlign w:val="bottom"/>
          </w:tcPr>
          <w:p>
            <w:pPr>
              <w:ind w:left="20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02453</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OptimizeRx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OPRX</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210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2100" w:type="dxa"/>
            <w:vAlign w:val="bottom"/>
            <w:gridSpan w:val="3"/>
            <w:vMerge w:val="continue"/>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2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20" w:type="dxa"/>
            <w:vAlign w:val="bottom"/>
          </w:tcPr>
          <w:p>
            <w:pPr>
              <w:ind w:left="120"/>
              <w:spacing w:after="0" w:line="118" w:lineRule="exact"/>
              <w:rPr>
                <w:sz w:val="20"/>
                <w:szCs w:val="20"/>
                <w:color w:val="auto"/>
              </w:rPr>
            </w:pPr>
            <w:r>
              <w:rPr>
                <w:rFonts w:ascii="Arial" w:cs="Arial" w:eastAsia="Arial" w:hAnsi="Arial"/>
                <w:sz w:val="13"/>
                <w:szCs w:val="13"/>
                <w:color w:val="auto"/>
              </w:rPr>
              <w:t>below)</w:t>
            </w:r>
          </w:p>
        </w:tc>
        <w:tc>
          <w:tcPr>
            <w:tcW w:w="1200" w:type="dxa"/>
            <w:vAlign w:val="bottom"/>
          </w:tcPr>
          <w:p>
            <w:pPr>
              <w:ind w:left="6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540" w:type="dxa"/>
            <w:vAlign w:val="bottom"/>
            <w:gridSpan w:val="3"/>
          </w:tcPr>
          <w:p>
            <w:pPr>
              <w:ind w:left="60"/>
              <w:spacing w:after="0"/>
              <w:rPr>
                <w:sz w:val="20"/>
                <w:szCs w:val="20"/>
                <w:color w:val="auto"/>
              </w:rPr>
            </w:pPr>
            <w:r>
              <w:rPr>
                <w:rFonts w:ascii="Arial" w:cs="Arial" w:eastAsia="Arial" w:hAnsi="Arial"/>
                <w:sz w:val="17"/>
                <w:szCs w:val="17"/>
                <w:color w:val="0000FF"/>
              </w:rPr>
              <w:t>10/03/2023</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vMerge w:val="restart"/>
          </w:tcPr>
          <w:p>
            <w:pPr>
              <w:ind w:left="800"/>
              <w:spacing w:after="0"/>
              <w:rPr>
                <w:sz w:val="20"/>
                <w:szCs w:val="20"/>
                <w:color w:val="auto"/>
              </w:rPr>
            </w:pPr>
            <w:r>
              <w:rPr>
                <w:rFonts w:ascii="Arial" w:cs="Arial" w:eastAsia="Arial" w:hAnsi="Arial"/>
                <w:sz w:val="17"/>
                <w:szCs w:val="17"/>
                <w:color w:val="0000FF"/>
              </w:rPr>
              <w:t>CFO/COO</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1"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8"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10/03/2023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16,662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21,344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10/03/2023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4,117</w:t>
            </w:r>
            <w:r>
              <w:rPr>
                <w:rFonts w:ascii="Arial" w:cs="Arial" w:eastAsia="Arial" w:hAnsi="Arial"/>
                <w:sz w:val="21"/>
                <w:szCs w:val="21"/>
                <w:color w:val="008000"/>
                <w:vertAlign w:val="superscript"/>
              </w:rPr>
              <w:t>(2)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7.06</w:t>
            </w:r>
          </w:p>
        </w:tc>
        <w:tc>
          <w:tcPr>
            <w:tcW w:w="130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17,227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16,622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10/03/2023</w:t>
            </w:r>
          </w:p>
        </w:tc>
        <w:tc>
          <w:tcPr>
            <w:tcW w:w="11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920" w:type="dxa"/>
            <w:vAlign w:val="bottom"/>
          </w:tcPr>
          <w:p>
            <w:pPr>
              <w:ind w:left="460"/>
              <w:spacing w:after="0" w:line="125" w:lineRule="exact"/>
              <w:rPr>
                <w:sz w:val="20"/>
                <w:szCs w:val="20"/>
                <w:color w:val="auto"/>
              </w:rPr>
            </w:pPr>
            <w:r>
              <w:rPr>
                <w:rFonts w:ascii="Arial" w:cs="Arial" w:eastAsia="Arial" w:hAnsi="Arial"/>
                <w:sz w:val="13"/>
                <w:szCs w:val="13"/>
                <w:color w:val="0000FF"/>
              </w:rPr>
              <w:t>16,662</w:t>
            </w: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33,205</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4" w:lineRule="exact"/>
        <w:rPr>
          <w:rFonts w:ascii="Arial" w:cs="Arial" w:eastAsia="Arial" w:hAnsi="Arial"/>
          <w:sz w:val="13"/>
          <w:szCs w:val="13"/>
          <w:color w:val="008000"/>
        </w:rPr>
      </w:pPr>
    </w:p>
    <w:p>
      <w:pPr>
        <w:ind w:left="40" w:right="3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in three equal annual installments beginning October 3, 2023, the first anniversary of the grant date.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right="320"/>
        <w:spacing w:after="0" w:line="249"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Marion Odence-Ford, by</w:t>
            </w:r>
          </w:p>
        </w:tc>
        <w:tc>
          <w:tcPr>
            <w:tcW w:w="3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10/06/2023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Power of 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046"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2023-10-06T14:02:53Z</dcterms:created>
  <dcterms:modified xsi:type="dcterms:W3CDTF">2023-10-06T14:02:53Z</dcterms:modified>
</cp:coreProperties>
</file>